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F888373-6F73-4616-A8AB-8F3579AC4009"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rFonts w:eastAsia="Arial Unicode MS"/>
          <w:noProof/>
        </w:rPr>
      </w:pPr>
      <w:r>
        <w:t>1.</w:t>
      </w:r>
      <w:r>
        <w:tab/>
      </w:r>
      <w:r>
        <w:rPr>
          <w:noProof/>
        </w:rPr>
        <w:t>Priekšlikuma priekšmets</w:t>
      </w:r>
    </w:p>
    <w:p>
      <w:pPr>
        <w:autoSpaceDE w:val="0"/>
        <w:autoSpaceDN w:val="0"/>
        <w:adjustRightInd w:val="0"/>
        <w:spacing w:before="0" w:after="0"/>
        <w:rPr>
          <w:rFonts w:ascii="TimesNewRomanPSMT" w:hAnsi="TimesNewRomanPSMT" w:cs="TimesNewRomanPSMT"/>
          <w:noProof/>
          <w:szCs w:val="24"/>
        </w:rPr>
      </w:pPr>
      <w:r>
        <w:rPr>
          <w:noProof/>
        </w:rPr>
        <w:t>Šis priekšlikums attiecas uz lēmumu par nostāju, kas Klusā okeāna rietumu un centrālās daļas zvejniecības komisijas (</w:t>
      </w:r>
      <w:r>
        <w:rPr>
          <w:i/>
          <w:noProof/>
        </w:rPr>
        <w:t>WCPFC</w:t>
      </w:r>
      <w:r>
        <w:rPr>
          <w:noProof/>
        </w:rPr>
        <w:t>) sanāksmēs 2019.–2023. gada periodā Savienības vārdā jāieņem saistībā ar saglabāšanas un pārvaldības pasākumu paredzamo pieņemšanu.</w:t>
      </w:r>
    </w:p>
    <w:p>
      <w:pPr>
        <w:pStyle w:val="ManualHeading1"/>
        <w:rPr>
          <w:noProof/>
        </w:rPr>
      </w:pPr>
      <w:r>
        <w:t>2.</w:t>
      </w:r>
      <w:r>
        <w:tab/>
      </w:r>
      <w:r>
        <w:rPr>
          <w:noProof/>
        </w:rPr>
        <w:t>Priekšlikuma konteksts</w:t>
      </w:r>
    </w:p>
    <w:p>
      <w:pPr>
        <w:pStyle w:val="ManualHeading2"/>
        <w:rPr>
          <w:noProof/>
        </w:rPr>
      </w:pPr>
      <w:r>
        <w:t>2.1.</w:t>
      </w:r>
      <w:r>
        <w:tab/>
      </w:r>
      <w:r>
        <w:rPr>
          <w:noProof/>
        </w:rPr>
        <w:t>Konvencija par tālu migrējošo zivju krājumu saglabāšanu un pārvaldību Klusā okeāna rietumu un centrālajā daļā</w:t>
      </w:r>
    </w:p>
    <w:p>
      <w:pPr>
        <w:rPr>
          <w:noProof/>
        </w:rPr>
      </w:pPr>
      <w:r>
        <w:rPr>
          <w:noProof/>
        </w:rPr>
        <w:t>Konvencija par tālu migrējošo zivju krājumu saglabāšanu un pārvaldību Klusā okeāna rietumu un centrālajā daļā (</w:t>
      </w:r>
      <w:r>
        <w:rPr>
          <w:i/>
          <w:noProof/>
        </w:rPr>
        <w:t>WCPF</w:t>
      </w:r>
      <w:r>
        <w:rPr>
          <w:noProof/>
        </w:rPr>
        <w:t xml:space="preserve"> konvencija), izveidojot </w:t>
      </w:r>
      <w:r>
        <w:rPr>
          <w:i/>
          <w:noProof/>
        </w:rPr>
        <w:t>WCPFC</w:t>
      </w:r>
      <w:r>
        <w:rPr>
          <w:noProof/>
        </w:rPr>
        <w:t>, tiecas ar efektīvu pārvaldību nodrošināt tālu migrējošo zivju krājumu ilgtermiņa saglabāšanu un ilgtspējīgu izmantošanu Klusā okeāna rietumu un centrālajā daļā. Konvencija stājās spēkā 2004. gada 19. jūnijā.</w:t>
      </w:r>
    </w:p>
    <w:p>
      <w:pPr>
        <w:rPr>
          <w:noProof/>
        </w:rPr>
      </w:pPr>
      <w:r>
        <w:rPr>
          <w:noProof/>
        </w:rPr>
        <w:t xml:space="preserve">Savienība ir </w:t>
      </w:r>
      <w:r>
        <w:rPr>
          <w:i/>
          <w:noProof/>
        </w:rPr>
        <w:t>WCPFC</w:t>
      </w:r>
      <w:r>
        <w:rPr>
          <w:noProof/>
        </w:rPr>
        <w:t xml:space="preserve"> puse un saskaņā ar Padomes Lēmumu 2005/75/EK</w:t>
      </w:r>
      <w:r>
        <w:rPr>
          <w:rStyle w:val="FootnoteReference"/>
          <w:noProof/>
        </w:rPr>
        <w:footnoteReference w:id="1"/>
      </w:r>
      <w:r>
        <w:rPr>
          <w:noProof/>
        </w:rPr>
        <w:t xml:space="preserve"> ir </w:t>
      </w:r>
      <w:r>
        <w:rPr>
          <w:i/>
          <w:noProof/>
        </w:rPr>
        <w:t>WCPF</w:t>
      </w:r>
      <w:r>
        <w:rPr>
          <w:noProof/>
        </w:rPr>
        <w:t xml:space="preserve"> konvenciju apstiprinājusi.</w:t>
      </w:r>
    </w:p>
    <w:p>
      <w:pPr>
        <w:pStyle w:val="ManualHeading2"/>
        <w:rPr>
          <w:noProof/>
        </w:rPr>
      </w:pPr>
      <w:r>
        <w:t>2.2.</w:t>
      </w:r>
      <w:r>
        <w:tab/>
      </w:r>
      <w:r>
        <w:rPr>
          <w:noProof/>
        </w:rPr>
        <w:t>Klusā okeāna rietumu un centrālās daļas zvejniecības komisija</w:t>
      </w:r>
    </w:p>
    <w:p>
      <w:pPr>
        <w:rPr>
          <w:noProof/>
        </w:rPr>
      </w:pPr>
      <w:r>
        <w:rPr>
          <w:i/>
          <w:noProof/>
        </w:rPr>
        <w:t>WCPFC</w:t>
      </w:r>
      <w:r>
        <w:rPr>
          <w:noProof/>
        </w:rPr>
        <w:t xml:space="preserve"> ir struktūra, kas izveidota ar </w:t>
      </w:r>
      <w:r>
        <w:rPr>
          <w:i/>
          <w:noProof/>
        </w:rPr>
        <w:t>WCPF</w:t>
      </w:r>
      <w:r>
        <w:rPr>
          <w:noProof/>
        </w:rPr>
        <w:t xml:space="preserve"> konvenciju un ir atbildīga par zvejas resursu pārvaldību un saglabāšanu konvencijas apgabalā. Tā pieņem saglabāšanas un pārvaldības pasākumus, kuru mērķis ir ilgtermiņā nodrošināt tālu migrējošo zivju krājumu ilgtspējību konvencijas apgabalā un veicināt to optimālu izmantošanu. Šādi pasākumi Savienībai var kļūt saistoši.</w:t>
      </w:r>
    </w:p>
    <w:p>
      <w:pPr>
        <w:rPr>
          <w:rFonts w:eastAsia="Arial Unicode MS"/>
          <w:noProof/>
        </w:rPr>
      </w:pPr>
      <w:r>
        <w:rPr>
          <w:noProof/>
        </w:rPr>
        <w:t xml:space="preserve">Savienībai kā </w:t>
      </w:r>
      <w:r>
        <w:rPr>
          <w:i/>
          <w:noProof/>
        </w:rPr>
        <w:t>WCPFC</w:t>
      </w:r>
      <w:r>
        <w:rPr>
          <w:noProof/>
        </w:rPr>
        <w:t xml:space="preserve"> loceklei ir līdzdalības tiesības un balsstiesības. </w:t>
      </w:r>
      <w:r>
        <w:rPr>
          <w:i/>
          <w:noProof/>
        </w:rPr>
        <w:t>WCPFC</w:t>
      </w:r>
      <w:r>
        <w:rPr>
          <w:noProof/>
        </w:rPr>
        <w:t xml:space="preserve"> lēmumus pieņem vienprātīgi, bet, ja vienprātību panākt nav iespējams, būtiskus lēmumus var pieņemt ar trīs ceturtdaļu balsu vairākumu. Tomēr ir jautājumi, kuros vienprātība ir obligāta.</w:t>
      </w:r>
    </w:p>
    <w:p>
      <w:pPr>
        <w:pStyle w:val="ManualHeading2"/>
        <w:rPr>
          <w:noProof/>
        </w:rPr>
      </w:pPr>
      <w:r>
        <w:t>2.3.</w:t>
      </w:r>
      <w:r>
        <w:tab/>
      </w:r>
      <w:r>
        <w:rPr>
          <w:i/>
          <w:noProof/>
        </w:rPr>
        <w:t>WCPFC</w:t>
      </w:r>
      <w:r>
        <w:rPr>
          <w:noProof/>
        </w:rPr>
        <w:t xml:space="preserve"> lēmumi</w:t>
      </w:r>
    </w:p>
    <w:p>
      <w:pPr>
        <w:rPr>
          <w:rFonts w:eastAsia="Arial Unicode MS"/>
          <w:noProof/>
        </w:rPr>
      </w:pPr>
      <w:r>
        <w:rPr>
          <w:i/>
          <w:noProof/>
        </w:rPr>
        <w:t>WCPFC</w:t>
      </w:r>
      <w:r>
        <w:rPr>
          <w:noProof/>
        </w:rPr>
        <w:t xml:space="preserve"> ir pilnvaras pieņemt saglabāšanas un pārvaldības pasākumus attiecībā uz tās kompetencē ietilpstošajām zvejniecībām, un šie pasākumi līgumslēdzējām pusēm ir saistoši.</w:t>
      </w:r>
    </w:p>
    <w:p>
      <w:pPr>
        <w:rPr>
          <w:noProof/>
        </w:rPr>
      </w:pPr>
      <w:r>
        <w:rPr>
          <w:noProof/>
        </w:rPr>
        <w:t xml:space="preserve">Saskaņā ar </w:t>
      </w:r>
      <w:r>
        <w:rPr>
          <w:i/>
          <w:noProof/>
        </w:rPr>
        <w:t>WCPF</w:t>
      </w:r>
      <w:r>
        <w:rPr>
          <w:noProof/>
        </w:rPr>
        <w:t xml:space="preserve"> konvencijas 20. panta 5. punktu pasākumi stājas spēkā 60 dienas pēc tam, kad </w:t>
      </w:r>
      <w:r>
        <w:rPr>
          <w:i/>
          <w:noProof/>
        </w:rPr>
        <w:t>WCPFC</w:t>
      </w:r>
      <w:r>
        <w:rPr>
          <w:noProof/>
        </w:rPr>
        <w:t xml:space="preserve"> par tiem ir paziņojusi līgumslēdzējām pusēm. </w:t>
      </w:r>
      <w:r>
        <w:rPr>
          <w:i/>
          <w:noProof/>
        </w:rPr>
        <w:t>WCPFC</w:t>
      </w:r>
      <w:r>
        <w:rPr>
          <w:noProof/>
        </w:rPr>
        <w:t xml:space="preserve"> loceklis, kas balsojis pret lēmumu vai nav piedalījies sanāksmē, kurā tas pieņemts, 30 dienu laikā pēc lēmuma pieņemšanas drīkst lūgt to pārskatīt pārskatīšanas komitejā.</w:t>
      </w:r>
    </w:p>
    <w:p>
      <w:pPr>
        <w:pStyle w:val="ManualHeading1"/>
        <w:rPr>
          <w:rFonts w:eastAsia="Arial Unicode MS"/>
          <w:noProof/>
        </w:rPr>
      </w:pPr>
      <w:r>
        <w:t>3.</w:t>
      </w:r>
      <w:r>
        <w:tab/>
      </w:r>
      <w:r>
        <w:rPr>
          <w:noProof/>
        </w:rPr>
        <w:t>Savienības vārdā ieņemamā nostāja</w:t>
      </w:r>
    </w:p>
    <w:p>
      <w:pPr>
        <w:rPr>
          <w:rFonts w:eastAsia="Times New Roman"/>
          <w:noProof/>
        </w:rPr>
      </w:pPr>
      <w:r>
        <w:rPr>
          <w:noProof/>
        </w:rPr>
        <w:t>Nostāja, kas Savienības vārdā jāieņem reģionālo zvejniecības pārvaldības organizāciju (RZPO) gadskārtējās sanāksmēs, patlaban tiek noteikta atbilstīgi divpakāpju pieejai. Padomes lēmumā tiek izklāstīti Savienības nostājas vadošie principi un orientējošie norādījumi vairākiem gadiem, un pēc tam šī nostāja neoficiālos Komisijas dokumentos, kuri jāapspriež Padomes darba grupā, tiek pielāgota katrai gadskārtējai sanāksmei.</w:t>
      </w:r>
    </w:p>
    <w:p>
      <w:pPr>
        <w:rPr>
          <w:rFonts w:eastAsia="Times New Roman"/>
          <w:noProof/>
        </w:rPr>
      </w:pPr>
      <w:r>
        <w:rPr>
          <w:i/>
          <w:noProof/>
        </w:rPr>
        <w:t>WCPFC</w:t>
      </w:r>
      <w:r>
        <w:rPr>
          <w:noProof/>
        </w:rPr>
        <w:t xml:space="preserve"> gadījumā šī pieeja ir īstenota ar Padomes 2014. gada 16. jūnija Lēmumu 10124/1/14 REV 1, kurā izklāstīta Savienības nostāja </w:t>
      </w:r>
      <w:r>
        <w:rPr>
          <w:i/>
          <w:noProof/>
        </w:rPr>
        <w:t>WCPFC</w:t>
      </w:r>
      <w:r>
        <w:rPr>
          <w:noProof/>
        </w:rPr>
        <w:t xml:space="preserve"> 2014.–2018. gada periodā. Lēmumā ir ietverti vispārīgi principi un orientējoši norādījumi, bet, ciktāl iespējams, ņemta vērā arī </w:t>
      </w:r>
      <w:r>
        <w:rPr>
          <w:i/>
          <w:noProof/>
        </w:rPr>
        <w:t>WCPFC</w:t>
      </w:r>
      <w:r>
        <w:rPr>
          <w:noProof/>
        </w:rPr>
        <w:t xml:space="preserve"> specifika. Turklāt pēc dalībvalstu lūguma tajā iekļauta standarta procedūra, kas izmantojama Savienības nostājas ikgadējā noteikšanā.</w:t>
      </w:r>
    </w:p>
    <w:p>
      <w:pPr>
        <w:rPr>
          <w:rFonts w:eastAsia="Times New Roman"/>
          <w:noProof/>
        </w:rPr>
      </w:pPr>
      <w:r>
        <w:rPr>
          <w:noProof/>
        </w:rPr>
        <w:t xml:space="preserve">Lēmums 10124/1/14 REV 1 paredz Savienības nostājas pārskatīšanu pirms gadskārtējās sanāksmes 2019. gadā. Tāpēc šajā priekšlikumā, kas aizstās Lēmumu 10124/1/14 REV 1, ir izklāstīta Savienības nostāja </w:t>
      </w:r>
      <w:r>
        <w:rPr>
          <w:i/>
          <w:noProof/>
        </w:rPr>
        <w:t>WCPFC</w:t>
      </w:r>
      <w:r>
        <w:rPr>
          <w:noProof/>
        </w:rPr>
        <w:t xml:space="preserve"> 2019.–2023. gada periodā.</w:t>
      </w:r>
    </w:p>
    <w:p>
      <w:pPr>
        <w:rPr>
          <w:rFonts w:eastAsia="Times New Roman"/>
          <w:noProof/>
        </w:rPr>
      </w:pPr>
      <w:r>
        <w:rPr>
          <w:noProof/>
        </w:rPr>
        <w:t>Lēmumā 10124/1/14 REV 1 tika iestrādāti jaunās kopējās zivsaimniecības politikas (KZP) principi un virzieni, kas izklāstīti Eiropas Parlamenta un Padomes Regulā (ES) Nr. 1380/2013</w:t>
      </w:r>
      <w:r>
        <w:rPr>
          <w:rStyle w:val="FootnoteReference"/>
          <w:noProof/>
        </w:rPr>
        <w:footnoteReference w:id="2"/>
      </w:r>
      <w:r>
        <w:rPr>
          <w:noProof/>
        </w:rPr>
        <w:t>, kā arī ņemti vērā mērķi, kas noteikti Komisijas paziņojumā par KZP ārējo dimensiju</w:t>
      </w:r>
      <w:r>
        <w:rPr>
          <w:rStyle w:val="FootnoteReference"/>
          <w:noProof/>
        </w:rPr>
        <w:footnoteReference w:id="3"/>
      </w:r>
      <w:r>
        <w:rPr>
          <w:noProof/>
        </w:rPr>
        <w:t>. Turklāt lēmums Savienības nostāju pielāgoja Lisabonas līgumam.</w:t>
      </w:r>
    </w:p>
    <w:p>
      <w:pPr>
        <w:rPr>
          <w:noProof/>
        </w:rPr>
      </w:pPr>
      <w:r>
        <w:rPr>
          <w:noProof/>
        </w:rPr>
        <w:t xml:space="preserve">Zvejas ietekmējuma aspektā pašreizējā pārskatīšanā ir ņemts vērā Komisijas paziņojums Eiropas Parlamentam, Padomei, Eiropas Ekonomikas un sociālo lietu komitejai un Reģionu komitejai par </w:t>
      </w:r>
      <w:r>
        <w:rPr>
          <w:i/>
          <w:noProof/>
        </w:rPr>
        <w:t>Eiropas stratēģiju attiecībā uz plastmasu aprites ekonomikā</w:t>
      </w:r>
      <w:r>
        <w:rPr>
          <w:rStyle w:val="FootnoteReference"/>
          <w:noProof/>
        </w:rPr>
        <w:footnoteReference w:id="4"/>
      </w:r>
      <w:r>
        <w:rPr>
          <w:noProof/>
        </w:rPr>
        <w:t xml:space="preserve">, Savienības Augstās pārstāves ārlietās un drošības politikas jautājumos un Komisijas kopīgais paziņojums </w:t>
      </w:r>
      <w:r>
        <w:rPr>
          <w:i/>
          <w:noProof/>
        </w:rPr>
        <w:t>Starptautiskā okeānu pārvaldība – okeānu nākotnes veidošanas darbakārtība</w:t>
      </w:r>
      <w:r>
        <w:rPr>
          <w:rStyle w:val="FootnoteReference"/>
          <w:noProof/>
        </w:rPr>
        <w:footnoteReference w:id="5"/>
      </w:r>
      <w:r>
        <w:rPr>
          <w:noProof/>
        </w:rPr>
        <w:t xml:space="preserve"> un Padomes secinājumi par minēto kopīgo paziņojumu</w:t>
      </w:r>
      <w:r>
        <w:rPr>
          <w:rStyle w:val="FootnoteReference"/>
          <w:noProof/>
        </w:rPr>
        <w:footnoteReference w:id="6"/>
      </w:r>
      <w:r>
        <w:rPr>
          <w:noProof/>
        </w:rPr>
        <w:t>.</w:t>
      </w:r>
    </w:p>
    <w:p>
      <w:pPr>
        <w:pStyle w:val="ManualHeading1"/>
        <w:rPr>
          <w:noProof/>
        </w:rPr>
      </w:pPr>
      <w:r>
        <w:t>4.</w:t>
      </w:r>
      <w:r>
        <w:tab/>
      </w:r>
      <w:r>
        <w:rPr>
          <w:noProof/>
        </w:rPr>
        <w:t>Juridiskais pamats</w:t>
      </w:r>
    </w:p>
    <w:p>
      <w:pPr>
        <w:pStyle w:val="ManualHeading2"/>
        <w:rPr>
          <w:noProof/>
        </w:rPr>
      </w:pPr>
      <w:r>
        <w:t>4.1.</w:t>
      </w:r>
      <w:r>
        <w:tab/>
      </w:r>
      <w:r>
        <w:rPr>
          <w:noProof/>
        </w:rPr>
        <w:t>Procesuālais juridiskais pamats</w:t>
      </w:r>
    </w:p>
    <w:p>
      <w:pPr>
        <w:pStyle w:val="ManualHeading3"/>
        <w:rPr>
          <w:noProof/>
        </w:rPr>
      </w:pPr>
      <w:r>
        <w:t>4.1.1.</w:t>
      </w:r>
      <w:r>
        <w:tab/>
      </w:r>
      <w:r>
        <w:rPr>
          <w:noProof/>
        </w:rPr>
        <w:t>Principi</w:t>
      </w:r>
    </w:p>
    <w:p>
      <w:pPr>
        <w:rPr>
          <w:noProof/>
        </w:rPr>
      </w:pPr>
      <w:r>
        <w:rPr>
          <w:noProof/>
        </w:rPr>
        <w:t>Līguma par Eiropas Savienības darbību (LESD) 218. panta 9. punktā paredzēti lēmumi, ar kuriem nosaka “nostāju, kas Savienības vārdā jāapstiprina kādā ar nolīgumu izveidotā struktūrā, ja šāda struktūra ir tiesīga pieņemt lēmumus ar juridiskām sekām, izņemot lēmumus, kas papildina vai groza attiecīgajā nolīgumā noteikto iestāžu sistēmu”.</w:t>
      </w:r>
    </w:p>
    <w:p>
      <w:pPr>
        <w:rPr>
          <w:noProof/>
        </w:rPr>
      </w:pPr>
      <w:r>
        <w:rPr>
          <w:noProof/>
        </w:rPr>
        <w:t>Jēdziens “lēmumi ar juridiskām sekām” ietver aktus, kam ir juridiskas sekas uz tādu starptautisko tiesību normu pamata, kuras reglamentē attiecīgo struktūru, un instrumentus, kas nav saistoši saskaņā ar starptautiskajām tiesībām, bet “var būtiski ietekmēt Savienības likumdevēja pieņemtā tiesiskā regulējuma saturu”</w:t>
      </w:r>
      <w:r>
        <w:rPr>
          <w:rStyle w:val="FootnoteReference"/>
          <w:noProof/>
        </w:rPr>
        <w:footnoteReference w:id="7"/>
      </w:r>
      <w:r>
        <w:rPr>
          <w:noProof/>
        </w:rPr>
        <w:t>.</w:t>
      </w:r>
    </w:p>
    <w:p>
      <w:pPr>
        <w:pStyle w:val="ManualHeading3"/>
        <w:rPr>
          <w:noProof/>
        </w:rPr>
      </w:pPr>
      <w:r>
        <w:t>4.1.2.</w:t>
      </w:r>
      <w:r>
        <w:tab/>
      </w:r>
      <w:r>
        <w:rPr>
          <w:noProof/>
        </w:rPr>
        <w:t>Piemērošana konkrētajā gadījumā</w:t>
      </w:r>
    </w:p>
    <w:p>
      <w:pPr>
        <w:rPr>
          <w:noProof/>
        </w:rPr>
      </w:pPr>
      <w:r>
        <w:rPr>
          <w:i/>
          <w:noProof/>
        </w:rPr>
        <w:t>WCPFC</w:t>
      </w:r>
      <w:r>
        <w:rPr>
          <w:noProof/>
        </w:rPr>
        <w:t xml:space="preserve"> ir struktūra, kas izveidota ar nolīgumu, proti, </w:t>
      </w:r>
      <w:r>
        <w:rPr>
          <w:i/>
          <w:noProof/>
        </w:rPr>
        <w:t>WCPF</w:t>
      </w:r>
      <w:r>
        <w:rPr>
          <w:noProof/>
        </w:rPr>
        <w:t xml:space="preserve"> konvenciju.</w:t>
      </w:r>
    </w:p>
    <w:p>
      <w:pPr>
        <w:rPr>
          <w:noProof/>
        </w:rPr>
      </w:pPr>
      <w:r>
        <w:rPr>
          <w:noProof/>
        </w:rPr>
        <w:t xml:space="preserve">Akti, kurus </w:t>
      </w:r>
      <w:r>
        <w:rPr>
          <w:i/>
          <w:noProof/>
        </w:rPr>
        <w:t>WCPFC</w:t>
      </w:r>
      <w:r>
        <w:rPr>
          <w:noProof/>
        </w:rPr>
        <w:t xml:space="preserve"> ir aicināta pieņemt, ir akti ar juridiskām sekām. Saskaņā ar </w:t>
      </w:r>
      <w:r>
        <w:rPr>
          <w:i/>
          <w:noProof/>
        </w:rPr>
        <w:t>WCPF</w:t>
      </w:r>
      <w:r>
        <w:rPr>
          <w:noProof/>
        </w:rPr>
        <w:t xml:space="preserve"> konvencijas 20. pantu tie ir saistoši atbilstoši starptautiskajām tiesībām un var būtiski ietekmēt tādu ES tiesību aktu saturu kā:</w:t>
      </w:r>
    </w:p>
    <w:p>
      <w:pPr>
        <w:pStyle w:val="Bullet0"/>
        <w:numPr>
          <w:ilvl w:val="0"/>
          <w:numId w:val="12"/>
        </w:numPr>
        <w:rPr>
          <w:noProof/>
        </w:rPr>
      </w:pPr>
      <w:r>
        <w:rPr>
          <w:noProof/>
        </w:rPr>
        <w:t>Padomes Regula (EK) Nr. 1005/2008, ar ko izveido Kopienas sistēmu, lai aizkavētu, novērstu un izskaustu nelegālu, nereģistrētu un neregulētu zveju</w:t>
      </w:r>
      <w:r>
        <w:rPr>
          <w:rStyle w:val="FootnoteReference"/>
          <w:noProof/>
        </w:rPr>
        <w:footnoteReference w:id="8"/>
      </w:r>
      <w:r>
        <w:rPr>
          <w:noProof/>
        </w:rPr>
        <w:t>;</w:t>
      </w:r>
    </w:p>
    <w:p>
      <w:pPr>
        <w:pStyle w:val="Bullet0"/>
        <w:rPr>
          <w:noProof/>
        </w:rPr>
      </w:pPr>
      <w:r>
        <w:rPr>
          <w:noProof/>
        </w:rPr>
        <w:t>Padomes Regula (EK) Nr. 1224/2009, ar ko izveido Kopienas kontroles sistēmu, lai nodrošinātu atbilstību kopējās zivsaimniecības politikas noteikumiem</w:t>
      </w:r>
      <w:r>
        <w:rPr>
          <w:rStyle w:val="FootnoteReference"/>
          <w:noProof/>
        </w:rPr>
        <w:footnoteReference w:id="9"/>
      </w:r>
      <w:r>
        <w:rPr>
          <w:noProof/>
        </w:rPr>
        <w:t>;</w:t>
      </w:r>
    </w:p>
    <w:p>
      <w:pPr>
        <w:pStyle w:val="Bullet0"/>
        <w:rPr>
          <w:noProof/>
        </w:rPr>
      </w:pPr>
      <w:r>
        <w:rPr>
          <w:noProof/>
        </w:rPr>
        <w:t>Eiropas Parlamenta un Padomes 2017. gada 12. decembra Regula (ES) 2017/2403 par ārējo zvejas flotu ilgtspējīgu pārvaldību</w:t>
      </w:r>
      <w:r>
        <w:rPr>
          <w:rStyle w:val="FootnoteReference"/>
          <w:noProof/>
        </w:rPr>
        <w:footnoteReference w:id="10"/>
      </w:r>
      <w:r>
        <w:rPr>
          <w:noProof/>
        </w:rPr>
        <w:t>.</w:t>
      </w:r>
    </w:p>
    <w:p>
      <w:pPr>
        <w:rPr>
          <w:noProof/>
        </w:rPr>
      </w:pPr>
      <w:r>
        <w:rPr>
          <w:noProof/>
        </w:rPr>
        <w:t xml:space="preserve">Paredzētie akti nepapildina un negroza </w:t>
      </w:r>
      <w:r>
        <w:rPr>
          <w:i/>
          <w:noProof/>
        </w:rPr>
        <w:t>WCPF</w:t>
      </w:r>
      <w:r>
        <w:rPr>
          <w:noProof/>
        </w:rPr>
        <w:t xml:space="preserve"> konvencijā noteikto iestāžu sistēmu.</w:t>
      </w:r>
    </w:p>
    <w:p>
      <w:pPr>
        <w:rPr>
          <w:noProof/>
        </w:rPr>
      </w:pPr>
      <w:r>
        <w:rPr>
          <w:noProof/>
        </w:rPr>
        <w:t>Tāpēc ierosinātā lēmuma procesuālais juridiskais pamats ir LESD 218. panta 9. punkts.</w:t>
      </w:r>
    </w:p>
    <w:p>
      <w:pPr>
        <w:pStyle w:val="ManualHeading2"/>
        <w:rPr>
          <w:noProof/>
        </w:rPr>
      </w:pPr>
      <w:r>
        <w:t>4.2.</w:t>
      </w:r>
      <w:r>
        <w:tab/>
      </w:r>
      <w:r>
        <w:rPr>
          <w:noProof/>
        </w:rPr>
        <w:t>Materiālais juridiskais pamats</w:t>
      </w:r>
    </w:p>
    <w:p>
      <w:pPr>
        <w:pStyle w:val="ManualHeading3"/>
        <w:rPr>
          <w:noProof/>
        </w:rPr>
      </w:pPr>
      <w:r>
        <w:t>4.2.1.</w:t>
      </w:r>
      <w:r>
        <w:tab/>
      </w:r>
      <w:r>
        <w:rPr>
          <w:noProof/>
        </w:rPr>
        <w:t>Principi</w:t>
      </w:r>
    </w:p>
    <w:p>
      <w:pPr>
        <w:rPr>
          <w:noProof/>
        </w:rPr>
      </w:pPr>
      <w:r>
        <w:rPr>
          <w:noProof/>
        </w:rPr>
        <w:t>Lēmumam, ko pieņem saskaņā ar LESD 218. panta 9. punktu, materiālais juridiskais pamats ir galvenokārt atkarīgs no tā, kāds mērķis un saturs ir paredzētajam aktam, attiecībā uz kuru Savienības vārdā tiek ieņemta noteikta nostāja. Ja paredzētajam aktam ir divi mērķi vai divi komponenti un viens ir atzīstams par galveno, bet otrs nav būtisks, tad lēmums, ko pieņem saskaņā ar LESD 218. panta 9. punktu, jābalsta uz viena materiālā juridiskā pamata, proti, tā, ko prasa galvenais jeb dominējošais mērķis vai komponents.</w:t>
      </w:r>
    </w:p>
    <w:p>
      <w:pPr>
        <w:pStyle w:val="ManualHeading3"/>
        <w:rPr>
          <w:noProof/>
        </w:rPr>
      </w:pPr>
      <w:r>
        <w:t>4.2.2.</w:t>
      </w:r>
      <w:r>
        <w:tab/>
      </w:r>
      <w:r>
        <w:rPr>
          <w:noProof/>
        </w:rPr>
        <w:t>Piemērošana konkrētajā gadījumā</w:t>
      </w:r>
    </w:p>
    <w:p>
      <w:pPr>
        <w:rPr>
          <w:noProof/>
        </w:rPr>
      </w:pPr>
      <w:r>
        <w:rPr>
          <w:noProof/>
        </w:rPr>
        <w:t>Paredzētā akta galvenais mērķis un saturs attiecas uz zivsaimniecību. Juridiskais pamats, kas nosaka šajā nostājā atspoguļojamos principus, ir Regula (ES) Nr. 1380/2013.</w:t>
      </w:r>
    </w:p>
    <w:p>
      <w:pPr>
        <w:rPr>
          <w:noProof/>
        </w:rPr>
      </w:pPr>
      <w:r>
        <w:rPr>
          <w:noProof/>
        </w:rPr>
        <w:t>Tāpēc ierosinātā lēmuma materiālais juridiskais pamats ir LESD 43. panta 2. punkts. Šim lēmumam jāaizstāj Lēmums 10124/1/14 REV 1, kas aptver 2014.–2018. gada periodu.</w:t>
      </w:r>
    </w:p>
    <w:p>
      <w:pPr>
        <w:pStyle w:val="ManualHeading2"/>
        <w:rPr>
          <w:noProof/>
        </w:rPr>
      </w:pPr>
      <w:r>
        <w:t>4.3.</w:t>
      </w:r>
      <w:r>
        <w:tab/>
      </w:r>
      <w:r>
        <w:rPr>
          <w:noProof/>
        </w:rPr>
        <w:t>Secinājums</w:t>
      </w:r>
    </w:p>
    <w:p>
      <w:pPr>
        <w:rPr>
          <w:noProof/>
        </w:rPr>
      </w:pPr>
      <w:r>
        <w:rPr>
          <w:noProof/>
        </w:rPr>
        <w:t>Ierosinātā lēmuma juridiskajam pamatam vajadzētu būt LESD 43. panta 2. punktam, lasītam saistībā ar LESD 218. panta 9. punktu.</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2019/0050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kas Eiropas Savienības vārdā jāieņem Klusā okeāna rietumu un centrālās daļas zvejniecības komisijā, un ar kuru atceļ Lēmumu 10124/1/14 REV 1</w:t>
      </w:r>
    </w:p>
    <w:p>
      <w:pPr>
        <w:pStyle w:val="Institutionquiagit"/>
        <w:rPr>
          <w:b/>
          <w:noProof/>
        </w:rPr>
      </w:pPr>
      <w:r>
        <w:rPr>
          <w:b/>
          <w:noProof/>
        </w:rPr>
        <w:t>EIROPAS SAVIENĪBAS PADOME,</w:t>
      </w:r>
    </w:p>
    <w:p>
      <w:pPr>
        <w:rPr>
          <w:noProof/>
        </w:rPr>
      </w:pPr>
      <w:r>
        <w:rPr>
          <w:noProof/>
        </w:rPr>
        <w:t>ņemot vērā Līgumu par Eiropas Savienības darbību un jo īpaši tā 43. panta 2. punktu, lasītu saistībā ar 218. panta 9. punktu,</w:t>
      </w:r>
    </w:p>
    <w:p>
      <w:pPr>
        <w:rPr>
          <w:noProof/>
        </w:rPr>
      </w:pPr>
      <w:r>
        <w:rPr>
          <w:noProof/>
        </w:rPr>
        <w:t>ņemot vērā Eiropas Komisijas priekšlikumu,</w:t>
      </w:r>
    </w:p>
    <w:p>
      <w:pPr>
        <w:rPr>
          <w:noProof/>
        </w:rPr>
      </w:pPr>
      <w:r>
        <w:rPr>
          <w:noProof/>
        </w:rPr>
        <w:t>tā kā:</w:t>
      </w:r>
    </w:p>
    <w:p>
      <w:pPr>
        <w:pStyle w:val="ManualConsidrant"/>
        <w:rPr>
          <w:rFonts w:eastAsia="Times New Roman"/>
          <w:noProof/>
          <w:szCs w:val="20"/>
        </w:rPr>
      </w:pPr>
      <w:r>
        <w:t>(1)</w:t>
      </w:r>
      <w:r>
        <w:tab/>
      </w:r>
      <w:r>
        <w:rPr>
          <w:noProof/>
        </w:rPr>
        <w:t>Ar Padomes Lēmumu 2005/75/EK</w:t>
      </w:r>
      <w:r>
        <w:rPr>
          <w:rStyle w:val="FootnoteReference"/>
          <w:noProof/>
        </w:rPr>
        <w:footnoteReference w:id="11"/>
      </w:r>
      <w:r>
        <w:rPr>
          <w:noProof/>
        </w:rPr>
        <w:t xml:space="preserve"> Savienība ir noslēgusi Konvenciju par tālu migrējošo zivju krājumu saglabāšanu un pārvaldību Klusā okeāna rietumu un centrālajā daļā (</w:t>
      </w:r>
      <w:r>
        <w:rPr>
          <w:i/>
          <w:noProof/>
        </w:rPr>
        <w:t>WCPF</w:t>
      </w:r>
      <w:r>
        <w:rPr>
          <w:noProof/>
        </w:rPr>
        <w:t xml:space="preserve"> konvencija), ar kuru izveido Klusā okeāna rietumu un centrālās daļas zvejniecības komisiju (</w:t>
      </w:r>
      <w:r>
        <w:rPr>
          <w:i/>
          <w:noProof/>
        </w:rPr>
        <w:t>WCPFC</w:t>
      </w:r>
      <w:r>
        <w:rPr>
          <w:noProof/>
        </w:rPr>
        <w:t>).</w:t>
      </w:r>
    </w:p>
    <w:p>
      <w:pPr>
        <w:pStyle w:val="ManualConsidrant"/>
        <w:rPr>
          <w:noProof/>
        </w:rPr>
      </w:pPr>
      <w:r>
        <w:t>(2)</w:t>
      </w:r>
      <w:r>
        <w:tab/>
      </w:r>
      <w:r>
        <w:rPr>
          <w:i/>
          <w:noProof/>
        </w:rPr>
        <w:t>WCPFC</w:t>
      </w:r>
      <w:r>
        <w:rPr>
          <w:noProof/>
        </w:rPr>
        <w:t xml:space="preserve"> ir struktūra, kas izveidota ar </w:t>
      </w:r>
      <w:r>
        <w:rPr>
          <w:i/>
          <w:noProof/>
        </w:rPr>
        <w:t>WCPF</w:t>
      </w:r>
      <w:r>
        <w:rPr>
          <w:noProof/>
        </w:rPr>
        <w:t xml:space="preserve"> konvenciju un ir atbildīga par zvejas resursu pārvaldību un saglabāšanu </w:t>
      </w:r>
      <w:r>
        <w:rPr>
          <w:i/>
          <w:noProof/>
        </w:rPr>
        <w:t>WCPF</w:t>
      </w:r>
      <w:r>
        <w:rPr>
          <w:noProof/>
        </w:rPr>
        <w:t xml:space="preserve"> konvencijas apgabalā. </w:t>
      </w:r>
      <w:r>
        <w:rPr>
          <w:i/>
          <w:noProof/>
        </w:rPr>
        <w:t>WCPFC</w:t>
      </w:r>
      <w:r>
        <w:rPr>
          <w:noProof/>
        </w:rPr>
        <w:t xml:space="preserve"> pieņem saglabāšanas un pārvaldības pasākumus, kuru mērķis ir ilgtermiņā nodrošināt tālu migrējošo zivju krājumu ilgtspējību </w:t>
      </w:r>
      <w:r>
        <w:rPr>
          <w:i/>
          <w:noProof/>
        </w:rPr>
        <w:t>WCPF</w:t>
      </w:r>
      <w:r>
        <w:rPr>
          <w:noProof/>
        </w:rPr>
        <w:t xml:space="preserve"> konvencijas apgabalā un veicināt to optimālu izmantošanu. Šādi pasākumi Savienībai var kļūt saistoši.</w:t>
      </w:r>
    </w:p>
    <w:p>
      <w:pPr>
        <w:pStyle w:val="ManualConsidrant"/>
        <w:rPr>
          <w:noProof/>
        </w:rPr>
      </w:pPr>
      <w:r>
        <w:t>(3)</w:t>
      </w:r>
      <w:r>
        <w:tab/>
      </w:r>
      <w:r>
        <w:rPr>
          <w:noProof/>
        </w:rPr>
        <w:t>Kā paredz Eiropas Parlamenta un Padomes Regula (ES) Nr. 1380/2013</w:t>
      </w:r>
      <w:r>
        <w:rPr>
          <w:rStyle w:val="FootnoteReference"/>
          <w:noProof/>
        </w:rPr>
        <w:footnoteReference w:id="12"/>
      </w:r>
      <w:r>
        <w:rPr>
          <w:noProof/>
        </w:rPr>
        <w:t>, Savienībai ir jānodrošina, ka zvejas un akvakultūras darbības ilgtermiņā ir vidiski ilgtspējīgas un tiek pārvaldītas atbilstīgi mērķim nodrošināt ieguvumus ekonomiskajā, sociālajā un nodarbinātības jomā un veicināt pārtikas pieejamību. Tā paredz arī to, ka Savienībai zvejniecības pārvaldībā jāievēro piesardzīga pieeja un tās mērķim jābūt nodrošināt, lai dzīvo jūras bioloģisko resursu izmantošanas rezultātā iegūto sugu populācijas tiktu atjaunotas un uzturētas virs līmeņa, kas nodrošina maksimālo ilgtspējīgas ieguves apjomu. Turklāt tā paredz, ka Savienībai ir jāpieņem pārvaldības un saglabāšanas pasākumi, kuru pamatā ir labākie pieejamie zinātniskie ieteikumi, jāatbalsta zinātnisko atziņu gūšana un zinātnisko ieteikumu izstrāde, pakāpeniski jāizskauž izmetumi un jāveicina zvejas metodes, kas palīdz nodrošināt selektīvāku zveju un, ciktāl iespējams, nevēlamu nozveju nepieļaušanu un samazināšanu, kā arī zveju, kurai ir maza ietekme uz jūras ekosistēmu un zvejas resursiem. Turklāt Regulā (ES) Nr. 1380/2013 ir konkrēti paredzēts, ka minētie mērķi un principi Savienībai jāpiemēro ārējās attiecībās zivsaimniecības jomā.</w:t>
      </w:r>
    </w:p>
    <w:p>
      <w:pPr>
        <w:pStyle w:val="ManualConsidrant"/>
        <w:rPr>
          <w:noProof/>
        </w:rPr>
      </w:pPr>
      <w:r>
        <w:t>(4)</w:t>
      </w:r>
      <w:r>
        <w:tab/>
      </w:r>
      <w:r>
        <w:rPr>
          <w:noProof/>
        </w:rPr>
        <w:t xml:space="preserve">Kā norādīts Savienības Augstās pārstāves ārlietās un drošības politikas jautājumos un Eiropas Komisijas kopīgajā paziņojumā </w:t>
      </w:r>
      <w:r>
        <w:rPr>
          <w:i/>
          <w:noProof/>
        </w:rPr>
        <w:t>Starptautiskā okeānu pārvaldība – okeānu nākotnes veidošanas darbakārtība</w:t>
      </w:r>
      <w:r>
        <w:rPr>
          <w:rStyle w:val="FootnoteReference"/>
          <w:noProof/>
        </w:rPr>
        <w:footnoteReference w:id="13"/>
      </w:r>
      <w:r>
        <w:rPr>
          <w:noProof/>
        </w:rPr>
        <w:t xml:space="preserve"> un Padomes secinājumos par minēto kopīgo paziņojumu</w:t>
      </w:r>
      <w:r>
        <w:rPr>
          <w:rStyle w:val="FootnoteReference"/>
          <w:noProof/>
        </w:rPr>
        <w:footnoteReference w:id="14"/>
      </w:r>
      <w:r>
        <w:rPr>
          <w:noProof/>
        </w:rPr>
        <w:t>, galvenais Savienības darba uzdevums reģionālajās zvejniecības pārvaldības organizācijās (RZPO) ir veicināt pasākumus, kas atbalsta un kāpina šo forumu rezultativitāti un attiecīgā gadījumā uzlabo to pārvaldību.</w:t>
      </w:r>
    </w:p>
    <w:p>
      <w:pPr>
        <w:pStyle w:val="ManualConsidrant"/>
        <w:rPr>
          <w:noProof/>
        </w:rPr>
      </w:pPr>
      <w:r>
        <w:t>(5)</w:t>
      </w:r>
      <w:r>
        <w:tab/>
      </w:r>
      <w:r>
        <w:rPr>
          <w:noProof/>
        </w:rPr>
        <w:t xml:space="preserve">Komisijas paziņojumā Eiropas Parlamentam, Padomei, Eiropas Ekonomikas un sociālo lietu komitejai un Reģionu komitejai par </w:t>
      </w:r>
      <w:r>
        <w:rPr>
          <w:i/>
          <w:noProof/>
        </w:rPr>
        <w:t>Eiropas stratēģiju attiecībā uz plastmasu aprites ekonomikā</w:t>
      </w:r>
      <w:r>
        <w:rPr>
          <w:rStyle w:val="FootnoteReference"/>
          <w:noProof/>
        </w:rPr>
        <w:footnoteReference w:id="15"/>
      </w:r>
      <w:r>
        <w:rPr>
          <w:noProof/>
        </w:rPr>
        <w:t xml:space="preserve"> ir minēti konkrēti pasākumi, kuru mērķis ir mazināt plastmasas radīto piedrazojumu, jūras piesārņojumu, kā arī jūrā nozaudēto vai pamesto zvejas rīku daudzumu.</w:t>
      </w:r>
    </w:p>
    <w:p>
      <w:pPr>
        <w:pStyle w:val="ManualConsidrant"/>
        <w:rPr>
          <w:noProof/>
        </w:rPr>
      </w:pPr>
      <w:r>
        <w:t>(6)</w:t>
      </w:r>
      <w:r>
        <w:tab/>
      </w:r>
      <w:r>
        <w:rPr>
          <w:noProof/>
        </w:rPr>
        <w:t xml:space="preserve">Ir lietderīgi noteikt nostāju, kas Savienības vārdā jāieņem </w:t>
      </w:r>
      <w:r>
        <w:rPr>
          <w:i/>
          <w:noProof/>
        </w:rPr>
        <w:t>WCPFC</w:t>
      </w:r>
      <w:r>
        <w:rPr>
          <w:noProof/>
        </w:rPr>
        <w:t xml:space="preserve"> sanāksmēs 2019.–2023. gada periodā, jo </w:t>
      </w:r>
      <w:r>
        <w:rPr>
          <w:i/>
          <w:noProof/>
        </w:rPr>
        <w:t>WCPFC</w:t>
      </w:r>
      <w:r>
        <w:rPr>
          <w:noProof/>
        </w:rPr>
        <w:t xml:space="preserve"> saglabāšanas un izpildes panākšanas pasākumi būs Savienībai saistoši un var būtiski ietekmēt tādu Savienības tiesību aktu saturu kā Padomes Regula (EK) Nr. 1005/2008</w:t>
      </w:r>
      <w:r>
        <w:rPr>
          <w:rStyle w:val="FootnoteReference"/>
          <w:noProof/>
        </w:rPr>
        <w:footnoteReference w:id="16"/>
      </w:r>
      <w:r>
        <w:rPr>
          <w:noProof/>
        </w:rPr>
        <w:t>, Padomes Regula (EK) Nr. 1224/2009</w:t>
      </w:r>
      <w:r>
        <w:rPr>
          <w:rStyle w:val="FootnoteReference"/>
          <w:noProof/>
        </w:rPr>
        <w:footnoteReference w:id="17"/>
      </w:r>
      <w:r>
        <w:rPr>
          <w:noProof/>
        </w:rPr>
        <w:t xml:space="preserve"> un Eiropas Parlamenta un Padomes Regula (ES) 2017/2403</w:t>
      </w:r>
      <w:r>
        <w:rPr>
          <w:rStyle w:val="FootnoteReference"/>
          <w:noProof/>
        </w:rPr>
        <w:footnoteReference w:id="18"/>
      </w:r>
      <w:r>
        <w:rPr>
          <w:noProof/>
        </w:rPr>
        <w:t>.</w:t>
      </w:r>
    </w:p>
    <w:p>
      <w:pPr>
        <w:pStyle w:val="ManualConsidrant"/>
        <w:rPr>
          <w:noProof/>
        </w:rPr>
      </w:pPr>
      <w:r>
        <w:t>(7)</w:t>
      </w:r>
      <w:r>
        <w:tab/>
      </w:r>
      <w:r>
        <w:rPr>
          <w:noProof/>
        </w:rPr>
        <w:t xml:space="preserve">Patlaban nostāja, kas Savienības vārdā jāieņem </w:t>
      </w:r>
      <w:r>
        <w:rPr>
          <w:i/>
          <w:noProof/>
        </w:rPr>
        <w:t>WCPFC</w:t>
      </w:r>
      <w:r>
        <w:rPr>
          <w:noProof/>
        </w:rPr>
        <w:t xml:space="preserve"> sanāksmēs, ir noteikta ar Padomes Lēmumu 10124/1/14 REV 1</w:t>
      </w:r>
      <w:r>
        <w:rPr>
          <w:rStyle w:val="FootnoteReference"/>
          <w:noProof/>
        </w:rPr>
        <w:footnoteReference w:id="19"/>
      </w:r>
      <w:r>
        <w:rPr>
          <w:noProof/>
        </w:rPr>
        <w:t>. Ir lietderīgi Lēmumu 10124/1/14 REV 1 atcelt un aizstāt ar jaunu lēmumu 2019.–2023. gada periodam.</w:t>
      </w:r>
    </w:p>
    <w:p>
      <w:pPr>
        <w:pStyle w:val="ManualConsidrant"/>
        <w:rPr>
          <w:noProof/>
        </w:rPr>
      </w:pPr>
      <w:r>
        <w:t>(8)</w:t>
      </w:r>
      <w:r>
        <w:tab/>
      </w:r>
      <w:r>
        <w:rPr>
          <w:noProof/>
        </w:rPr>
        <w:t xml:space="preserve">Ņemot vērā </w:t>
      </w:r>
      <w:r>
        <w:rPr>
          <w:i/>
          <w:noProof/>
        </w:rPr>
        <w:t>WCPF</w:t>
      </w:r>
      <w:r>
        <w:rPr>
          <w:noProof/>
        </w:rPr>
        <w:t xml:space="preserve"> konvencijas apgabala zvejas resursu dinamisko raksturu un no tā izrietošo nepieciešamību Savienības nostājā ņemt vērā jaunākās izmaiņas, to vidū jaunu zinātnisko un citu relevanto informāciju, kas iesniegta pirms </w:t>
      </w:r>
      <w:r>
        <w:rPr>
          <w:i/>
          <w:noProof/>
        </w:rPr>
        <w:t>WCPFC</w:t>
      </w:r>
      <w:r>
        <w:rPr>
          <w:noProof/>
        </w:rPr>
        <w:t xml:space="preserve"> sanāksmēm vai to laikā, saskaņā ar Līguma par Eiropas Savienību (LES) 13. panta 2. punktā iestrādāto Savienības iestāžu pilnīgas sadarbības principu būtu jāizveido procedūras, kas jāievēro, kad ik gadu tiek precizēta Savienības nostāja 2019.–2023. gada periodā,</w:t>
      </w:r>
    </w:p>
    <w:p>
      <w:pPr>
        <w:pStyle w:val="Formuledadoption"/>
        <w:rPr>
          <w:noProof/>
        </w:rPr>
      </w:pPr>
      <w:r>
        <w:rPr>
          <w:noProof/>
        </w:rPr>
        <w:t>IR PIEŅĒMUSI ŠO LĒMUMU.</w:t>
      </w:r>
    </w:p>
    <w:p>
      <w:pPr>
        <w:pStyle w:val="Titrearticle"/>
        <w:rPr>
          <w:noProof/>
        </w:rPr>
      </w:pPr>
      <w:r>
        <w:rPr>
          <w:noProof/>
        </w:rPr>
        <w:t>1. pants</w:t>
      </w:r>
    </w:p>
    <w:p>
      <w:pPr>
        <w:autoSpaceDE w:val="0"/>
        <w:autoSpaceDN w:val="0"/>
        <w:adjustRightInd w:val="0"/>
        <w:spacing w:before="0" w:after="0"/>
        <w:rPr>
          <w:noProof/>
        </w:rPr>
      </w:pPr>
      <w:r>
        <w:rPr>
          <w:noProof/>
        </w:rPr>
        <w:t>Nostāja, kas Savienības vārdā jāieņem Klusā okeāna rietumu un centrālās daļas zvejniecības komisijas (</w:t>
      </w:r>
      <w:r>
        <w:rPr>
          <w:i/>
          <w:noProof/>
        </w:rPr>
        <w:t>WCPFC</w:t>
      </w:r>
      <w:r>
        <w:rPr>
          <w:noProof/>
        </w:rPr>
        <w:t>) sanāksmēs, ir izklāstīta I pielikumā.</w:t>
      </w:r>
    </w:p>
    <w:p>
      <w:pPr>
        <w:pStyle w:val="Titrearticle"/>
        <w:rPr>
          <w:noProof/>
        </w:rPr>
      </w:pPr>
      <w:r>
        <w:rPr>
          <w:noProof/>
        </w:rPr>
        <w:t>2. pants</w:t>
      </w:r>
    </w:p>
    <w:p>
      <w:pPr>
        <w:autoSpaceDE w:val="0"/>
        <w:autoSpaceDN w:val="0"/>
        <w:adjustRightInd w:val="0"/>
        <w:spacing w:before="0" w:after="0"/>
        <w:rPr>
          <w:noProof/>
          <w:szCs w:val="24"/>
        </w:rPr>
      </w:pPr>
      <w:r>
        <w:rPr>
          <w:noProof/>
        </w:rPr>
        <w:t xml:space="preserve">Savienības nostāju, kas jāieņem </w:t>
      </w:r>
      <w:r>
        <w:rPr>
          <w:i/>
          <w:noProof/>
        </w:rPr>
        <w:t>WCPFC</w:t>
      </w:r>
      <w:r>
        <w:rPr>
          <w:noProof/>
        </w:rPr>
        <w:t xml:space="preserve"> sanāksmēs, katru gadu precizē saskaņā ar II pielikumu.</w:t>
      </w:r>
    </w:p>
    <w:p>
      <w:pPr>
        <w:pStyle w:val="Titrearticle"/>
        <w:rPr>
          <w:noProof/>
        </w:rPr>
      </w:pPr>
      <w:r>
        <w:rPr>
          <w:noProof/>
        </w:rPr>
        <w:t>3. pants</w:t>
      </w:r>
    </w:p>
    <w:p>
      <w:pPr>
        <w:rPr>
          <w:noProof/>
        </w:rPr>
      </w:pPr>
      <w:r>
        <w:rPr>
          <w:noProof/>
        </w:rPr>
        <w:t xml:space="preserve">I pielikumā izklāstīto Savienības nostāju Padome pēc Komisijas priekšlikuma novērtē un vajadzības gadījumā pārskata vēlākais līdz </w:t>
      </w:r>
      <w:r>
        <w:rPr>
          <w:i/>
          <w:noProof/>
        </w:rPr>
        <w:t>WCPFC</w:t>
      </w:r>
      <w:r>
        <w:rPr>
          <w:noProof/>
        </w:rPr>
        <w:t xml:space="preserve"> gadskārtējai sanāksmei 2024. gadā.</w:t>
      </w:r>
    </w:p>
    <w:p>
      <w:pPr>
        <w:pStyle w:val="Titrearticle"/>
        <w:rPr>
          <w:noProof/>
        </w:rPr>
      </w:pPr>
      <w:r>
        <w:rPr>
          <w:noProof/>
        </w:rPr>
        <w:t>4. pants</w:t>
      </w:r>
    </w:p>
    <w:p>
      <w:pPr>
        <w:autoSpaceDE w:val="0"/>
        <w:autoSpaceDN w:val="0"/>
        <w:adjustRightInd w:val="0"/>
        <w:spacing w:before="0" w:after="0"/>
        <w:rPr>
          <w:noProof/>
          <w:szCs w:val="24"/>
        </w:rPr>
      </w:pPr>
      <w:r>
        <w:rPr>
          <w:noProof/>
        </w:rPr>
        <w:t>2014. gada 3. jūnija Lēmumu 10124/1/14 REV 1 atceļ.</w:t>
      </w:r>
    </w:p>
    <w:p>
      <w:pPr>
        <w:pStyle w:val="Titrearticle"/>
        <w:rPr>
          <w:noProof/>
        </w:rPr>
      </w:pPr>
      <w:r>
        <w:rPr>
          <w:noProof/>
        </w:rPr>
        <w:t>5. pants</w:t>
      </w:r>
    </w:p>
    <w:p>
      <w:pPr>
        <w:autoSpaceDE w:val="0"/>
        <w:autoSpaceDN w:val="0"/>
        <w:adjustRightInd w:val="0"/>
        <w:spacing w:before="0" w:after="0"/>
        <w:rPr>
          <w:noProof/>
          <w:szCs w:val="24"/>
        </w:rPr>
      </w:pPr>
      <w:r>
        <w:rPr>
          <w:noProof/>
        </w:rPr>
        <w:t>Šis lēmums ir adresēts Komisijai.</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Padomes 2004. gada 26. aprīļa Lēmums 2005/75/EK par Kopienas pievienošanos Konvencijai par tālu migrējošo zivju krājumu saglabāšanu un pārvaldību Klusā okeāna rietumu un centrālajā daļā (OV L 32, 4.2.2005., 1. lpp.).</w:t>
      </w:r>
    </w:p>
  </w:footnote>
  <w:footnote w:id="2">
    <w:p>
      <w:pPr>
        <w:pStyle w:val="FootnoteText"/>
      </w:pPr>
      <w:r>
        <w:rPr>
          <w:rStyle w:val="FootnoteReference"/>
        </w:rPr>
        <w:footnoteRef/>
      </w:r>
      <w:r>
        <w:tab/>
        <w:t>Eiropas Parlamenta un Padomes Regula (ES) Nr. 1380/2013 par kopējo zivsaimniecības politiku un ar ko groza Padomes Regulas (EK) Nr. 1954/2003 un (EK) Nr. 1224/2009 un atceļ Padomes Regulas (EK) Nr. 2371/2002 un (EK) Nr. 639/2004 un Padomes Lēmumu 2004/585/EK (OV L 354, 28.12.2013., 22. lpp.).</w:t>
      </w:r>
    </w:p>
  </w:footnote>
  <w:footnote w:id="3">
    <w:p>
      <w:pPr>
        <w:pStyle w:val="FootnoteText"/>
        <w:rPr>
          <w:lang w:val="pt-PT"/>
        </w:rPr>
      </w:pPr>
      <w:r>
        <w:rPr>
          <w:rStyle w:val="FootnoteReference"/>
        </w:rPr>
        <w:footnoteRef/>
      </w:r>
      <w:r>
        <w:tab/>
        <w:t>COM(2011) 424, 13.7.2011.</w:t>
      </w:r>
    </w:p>
  </w:footnote>
  <w:footnote w:id="4">
    <w:p>
      <w:pPr>
        <w:pStyle w:val="FootnoteText"/>
        <w:rPr>
          <w:lang w:val="pt-PT"/>
        </w:rPr>
      </w:pPr>
      <w:r>
        <w:rPr>
          <w:rStyle w:val="FootnoteReference"/>
        </w:rPr>
        <w:footnoteRef/>
      </w:r>
      <w:r>
        <w:tab/>
        <w:t>COM(2018) 28 final, 16.1.2018.</w:t>
      </w:r>
    </w:p>
  </w:footnote>
  <w:footnote w:id="5">
    <w:p>
      <w:pPr>
        <w:pStyle w:val="FootnoteText"/>
        <w:rPr>
          <w:lang w:val="pt-PT"/>
        </w:rPr>
      </w:pPr>
      <w:r>
        <w:rPr>
          <w:rStyle w:val="FootnoteReference"/>
        </w:rPr>
        <w:footnoteRef/>
      </w:r>
      <w:r>
        <w:tab/>
        <w:t>JOIN(2016) 49 final, 10.11.2016.</w:t>
      </w:r>
    </w:p>
  </w:footnote>
  <w:footnote w:id="6">
    <w:p>
      <w:pPr>
        <w:pStyle w:val="FootnoteText"/>
      </w:pPr>
      <w:r>
        <w:rPr>
          <w:rStyle w:val="FootnoteReference"/>
        </w:rPr>
        <w:footnoteRef/>
      </w:r>
      <w:r>
        <w:tab/>
        <w:t>7348/1/17 REV 1, 24.3.2017.</w:t>
      </w:r>
    </w:p>
  </w:footnote>
  <w:footnote w:id="7">
    <w:p>
      <w:pPr>
        <w:pStyle w:val="FootnoteText"/>
      </w:pPr>
      <w:r>
        <w:rPr>
          <w:rStyle w:val="FootnoteReference"/>
        </w:rPr>
        <w:footnoteRef/>
      </w:r>
      <w:r>
        <w:tab/>
        <w:t xml:space="preserve">Tiesas 2014. gada 7. oktobra spriedums lietā C-399/12 </w:t>
      </w:r>
      <w:r>
        <w:rPr>
          <w:i/>
        </w:rPr>
        <w:t>Vācija/Padome</w:t>
      </w:r>
      <w:r>
        <w:t>, ECLI:EU:C:2014:2258, 61.–64. punkts.</w:t>
      </w:r>
    </w:p>
  </w:footnote>
  <w:footnote w:id="8">
    <w:p>
      <w:pPr>
        <w:pStyle w:val="FootnoteText"/>
        <w:rPr>
          <w:lang w:val="nn-NO"/>
        </w:rPr>
      </w:pPr>
      <w:r>
        <w:rPr>
          <w:rStyle w:val="FootnoteReference"/>
        </w:rPr>
        <w:footnoteRef/>
      </w:r>
      <w:r>
        <w:tab/>
        <w:t>OV L 286, 29.10.2008., 1. lpp.</w:t>
      </w:r>
    </w:p>
  </w:footnote>
  <w:footnote w:id="9">
    <w:p>
      <w:pPr>
        <w:pStyle w:val="FootnoteText"/>
        <w:rPr>
          <w:lang w:val="nn-NO"/>
        </w:rPr>
      </w:pPr>
      <w:r>
        <w:rPr>
          <w:rStyle w:val="FootnoteReference"/>
        </w:rPr>
        <w:footnoteRef/>
      </w:r>
      <w:r>
        <w:tab/>
        <w:t>OV L 343, 22.12.2009., 1. lpp.</w:t>
      </w:r>
    </w:p>
  </w:footnote>
  <w:footnote w:id="10">
    <w:p>
      <w:pPr>
        <w:pStyle w:val="FootnoteText"/>
        <w:rPr>
          <w:lang w:val="nn-NO"/>
        </w:rPr>
      </w:pPr>
      <w:r>
        <w:rPr>
          <w:rStyle w:val="FootnoteReference"/>
        </w:rPr>
        <w:footnoteRef/>
      </w:r>
      <w:r>
        <w:tab/>
        <w:t>OV L 347, 28.12.2017., 81. lpp.</w:t>
      </w:r>
    </w:p>
  </w:footnote>
  <w:footnote w:id="11">
    <w:p>
      <w:pPr>
        <w:pStyle w:val="FootnoteText"/>
      </w:pPr>
      <w:r>
        <w:rPr>
          <w:rStyle w:val="FootnoteReference"/>
        </w:rPr>
        <w:footnoteRef/>
      </w:r>
      <w:r>
        <w:tab/>
        <w:t>Padomes 2004. gada 26. aprīļa lēmums par Kopienas pievienošanos Konvencijai par tālu migrējošo zivju krājumu saglabāšanu un pārvaldību Klusā okeāna rietumu un centrālajā daļā (OV L 32, 4.2.2005., 1. lpp.).</w:t>
      </w:r>
    </w:p>
  </w:footnote>
  <w:footnote w:id="12">
    <w:p>
      <w:pPr>
        <w:pStyle w:val="FootnoteText"/>
      </w:pPr>
      <w:r>
        <w:rPr>
          <w:rStyle w:val="FootnoteReference"/>
        </w:rPr>
        <w:footnoteRef/>
      </w:r>
      <w:r>
        <w:tab/>
        <w:t>Eiropas Parlamenta un Padomes 2013. gada 11. decembra Regula (ES) Nr. 1380/2013 par kopējo zivsaimniecības politiku un ar ko groza Padomes Regulas (EK) Nr. 1954/2003 un (EK) Nr. 1224/2009 un atceļ Padomes Regulas (EK) Nr. 2371/2002 un (EK) Nr. 639/2004 un Padomes Lēmumu 2004/585/EK (OV L 354, 28.12.2013., 22. lpp.).</w:t>
      </w:r>
    </w:p>
  </w:footnote>
  <w:footnote w:id="13">
    <w:p>
      <w:pPr>
        <w:pStyle w:val="FootnoteText"/>
      </w:pPr>
      <w:r>
        <w:rPr>
          <w:rStyle w:val="FootnoteReference"/>
        </w:rPr>
        <w:footnoteRef/>
      </w:r>
      <w:r>
        <w:tab/>
        <w:t>JOIN(2016) 49 final, 10.11.2016.</w:t>
      </w:r>
    </w:p>
  </w:footnote>
  <w:footnote w:id="14">
    <w:p>
      <w:pPr>
        <w:pStyle w:val="FootnoteText"/>
      </w:pPr>
      <w:r>
        <w:rPr>
          <w:rStyle w:val="FootnoteReference"/>
        </w:rPr>
        <w:footnoteRef/>
      </w:r>
      <w:r>
        <w:tab/>
        <w:t>7348/1/17 REV 1, 24.3.2017.</w:t>
      </w:r>
    </w:p>
  </w:footnote>
  <w:footnote w:id="15">
    <w:p>
      <w:pPr>
        <w:pStyle w:val="FootnoteText"/>
      </w:pPr>
      <w:r>
        <w:rPr>
          <w:rStyle w:val="FootnoteReference"/>
        </w:rPr>
        <w:footnoteRef/>
      </w:r>
      <w:r>
        <w:tab/>
        <w:t>COM(2018) 28 final, 16.1.2018.</w:t>
      </w:r>
    </w:p>
  </w:footnote>
  <w:footnote w:id="16">
    <w:p>
      <w:pPr>
        <w:pStyle w:val="FootnoteText"/>
      </w:pPr>
      <w:r>
        <w:rPr>
          <w:rStyle w:val="FootnoteReference"/>
        </w:rPr>
        <w:footnoteRef/>
      </w:r>
      <w:r>
        <w:tab/>
        <w:t>Padomes Regula (EK) Nr. 1005/2008, ar ko izveido Kopienas sistēmu, lai aizkavētu, novērstu un izskaustu nelegālu, nereģistrētu un neregulētu zveju, un ar ko groza Regulas (EEK) Nr. 2847/93, (EK) Nr. 1936/2001 un (EK) Nr. 601/2004, un ar ko atceļ Regulas (EK) Nr. 1093/94 un (EK) Nr. 1447/1999 (OV L 286, 29.10.2008., 1. lpp.).</w:t>
      </w:r>
    </w:p>
  </w:footnote>
  <w:footnote w:id="17">
    <w:p>
      <w:pPr>
        <w:pStyle w:val="FootnoteText"/>
      </w:pPr>
      <w:r>
        <w:rPr>
          <w:rStyle w:val="FootnoteReference"/>
        </w:rPr>
        <w:footnoteRef/>
      </w:r>
      <w:r>
        <w:tab/>
        <w:t>Padomes 2009. gada 20. novembra Regula (EK) Nr. 1224/2009, ar ko izveido Savienības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 (OV L 343, 22.12.2009., 1. lpp.).</w:t>
      </w:r>
    </w:p>
  </w:footnote>
  <w:footnote w:id="18">
    <w:p>
      <w:pPr>
        <w:pStyle w:val="FootnoteText"/>
      </w:pPr>
      <w:r>
        <w:rPr>
          <w:rStyle w:val="FootnoteReference"/>
        </w:rPr>
        <w:footnoteRef/>
      </w:r>
      <w:r>
        <w:tab/>
        <w:t>Eiropas Parlamenta un Padomes 2017. gada 12. decembra Regula (ES) 2017/2403 par ārējo zvejas flotu ilgtspējīgu pārvaldību un ar ko atceļ Padomes Regulu (EK) Nr. 1006/2008 (OV L 347, 28.12.2017., 81. lpp.).</w:t>
      </w:r>
    </w:p>
  </w:footnote>
  <w:footnote w:id="19">
    <w:p>
      <w:pPr>
        <w:pStyle w:val="FootnoteText"/>
      </w:pPr>
      <w:r>
        <w:rPr>
          <w:rStyle w:val="FootnoteReference"/>
        </w:rPr>
        <w:footnoteRef/>
      </w:r>
      <w:r>
        <w:tab/>
        <w:t>Padomes 2014. gada 3. jūnija lēmums par nostāju, kas Eiropas Savienības vārdā jāpieņem</w:t>
      </w:r>
    </w:p>
    <w:p>
      <w:pPr>
        <w:pStyle w:val="FootnoteText"/>
        <w:ind w:firstLine="0"/>
      </w:pPr>
      <w:r>
        <w:t>Klusā okeāna rietumu un centrālās daļas tālu migrējošu zivju krājumu</w:t>
      </w:r>
    </w:p>
    <w:p>
      <w:pPr>
        <w:pStyle w:val="FootnoteText"/>
        <w:ind w:firstLine="0"/>
      </w:pPr>
      <w:r>
        <w:t>saglabāšanas un pārvaldības komisijā (</w:t>
      </w:r>
      <w:r>
        <w:rPr>
          <w:i/>
        </w:rPr>
        <w:t>WCPFC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7:38: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F888373-6F73-4616-A8AB-8F3579AC4009"/>
    <w:docVar w:name="LW_COVERPAGE_TYPE" w:val="1"/>
    <w:docVar w:name="LW_CROSSREFERENCE" w:val="&lt;UNUSED&gt;"/>
    <w:docVar w:name="LW_DocType" w:val="COM"/>
    <w:docVar w:name="LW_EMISSION" w:val="7.3.2019"/>
    <w:docVar w:name="LW_EMISSION_ISODATE" w:val="2019-03-07"/>
    <w:docVar w:name="LW_EMISSION_LOCATION" w:val="BRX"/>
    <w:docVar w:name="LW_EMISSION_PREFIX" w:val="Briselē,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50"/>
    <w:docVar w:name="LW_REF.II.NEW.CP_YEAR" w:val="2019"/>
    <w:docVar w:name="LW_REF.INST.NEW" w:val="COM"/>
    <w:docVar w:name="LW_REF.INST.NEW_ADOPTED" w:val="final"/>
    <w:docVar w:name="LW_REF.INST.NEW_TEXT" w:val="(2019)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nost\u257?ju, kas Eiropas Savien\u299?bas v\u257?rd\u257? j\u257?ie\u326?em Klus\u257? oke\u257?na rietumu un centr\u257?l\u257?s da\u316?as zvejniec\u299?bas komisij\u257?, un ar kuru atce\u316? L\u275?mumu 10124/1/14 REV 1"/>
    <w:docVar w:name="LW_TYPE.DOC.CP" w:val="PADOMES L\u274?MUMS"/>
    <w:docVar w:name="Stamp" w:val="\\dossiers.dgt.cec.eu.int\dossiers\MARE\MARE-2018-00541\MARE-2018-00541-00-05-EN-EDT-00.201812071036373787230.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0BAA-77C4-47D9-B161-31DA302F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1554</Words>
  <Characters>9977</Characters>
  <Application>Microsoft Office Word</Application>
  <DocSecurity>0</DocSecurity>
  <Lines>175</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2019-02-11T13:27:00Z</dcterms:created>
  <dcterms:modified xsi:type="dcterms:W3CDTF">2019-03-06T06:38:00Z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