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C7058471-C500-4C22-85E2-0DF5B8B13379" style="width:450.75pt;height:366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MOTIVERING</w:t>
      </w:r>
    </w:p>
    <w:p>
      <w:pPr>
        <w:pStyle w:val="ManualHeading1"/>
        <w:rPr>
          <w:rFonts w:eastAsia="Arial Unicode MS"/>
          <w:noProof/>
        </w:rPr>
      </w:pPr>
      <w:r>
        <w:t>1.</w:t>
      </w:r>
      <w:r>
        <w:tab/>
      </w:r>
      <w:r>
        <w:rPr>
          <w:noProof/>
        </w:rPr>
        <w:t>Fråga som behandlas i förslaget</w:t>
      </w:r>
    </w:p>
    <w:p>
      <w:pPr>
        <w:autoSpaceDE w:val="0"/>
        <w:autoSpaceDN w:val="0"/>
        <w:adjustRightInd w:val="0"/>
        <w:spacing w:before="0" w:after="0"/>
        <w:rPr>
          <w:rFonts w:ascii="TimesNewRomanPSMT" w:hAnsi="TimesNewRomanPSMT" w:cs="TimesNewRomanPSMT"/>
          <w:noProof/>
          <w:szCs w:val="24"/>
        </w:rPr>
      </w:pPr>
      <w:r>
        <w:rPr>
          <w:noProof/>
        </w:rPr>
        <w:t>Detta förslag avser ett beslut om fastställande av den ståndpunkt som ska intas på unionens vägnar under möten i Kommissionen för bevarande och förvaltning av långvandrande fiskbestånd i västra och mellersta Stilla havet (WCPFC) för perioden 2019</w:t>
      </w:r>
      <w:r>
        <w:rPr>
          <w:noProof/>
        </w:rPr>
        <w:noBreakHyphen/>
        <w:t>2023 i samband med det planerade antagandet av bevarande- och förvaltningsåtgärder.</w:t>
      </w:r>
    </w:p>
    <w:p>
      <w:pPr>
        <w:pStyle w:val="ManualHeading1"/>
        <w:rPr>
          <w:noProof/>
        </w:rPr>
      </w:pPr>
      <w:r>
        <w:t>2.</w:t>
      </w:r>
      <w:r>
        <w:tab/>
      </w:r>
      <w:r>
        <w:rPr>
          <w:noProof/>
        </w:rPr>
        <w:t>Bakgrund till förslaget</w:t>
      </w:r>
    </w:p>
    <w:p>
      <w:pPr>
        <w:pStyle w:val="ManualHeading2"/>
        <w:rPr>
          <w:noProof/>
        </w:rPr>
      </w:pPr>
      <w:r>
        <w:t>2.1.</w:t>
      </w:r>
      <w:r>
        <w:tab/>
      </w:r>
      <w:r>
        <w:rPr>
          <w:noProof/>
        </w:rPr>
        <w:t>Konventionen om bevarande och förvaltning av långvandrande fiskbestånd i västra och mellersta Stilla havet</w:t>
      </w:r>
    </w:p>
    <w:p>
      <w:pPr>
        <w:rPr>
          <w:noProof/>
        </w:rPr>
      </w:pPr>
      <w:r>
        <w:rPr>
          <w:noProof/>
        </w:rPr>
        <w:t>Konventionen om bevarande och förvaltning av långvandrande fiskbestånd i västra och mellersta Stilla havet (WCPF-konventionen) har, genom inrättandet av WCPFC, som mål att med hjälp av effektiv förvaltning säkerställa ett långsiktigt bevarande och ett hållbart nyttjande av långvandrande fiskbestånd i västra och mellersta Stilla havet. Konventionen trädde i kraft den 19 juni 2004.</w:t>
      </w:r>
    </w:p>
    <w:p>
      <w:pPr>
        <w:rPr>
          <w:noProof/>
        </w:rPr>
      </w:pPr>
      <w:r>
        <w:rPr>
          <w:noProof/>
        </w:rPr>
        <w:t>Unionen är part i WCPFC genom att ha godkänt WCPF-konventionen i enlighet med rådets beslut 2005/75/EG</w:t>
      </w:r>
      <w:r>
        <w:rPr>
          <w:rStyle w:val="FootnoteReference"/>
          <w:noProof/>
        </w:rPr>
        <w:footnoteReference w:id="1"/>
      </w:r>
      <w:r>
        <w:rPr>
          <w:noProof/>
        </w:rPr>
        <w:t>.</w:t>
      </w:r>
    </w:p>
    <w:p>
      <w:pPr>
        <w:pStyle w:val="ManualHeading2"/>
        <w:rPr>
          <w:noProof/>
        </w:rPr>
      </w:pPr>
      <w:r>
        <w:t>2.2.</w:t>
      </w:r>
      <w:r>
        <w:tab/>
      </w:r>
      <w:r>
        <w:rPr>
          <w:noProof/>
        </w:rPr>
        <w:t>Kommissionen för bevarande och förvaltning av långvandrande fiskbestånd i västra och mellersta Stilla havet</w:t>
      </w:r>
    </w:p>
    <w:p>
      <w:pPr>
        <w:rPr>
          <w:noProof/>
        </w:rPr>
      </w:pPr>
      <w:r>
        <w:rPr>
          <w:noProof/>
        </w:rPr>
        <w:t>WCPFC är det organ som inrättats genom WCPF-konventionen för att ansvara för förvaltning och bevarande av fiskeresurserna inom konventionsområdet. Det antar bevarande- och förvaltningsåtgärder för att säkerställa ett långsiktigt bevarande av långvandrande fiskbestånd i konventionsområdet och främja ett optimalt nyttjande av dessa. Sådana åtgärder kan komma att bli bindande för unionen.</w:t>
      </w:r>
    </w:p>
    <w:p>
      <w:pPr>
        <w:rPr>
          <w:rFonts w:eastAsia="Arial Unicode MS"/>
          <w:noProof/>
        </w:rPr>
      </w:pPr>
      <w:r>
        <w:rPr>
          <w:noProof/>
        </w:rPr>
        <w:t>Som medlem i WCPFC har unionen deltaganderätt och rösträtt. WCPFC fattar sina beslut enhälligt, med möjlighet till omröstning med tre fjärdedels majoritet om beslut i viktiga frågor där enhällighet inte kan nås. Enhällighet krävs dock i vissa frågor.</w:t>
      </w:r>
    </w:p>
    <w:p>
      <w:pPr>
        <w:pStyle w:val="ManualHeading2"/>
        <w:rPr>
          <w:noProof/>
        </w:rPr>
      </w:pPr>
      <w:r>
        <w:t>2.3.</w:t>
      </w:r>
      <w:r>
        <w:tab/>
      </w:r>
      <w:r>
        <w:rPr>
          <w:noProof/>
        </w:rPr>
        <w:t>WCPFC:s beslut</w:t>
      </w:r>
    </w:p>
    <w:p>
      <w:pPr>
        <w:rPr>
          <w:rFonts w:eastAsia="Arial Unicode MS"/>
          <w:noProof/>
        </w:rPr>
      </w:pPr>
      <w:r>
        <w:rPr>
          <w:noProof/>
        </w:rPr>
        <w:t>WCPFC har befogenhet att anta bevarande- och förvaltningsåtgärder för de fisken som omfattas av dess behörighet, och dessa åtgärder är bindande för de avtalsslutande parterna.</w:t>
      </w:r>
    </w:p>
    <w:p>
      <w:pPr>
        <w:rPr>
          <w:noProof/>
        </w:rPr>
      </w:pPr>
      <w:r>
        <w:rPr>
          <w:noProof/>
        </w:rPr>
        <w:t>I enlighet med artikel 20.5 i WCPF-konventionen träder åtgärderna i kraft 60 dagar efter den dag då WCPFC underrättade de avtalsslutande parterna om dem. En WCPFC-medlem som har röstat mot ett beslut, eller som var frånvarande från det möte då beslutet fattades, får inom 30 dagar efter det att beslutet antogs be om granskning av beslutet av en granskningspanel.</w:t>
      </w:r>
    </w:p>
    <w:p>
      <w:pPr>
        <w:pStyle w:val="ManualHeading1"/>
        <w:rPr>
          <w:rFonts w:eastAsia="Arial Unicode MS"/>
          <w:noProof/>
        </w:rPr>
      </w:pPr>
      <w:r>
        <w:t>3.</w:t>
      </w:r>
      <w:r>
        <w:tab/>
      </w:r>
      <w:r>
        <w:rPr>
          <w:noProof/>
        </w:rPr>
        <w:t>Den ståndpunkt som ska intas på unionens vägnar</w:t>
      </w:r>
    </w:p>
    <w:p>
      <w:pPr>
        <w:rPr>
          <w:rFonts w:eastAsia="Times New Roman"/>
          <w:noProof/>
        </w:rPr>
      </w:pPr>
      <w:r>
        <w:rPr>
          <w:noProof/>
        </w:rPr>
        <w:t>Den ståndpunkt som ska intas på unionens vägnar under de regionala fiskeriförvaltningsorganisationernas årliga möten fastställs för närvarande enligt en tvåstegsmetod. De vägledande principerna och riktlinjerna för unionens ståndpunkt fastställs på flerårig basis i ett rådsbeslut och justeras därefter inför varje årsmöte genom kommissionens icke-officiella dokument som diskuteras i rådets arbetsgrupp.</w:t>
      </w:r>
    </w:p>
    <w:p>
      <w:pPr>
        <w:rPr>
          <w:rFonts w:eastAsia="Times New Roman"/>
          <w:noProof/>
        </w:rPr>
      </w:pPr>
      <w:r>
        <w:rPr>
          <w:noProof/>
        </w:rPr>
        <w:t>För WCPFC genomförs denna strategi genom rådets beslut 10124/1/14 REV 1 av den 16 juni 2014, som fastställer unionens ståndpunkt i WCPFC för perioden 2014–2018. Beslutet innehåller allmänna principer och riktlinjer, men tar också i största möjliga utsträckning hänsyn till WCPFC:s särdrag. Dessutom anges standardförfarandet för att fastställa unionens ståndpunkt på årlig basis, i enlighet med medlemsstaternas begäran.</w:t>
      </w:r>
    </w:p>
    <w:p>
      <w:pPr>
        <w:rPr>
          <w:rFonts w:eastAsia="Times New Roman"/>
          <w:noProof/>
        </w:rPr>
      </w:pPr>
      <w:r>
        <w:rPr>
          <w:noProof/>
        </w:rPr>
        <w:t>I beslut 10124/1/14 REV 1 föreskrivs en översyn av unionens ståndpunkt före årsmötet 2019. Därför fastställs i detta förslag unionens ståndpunkt i WCPFC för perioden 2019–2023, och det ersätter därmed beslut 10124/1/14 REV 1.</w:t>
      </w:r>
    </w:p>
    <w:p>
      <w:pPr>
        <w:rPr>
          <w:rFonts w:eastAsia="Times New Roman"/>
          <w:noProof/>
        </w:rPr>
      </w:pPr>
      <w:r>
        <w:rPr>
          <w:noProof/>
        </w:rPr>
        <w:t>Beslut 10124/1/14 REV 1 införlivade den nya gemensamma fiskeripolitikens principer och riktlinjer, som fastställs i Europaparlamentets och rådets förordning (EU) nr 1380/2013</w:t>
      </w:r>
      <w:r>
        <w:rPr>
          <w:rStyle w:val="FootnoteReference"/>
          <w:noProof/>
        </w:rPr>
        <w:footnoteReference w:id="2"/>
      </w:r>
      <w:r>
        <w:rPr>
          <w:noProof/>
        </w:rPr>
        <w:t>, med beaktande av målen i kommissionens meddelande om den gemensamma fiskeripolitikens internationella dimension</w:t>
      </w:r>
      <w:r>
        <w:rPr>
          <w:rStyle w:val="FootnoteReference"/>
          <w:noProof/>
        </w:rPr>
        <w:footnoteReference w:id="3"/>
      </w:r>
      <w:r>
        <w:rPr>
          <w:noProof/>
        </w:rPr>
        <w:t>. Genom beslutet anpassades unionens ståndpunkt dessutom till Lissabonfördraget.</w:t>
      </w:r>
    </w:p>
    <w:p>
      <w:pPr>
        <w:rPr>
          <w:noProof/>
        </w:rPr>
      </w:pPr>
      <w:r>
        <w:rPr>
          <w:noProof/>
        </w:rPr>
        <w:t xml:space="preserve">Den föreliggande översynen tar, i samband med fiskets påverkan, hänsyn till meddelandet från kommissionen till Europaparlamentet, rådet och Europeiska ekonomiska och sociala kommittén samt Regionkommittén, </w:t>
      </w:r>
      <w:r>
        <w:rPr>
          <w:i/>
          <w:noProof/>
        </w:rPr>
        <w:t>En europeisk strategi för plast i en cirkulär ekonomi</w:t>
      </w:r>
      <w:r>
        <w:rPr>
          <w:rStyle w:val="FootnoteReference"/>
          <w:noProof/>
        </w:rPr>
        <w:footnoteReference w:id="4"/>
      </w:r>
      <w:r>
        <w:rPr>
          <w:noProof/>
        </w:rPr>
        <w:t xml:space="preserve">, det gemensamma meddelandet från unionens höga representant för utrikes frågor och säkerhetspolitik och kommissionen, </w:t>
      </w:r>
      <w:r>
        <w:rPr>
          <w:i/>
          <w:noProof/>
        </w:rPr>
        <w:t>Internationell världshavsförvaltning: en agenda för havens framtid</w:t>
      </w:r>
      <w:r>
        <w:rPr>
          <w:rStyle w:val="FootnoteReference"/>
          <w:noProof/>
        </w:rPr>
        <w:footnoteReference w:id="5"/>
      </w:r>
      <w:r>
        <w:rPr>
          <w:noProof/>
        </w:rPr>
        <w:t>, samt rådets slutsatser om detta gemensamma meddelande</w:t>
      </w:r>
      <w:r>
        <w:rPr>
          <w:rStyle w:val="FootnoteReference"/>
          <w:noProof/>
        </w:rPr>
        <w:footnoteReference w:id="6"/>
      </w:r>
      <w:r>
        <w:rPr>
          <w:noProof/>
        </w:rPr>
        <w:t>.</w:t>
      </w:r>
    </w:p>
    <w:p>
      <w:pPr>
        <w:pStyle w:val="ManualHeading1"/>
        <w:rPr>
          <w:noProof/>
        </w:rPr>
      </w:pPr>
      <w:r>
        <w:t>4.</w:t>
      </w:r>
      <w:r>
        <w:tab/>
      </w:r>
      <w:r>
        <w:rPr>
          <w:noProof/>
        </w:rPr>
        <w:t>Rättslig grund</w:t>
      </w:r>
    </w:p>
    <w:p>
      <w:pPr>
        <w:pStyle w:val="ManualHeading2"/>
        <w:rPr>
          <w:noProof/>
        </w:rPr>
      </w:pPr>
      <w:r>
        <w:t>4.1.</w:t>
      </w:r>
      <w:r>
        <w:tab/>
      </w:r>
      <w:r>
        <w:rPr>
          <w:noProof/>
        </w:rPr>
        <w:t>Förfarandemässig rättslig grund</w:t>
      </w:r>
    </w:p>
    <w:p>
      <w:pPr>
        <w:pStyle w:val="ManualHeading3"/>
        <w:rPr>
          <w:noProof/>
        </w:rPr>
      </w:pPr>
      <w:r>
        <w:t>4.1.1.</w:t>
      </w:r>
      <w:r>
        <w:tab/>
      </w:r>
      <w:r>
        <w:rPr>
          <w:noProof/>
        </w:rPr>
        <w:t>Principer</w:t>
      </w:r>
    </w:p>
    <w:p>
      <w:pPr>
        <w:rPr>
          <w:noProof/>
        </w:rPr>
      </w:pPr>
      <w:r>
        <w:rPr>
          <w:noProof/>
        </w:rPr>
        <w:t xml:space="preserve">I artikel 218.9 i fördraget om Europeiska unionens funktionssätt (nedan kallat </w:t>
      </w:r>
      <w:r>
        <w:rPr>
          <w:i/>
          <w:noProof/>
        </w:rPr>
        <w:t>EUF-fördraget</w:t>
      </w:r>
      <w:r>
        <w:rPr>
          <w:noProof/>
        </w:rPr>
        <w:t>) föreskrivs att beslut ska antas ”om fastställande av vilka ståndpunkter som på unionens vägnar ska intas i ett organ som inrättas genom ett avtal, om detta organ ska anta akter med rättslig verkan, med undantag av sådana akter som kompletterar eller ändrar avtalets institutionella ram.”.</w:t>
      </w:r>
    </w:p>
    <w:p>
      <w:pPr>
        <w:rPr>
          <w:noProof/>
        </w:rPr>
      </w:pPr>
      <w:r>
        <w:rPr>
          <w:noProof/>
        </w:rPr>
        <w:t>”Akter med rättslig verkan” omfattar akter som har rättslig verkan med stöd av de regler i internationell rätt som tillämpas på organet i fråga och instrument som inte har bindande verkan enligt internationell rätt men som ”är ägnade att på ett avgörande sätt påverka innehållet i de bestämmelser som antas av unionslagstiftaren”</w:t>
      </w:r>
      <w:r>
        <w:rPr>
          <w:rStyle w:val="FootnoteReference"/>
          <w:noProof/>
        </w:rPr>
        <w:footnoteReference w:id="7"/>
      </w:r>
      <w:r>
        <w:rPr>
          <w:noProof/>
        </w:rPr>
        <w:t>.</w:t>
      </w:r>
    </w:p>
    <w:p>
      <w:pPr>
        <w:pStyle w:val="ManualHeading3"/>
        <w:rPr>
          <w:noProof/>
        </w:rPr>
      </w:pPr>
      <w:r>
        <w:t>4.1.2.</w:t>
      </w:r>
      <w:r>
        <w:tab/>
      </w:r>
      <w:r>
        <w:rPr>
          <w:noProof/>
        </w:rPr>
        <w:t>Tillämpning i det aktuella fallet</w:t>
      </w:r>
    </w:p>
    <w:p>
      <w:pPr>
        <w:rPr>
          <w:noProof/>
        </w:rPr>
      </w:pPr>
      <w:r>
        <w:rPr>
          <w:noProof/>
        </w:rPr>
        <w:t>WCPFC är ett organ som inrättats genom ett avtal, nämligen WCPF-konventionen.</w:t>
      </w:r>
    </w:p>
    <w:p>
      <w:pPr>
        <w:rPr>
          <w:noProof/>
        </w:rPr>
      </w:pPr>
      <w:r>
        <w:rPr>
          <w:noProof/>
        </w:rPr>
        <w:t>De akter som ska antas av WCPFC utgör akter med rättslig verkan. De kommer att vara bindande enligt internationell rätt i enlighet med artikel 20 i WCPF-konventionen och kan på ett avgörande sätt påverka innehållet i EU:s lagstiftning, nämligen följande:</w:t>
      </w:r>
    </w:p>
    <w:p>
      <w:pPr>
        <w:pStyle w:val="Bullet0"/>
        <w:numPr>
          <w:ilvl w:val="0"/>
          <w:numId w:val="12"/>
        </w:numPr>
        <w:rPr>
          <w:noProof/>
        </w:rPr>
      </w:pPr>
      <w:r>
        <w:rPr>
          <w:noProof/>
        </w:rPr>
        <w:t>Rådets förordning (EG) nr 1005/2008 om upprättande av ett gemenskapssystem för att förebygga, motverka och undanröja olagligt, orapporterat och oreglerat fiske</w:t>
      </w:r>
      <w:r>
        <w:rPr>
          <w:rStyle w:val="FootnoteReference"/>
          <w:noProof/>
        </w:rPr>
        <w:footnoteReference w:id="8"/>
      </w:r>
      <w:r>
        <w:rPr>
          <w:noProof/>
        </w:rPr>
        <w:t xml:space="preserve">. </w:t>
      </w:r>
    </w:p>
    <w:p>
      <w:pPr>
        <w:pStyle w:val="Bullet0"/>
        <w:rPr>
          <w:noProof/>
        </w:rPr>
      </w:pPr>
      <w:r>
        <w:rPr>
          <w:noProof/>
        </w:rPr>
        <w:t>Rådets förordning (EG) nr 1224/2009 om införande av ett kontrollsystem i unionen för att säkerställa att bestämmelserna i den gemensamma fiskeripolitiken efterlevs</w:t>
      </w:r>
      <w:r>
        <w:rPr>
          <w:rStyle w:val="FootnoteReference"/>
          <w:noProof/>
        </w:rPr>
        <w:footnoteReference w:id="9"/>
      </w:r>
      <w:r>
        <w:rPr>
          <w:noProof/>
        </w:rPr>
        <w:t xml:space="preserve">. </w:t>
      </w:r>
    </w:p>
    <w:p>
      <w:pPr>
        <w:pStyle w:val="Bullet0"/>
        <w:rPr>
          <w:noProof/>
        </w:rPr>
      </w:pPr>
      <w:r>
        <w:rPr>
          <w:noProof/>
        </w:rPr>
        <w:t>Europaparlamentets och rådets förordning (EU) 2017/2403 av den 12 december 2017 om hållbar förvaltning av externa fiskeflottor</w:t>
      </w:r>
      <w:r>
        <w:rPr>
          <w:rStyle w:val="FootnoteReference"/>
          <w:noProof/>
        </w:rPr>
        <w:footnoteReference w:id="10"/>
      </w:r>
      <w:r>
        <w:rPr>
          <w:noProof/>
        </w:rPr>
        <w:t>.</w:t>
      </w:r>
    </w:p>
    <w:p>
      <w:pPr>
        <w:rPr>
          <w:noProof/>
        </w:rPr>
      </w:pPr>
      <w:r>
        <w:rPr>
          <w:noProof/>
        </w:rPr>
        <w:t>De planerade akterna varken kompletterar eller ändrar WCPF-konventionens institutionella ram.</w:t>
      </w:r>
    </w:p>
    <w:p>
      <w:pPr>
        <w:rPr>
          <w:noProof/>
        </w:rPr>
      </w:pPr>
      <w:r>
        <w:rPr>
          <w:noProof/>
        </w:rPr>
        <w:t>Den förfarandemässiga rättsliga grunden för de föreslagna besluten är därför artikel 218.9 i EUF-fördraget.</w:t>
      </w:r>
    </w:p>
    <w:p>
      <w:pPr>
        <w:pStyle w:val="ManualHeading2"/>
        <w:rPr>
          <w:noProof/>
        </w:rPr>
      </w:pPr>
      <w:r>
        <w:t>4.2.</w:t>
      </w:r>
      <w:r>
        <w:tab/>
      </w:r>
      <w:r>
        <w:rPr>
          <w:noProof/>
        </w:rPr>
        <w:t>Materiell rättslig grund</w:t>
      </w:r>
    </w:p>
    <w:p>
      <w:pPr>
        <w:pStyle w:val="ManualHeading3"/>
        <w:rPr>
          <w:noProof/>
        </w:rPr>
      </w:pPr>
      <w:r>
        <w:t>4.2.1.</w:t>
      </w:r>
      <w:r>
        <w:tab/>
      </w:r>
      <w:r>
        <w:rPr>
          <w:noProof/>
        </w:rPr>
        <w:t>Principer</w:t>
      </w:r>
    </w:p>
    <w:p>
      <w:pPr>
        <w:rPr>
          <w:noProof/>
        </w:rPr>
      </w:pPr>
      <w:r>
        <w:rPr>
          <w:noProof/>
        </w:rPr>
        <w:t>Den materiella rättsliga grunden för ett beslut enligt artikel 218.9 i EUF-fördraget är främst beroende av syftet med och innehållet i den planerade akt avseende vilken en ståndpunkt intas på unionens vägnar. Om akten har två syften eller två beståndsdelar av vilka det ena syftet eller den ena beståndsdelen kan identifieras som det eller den huvudsakliga, medan det eller den andra endast är av underordnad betydelse, måste det beslut som antas enligt artikel 218.9 i EUF-fördraget ha en enda materiell rättslig grund, nämligen den som krävs med hänsyn till det huvudsakliga eller avgörande syftet eller den huvudsakliga eller avgörande beståndsdelen.</w:t>
      </w:r>
    </w:p>
    <w:p>
      <w:pPr>
        <w:pStyle w:val="ManualHeading3"/>
        <w:rPr>
          <w:noProof/>
        </w:rPr>
      </w:pPr>
      <w:r>
        <w:t>4.2.2.</w:t>
      </w:r>
      <w:r>
        <w:tab/>
      </w:r>
      <w:r>
        <w:rPr>
          <w:noProof/>
        </w:rPr>
        <w:t>Tillämpning i det aktuella fallet</w:t>
      </w:r>
    </w:p>
    <w:p>
      <w:pPr>
        <w:rPr>
          <w:noProof/>
        </w:rPr>
      </w:pPr>
      <w:r>
        <w:rPr>
          <w:noProof/>
        </w:rPr>
        <w:t>Det huvudsakliga syftet med och innehållet i den planerade akten rör fiske. Förordning (EU) nr 1380/2013 är den rättsliga grunden för fastställande av de principer som ska uttryckas i denna ståndpunkt.</w:t>
      </w:r>
    </w:p>
    <w:p>
      <w:pPr>
        <w:rPr>
          <w:noProof/>
        </w:rPr>
      </w:pPr>
      <w:r>
        <w:rPr>
          <w:noProof/>
        </w:rPr>
        <w:t>Den materiella rättsliga grunden för förslaget till beslut är därför artikel 43.2 i EUF-fördraget. Beslutet kommer att ersätta beslut 10124/1/14 REV 1, som omfattar perioden 2014–2018.</w:t>
      </w:r>
    </w:p>
    <w:p>
      <w:pPr>
        <w:pStyle w:val="ManualHeading2"/>
        <w:rPr>
          <w:noProof/>
        </w:rPr>
      </w:pPr>
      <w:r>
        <w:t>4.3.</w:t>
      </w:r>
      <w:r>
        <w:tab/>
      </w:r>
      <w:r>
        <w:rPr>
          <w:noProof/>
        </w:rPr>
        <w:t>Slutsats</w:t>
      </w:r>
    </w:p>
    <w:p>
      <w:pPr>
        <w:rPr>
          <w:noProof/>
        </w:rPr>
      </w:pPr>
      <w:r>
        <w:rPr>
          <w:noProof/>
        </w:rPr>
        <w:t>Den rättsliga grunden för det föreslagna beslutet bör vara artikel 43.2 i EUF-fördraget jämförd med artikel 218.9 i EUF-fördraget.</w:t>
      </w:r>
    </w:p>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t>2019/0050 (NLE)</w:t>
      </w:r>
    </w:p>
    <w:p>
      <w:pPr>
        <w:pStyle w:val="Statut"/>
        <w:rPr>
          <w:noProof/>
        </w:rPr>
      </w:pPr>
      <w:r>
        <w:rPr>
          <w:noProof/>
        </w:rPr>
        <w:t>Förslag till</w:t>
      </w:r>
    </w:p>
    <w:p>
      <w:pPr>
        <w:pStyle w:val="Typedudocument"/>
        <w:rPr>
          <w:noProof/>
        </w:rPr>
      </w:pPr>
      <w:r>
        <w:rPr>
          <w:noProof/>
        </w:rPr>
        <w:t>RÅDETS BESLUT</w:t>
      </w:r>
    </w:p>
    <w:p>
      <w:pPr>
        <w:pStyle w:val="Titreobjet"/>
        <w:rPr>
          <w:noProof/>
        </w:rPr>
      </w:pPr>
      <w:r>
        <w:rPr>
          <w:noProof/>
        </w:rPr>
        <w:t>om den ståndpunkt som ska intas på Europeiska unionens vägnar i Kommissionen för bevarande och förvaltning av långvandrande fiskbestånd i västra och mellersta Stilla havet och om upphävande av beslut 10124/1/14 REV 1</w:t>
      </w:r>
    </w:p>
    <w:p>
      <w:pPr>
        <w:pStyle w:val="Institutionquiagit"/>
        <w:rPr>
          <w:b/>
          <w:noProof/>
        </w:rPr>
      </w:pPr>
      <w:r>
        <w:rPr>
          <w:b/>
          <w:noProof/>
        </w:rPr>
        <w:t>EUROPEISKA UNIONENS RÅD HAR ANTAGIT DETTA BESLUT</w:t>
      </w:r>
    </w:p>
    <w:p>
      <w:pPr>
        <w:rPr>
          <w:noProof/>
        </w:rPr>
      </w:pPr>
      <w:r>
        <w:rPr>
          <w:noProof/>
        </w:rPr>
        <w:t>med beaktande av fördraget om Europeiska unionens funktionssätt</w:t>
      </w:r>
      <w:r>
        <w:t>,</w:t>
      </w:r>
      <w:r>
        <w:rPr>
          <w:noProof/>
        </w:rPr>
        <w:t xml:space="preserve"> särskilt artikel 43.2 jämförd med artikel 218.9,</w:t>
      </w:r>
    </w:p>
    <w:p>
      <w:pPr>
        <w:rPr>
          <w:noProof/>
        </w:rPr>
      </w:pPr>
      <w:r>
        <w:rPr>
          <w:noProof/>
        </w:rPr>
        <w:t>med beaktande av Europeiska kommissionens förslag, och</w:t>
      </w:r>
    </w:p>
    <w:p>
      <w:pPr>
        <w:rPr>
          <w:noProof/>
        </w:rPr>
      </w:pPr>
      <w:r>
        <w:rPr>
          <w:noProof/>
        </w:rPr>
        <w:t>av följande skäl:</w:t>
      </w:r>
    </w:p>
    <w:p>
      <w:pPr>
        <w:pStyle w:val="ManualConsidrant"/>
        <w:rPr>
          <w:rFonts w:eastAsia="Times New Roman"/>
          <w:noProof/>
          <w:szCs w:val="20"/>
        </w:rPr>
      </w:pPr>
      <w:r>
        <w:t>(1)</w:t>
      </w:r>
      <w:r>
        <w:tab/>
      </w:r>
      <w:r>
        <w:rPr>
          <w:noProof/>
        </w:rPr>
        <w:t>Genom rådets beslut 2005/75/EG</w:t>
      </w:r>
      <w:r>
        <w:rPr>
          <w:rStyle w:val="FootnoteReference"/>
          <w:noProof/>
        </w:rPr>
        <w:footnoteReference w:id="11"/>
      </w:r>
      <w:r>
        <w:rPr>
          <w:noProof/>
        </w:rPr>
        <w:t xml:space="preserve"> anslöt sig unionen till konventionen om bevarande och förvaltning av långvandrande fiskbestånd i västra och mellersta Stilla havet (WCPF-konventionen), och genom konventionen inrättades Kommissionen för bevarande och förvaltning av långvandrande fiskbestånd i västra och mellersta Stilla havet (WCPFC).</w:t>
      </w:r>
    </w:p>
    <w:p>
      <w:pPr>
        <w:pStyle w:val="ManualConsidrant"/>
        <w:rPr>
          <w:noProof/>
        </w:rPr>
      </w:pPr>
      <w:r>
        <w:t>(2)</w:t>
      </w:r>
      <w:r>
        <w:tab/>
      </w:r>
      <w:r>
        <w:rPr>
          <w:noProof/>
        </w:rPr>
        <w:t>WCPFC är det organ som inrättats genom WCPF-konventionen för att ansvara för förvaltning och bevarande av fiskeresurserna inom WCPF:s konventionsområde. WCPFC antar bevarande- och förvaltningsåtgärder för att säkerställa ett långsiktigt bevarande av långvandrande fiskbestånd i WCPF:s konventionsområde och främja ett optimalt nyttjande av dessa. Sådana åtgärder kan komma att bli bindande för unionen.</w:t>
      </w:r>
    </w:p>
    <w:p>
      <w:pPr>
        <w:pStyle w:val="ManualConsidrant"/>
        <w:rPr>
          <w:noProof/>
        </w:rPr>
      </w:pPr>
      <w:r>
        <w:t>(3)</w:t>
      </w:r>
      <w:r>
        <w:tab/>
      </w:r>
      <w:r>
        <w:rPr>
          <w:noProof/>
        </w:rPr>
        <w:t>I Europaparlamentets och rådets förordning (EU) nr 1380/2013</w:t>
      </w:r>
      <w:r>
        <w:rPr>
          <w:rStyle w:val="FootnoteReference"/>
          <w:noProof/>
        </w:rPr>
        <w:footnoteReference w:id="12"/>
      </w:r>
      <w:r>
        <w:rPr>
          <w:noProof/>
        </w:rPr>
        <w:t xml:space="preserve"> föreskrivs att unionen ska säkerställa att fiske- och vattenbruksverksamheterna är miljömässigt hållbara på lång sikt och förvaltas på ett sätt som är förenligt med målen om att uppnå nytta i ekonomiskt, socialt och sysselsättningshänseende samt att bidra till att trygga livsmedelsförsörjningen. Den föreskriver också att unionen ska tillämpa försiktighetsansatsen i fiskeriförvaltningen och säkerställa att nyttjandet av de levande marina biologiska resurserna sker på ett sådant sätt att populationerna av skördade arter återställs till och bevaras över nivåer som säkerställer en maximal hållbar avkastning. Den föreskriver också att unionen bör sträva efter att vidta förvaltnings- och bevarandeåtgärder på grundval av bästa tillgängliga vetenskapliga rådgivning, stödja utvecklingen av vetenskapliga rön och vetenskaplig rådgivning, gradvis eliminera utkast och främja fiskemetoder som bidrar till ett mer selektivt fiske och till att oönskade fångster så långt möjligt undviks och minskas samt till ett fiske med liten inverkan på de marina ekosystemen och fiskeresurserna. I förordning (EU) nr 1380/2013 föreskrivs dessutom uttryckligen att unionen ska tillämpa dessa mål och principer i sina yttre förbindelser på fiskeriområdet.</w:t>
      </w:r>
    </w:p>
    <w:p>
      <w:pPr>
        <w:pStyle w:val="ManualConsidrant"/>
        <w:rPr>
          <w:noProof/>
        </w:rPr>
      </w:pPr>
      <w:r>
        <w:t>(4)</w:t>
      </w:r>
      <w:r>
        <w:tab/>
      </w:r>
      <w:r>
        <w:rPr>
          <w:noProof/>
        </w:rPr>
        <w:t xml:space="preserve">Såsom anges i det gemensamma meddelandet från unionens höga representant för utrikes frågor och säkerhetspolitik och kommissionen, </w:t>
      </w:r>
      <w:r>
        <w:rPr>
          <w:i/>
          <w:noProof/>
        </w:rPr>
        <w:t>Internationell världshavsförvaltning: en agenda för havens framtid</w:t>
      </w:r>
      <w:r>
        <w:rPr>
          <w:rStyle w:val="FootnoteReference"/>
          <w:noProof/>
        </w:rPr>
        <w:footnoteReference w:id="13"/>
      </w:r>
      <w:r>
        <w:rPr>
          <w:noProof/>
        </w:rPr>
        <w:t>, samt rådets slutsatser om detta gemensamma meddelande</w:t>
      </w:r>
      <w:r>
        <w:rPr>
          <w:rStyle w:val="FootnoteReference"/>
          <w:noProof/>
        </w:rPr>
        <w:footnoteReference w:id="14"/>
      </w:r>
      <w:r>
        <w:rPr>
          <w:noProof/>
        </w:rPr>
        <w:t>, är främjandet av åtgärder som stöder och förbättrar ändamålsenligheten hos regionala fiskeriförvaltningsorganisationer och, vid behov, förbättrar förvaltningen i dessa organisationer av central betydelse för EU:s insatser i dessa forum.</w:t>
      </w:r>
    </w:p>
    <w:p>
      <w:pPr>
        <w:pStyle w:val="ManualConsidrant"/>
        <w:rPr>
          <w:noProof/>
        </w:rPr>
      </w:pPr>
      <w:r>
        <w:t>(5)</w:t>
      </w:r>
      <w:r>
        <w:tab/>
      </w:r>
      <w:r>
        <w:rPr>
          <w:noProof/>
        </w:rPr>
        <w:t xml:space="preserve">I meddelandet från kommissionen till Europaparlamentet, rådet, Europeiska ekonomiska och sociala kommittén samt Regionkommittén, </w:t>
      </w:r>
      <w:r>
        <w:rPr>
          <w:i/>
          <w:noProof/>
        </w:rPr>
        <w:t>En europeisk strategi för plast i en cirkulär ekonomi</w:t>
      </w:r>
      <w:r>
        <w:rPr>
          <w:rStyle w:val="FootnoteReference"/>
          <w:noProof/>
        </w:rPr>
        <w:footnoteReference w:id="15"/>
      </w:r>
      <w:r>
        <w:rPr>
          <w:noProof/>
        </w:rPr>
        <w:t>, hänvisas till särskilda åtgärder för att minska plast- och havsföroreningar samt för att se till att fiskeredskap inte förloras och överges till havs.</w:t>
      </w:r>
    </w:p>
    <w:p>
      <w:pPr>
        <w:pStyle w:val="ManualConsidrant"/>
        <w:rPr>
          <w:noProof/>
        </w:rPr>
      </w:pPr>
      <w:r>
        <w:t>(6)</w:t>
      </w:r>
      <w:r>
        <w:tab/>
      </w:r>
      <w:r>
        <w:rPr>
          <w:noProof/>
        </w:rPr>
        <w:t>Det är lämpligt att fastställa den ståndpunkt som ska intas på unionens vägnar i WCPFC:s möten under perioden 2019–2023, eftersom WCPFC:s åtgärder för bevarande och efterlevnad kommer att vara bindande för unionen och på ett avgörande sätt kunna påverka innehållet i EU:s lagstiftning, nämligen rådets förordning (EG) nr 1005/2008</w:t>
      </w:r>
      <w:r>
        <w:rPr>
          <w:rStyle w:val="FootnoteReference"/>
          <w:noProof/>
        </w:rPr>
        <w:footnoteReference w:id="16"/>
      </w:r>
      <w:r>
        <w:rPr>
          <w:noProof/>
        </w:rPr>
        <w:t>, rådets förordning (EG) nr 1224/2009</w:t>
      </w:r>
      <w:r>
        <w:rPr>
          <w:rStyle w:val="FootnoteReference"/>
          <w:noProof/>
        </w:rPr>
        <w:footnoteReference w:id="17"/>
      </w:r>
      <w:r>
        <w:rPr>
          <w:noProof/>
        </w:rPr>
        <w:t xml:space="preserve"> och Europaparlamentets och rådets förordning (EU) 2017/2403</w:t>
      </w:r>
      <w:r>
        <w:rPr>
          <w:rStyle w:val="FootnoteReference"/>
          <w:noProof/>
        </w:rPr>
        <w:footnoteReference w:id="18"/>
      </w:r>
      <w:r>
        <w:rPr>
          <w:noProof/>
        </w:rPr>
        <w:t>.</w:t>
      </w:r>
    </w:p>
    <w:p>
      <w:pPr>
        <w:pStyle w:val="ManualConsidrant"/>
        <w:rPr>
          <w:noProof/>
        </w:rPr>
      </w:pPr>
      <w:r>
        <w:t>(7)</w:t>
      </w:r>
      <w:r>
        <w:tab/>
      </w:r>
      <w:r>
        <w:rPr>
          <w:noProof/>
        </w:rPr>
        <w:t>Den ståndpunkt som ska intas på unionens vägnar vid WCPFC:s möten fastställs för närvarande genom rådets beslut 10124/1/14 REV 1</w:t>
      </w:r>
      <w:r>
        <w:rPr>
          <w:rStyle w:val="FootnoteReference"/>
          <w:noProof/>
        </w:rPr>
        <w:footnoteReference w:id="19"/>
      </w:r>
      <w:r>
        <w:rPr>
          <w:noProof/>
        </w:rPr>
        <w:t>. Det är lämpligt att upphäva beslut 10124/1/14 REV 1 och ersätta det med ett nytt beslut för perioden 2019–2023.</w:t>
      </w:r>
    </w:p>
    <w:p>
      <w:pPr>
        <w:pStyle w:val="ManualConsidrant"/>
        <w:rPr>
          <w:noProof/>
        </w:rPr>
      </w:pPr>
      <w:r>
        <w:t>(8)</w:t>
      </w:r>
      <w:r>
        <w:tab/>
      </w:r>
      <w:r>
        <w:rPr>
          <w:noProof/>
        </w:rPr>
        <w:t>Med hänsyn till att fiskeresurserna inom WCPF:s konventionsområde befinner sig i ständig utveckling och att det därför finns ett behov av att unionens ståndpunkt beaktar ny utveckling, däribland nya vetenskapliga och andra uppgifter som läggs fram före eller under WCPFC:s möten, bör förfaranden fastställas, i enlighet med principen om lojalt samarbete mellan unionens institutioner enligt artikel 13.2 i fördraget om Europeiska unionen (EU-fördraget), för den årliga specificeringen av unionens ståndpunkt för perioden 2019–2023.</w:t>
      </w:r>
    </w:p>
    <w:p>
      <w:pPr>
        <w:pStyle w:val="Formuledadoption"/>
        <w:rPr>
          <w:noProof/>
        </w:rPr>
      </w:pPr>
      <w:r>
        <w:rPr>
          <w:noProof/>
        </w:rPr>
        <w:t>HÄRIGENOM FÖRESKRIVS FÖLJANDE.</w:t>
      </w:r>
    </w:p>
    <w:p>
      <w:pPr>
        <w:pStyle w:val="Titrearticle"/>
        <w:rPr>
          <w:noProof/>
        </w:rPr>
      </w:pPr>
      <w:r>
        <w:rPr>
          <w:noProof/>
        </w:rPr>
        <w:t>Artikel 1</w:t>
      </w:r>
    </w:p>
    <w:p>
      <w:pPr>
        <w:autoSpaceDE w:val="0"/>
        <w:autoSpaceDN w:val="0"/>
        <w:adjustRightInd w:val="0"/>
        <w:spacing w:before="0" w:after="0"/>
        <w:rPr>
          <w:noProof/>
        </w:rPr>
      </w:pPr>
      <w:r>
        <w:rPr>
          <w:noProof/>
        </w:rPr>
        <w:t>Den ståndpunkt som ska intas på unionens vägnar under möten i Kommissionen för bevarande och förvaltning av långvandrande fiskbestånd i västra och mellersta Stilla havet anges i bilaga I.</w:t>
      </w:r>
    </w:p>
    <w:p>
      <w:pPr>
        <w:pStyle w:val="Titrearticle"/>
        <w:rPr>
          <w:noProof/>
        </w:rPr>
      </w:pPr>
      <w:r>
        <w:rPr>
          <w:noProof/>
        </w:rPr>
        <w:t>Artikel 2</w:t>
      </w:r>
    </w:p>
    <w:p>
      <w:pPr>
        <w:autoSpaceDE w:val="0"/>
        <w:autoSpaceDN w:val="0"/>
        <w:adjustRightInd w:val="0"/>
        <w:spacing w:before="0" w:after="0"/>
        <w:rPr>
          <w:noProof/>
          <w:szCs w:val="24"/>
        </w:rPr>
      </w:pPr>
      <w:r>
        <w:rPr>
          <w:noProof/>
        </w:rPr>
        <w:t>Den årliga specificeringen av den ståndpunkt som unionen ska inta under WCPFC:s möten ska ske i enlighet med bilaga II.</w:t>
      </w:r>
    </w:p>
    <w:p>
      <w:pPr>
        <w:pStyle w:val="Titrearticle"/>
        <w:rPr>
          <w:noProof/>
        </w:rPr>
      </w:pPr>
      <w:r>
        <w:rPr>
          <w:noProof/>
        </w:rPr>
        <w:t>Artikel 3</w:t>
      </w:r>
    </w:p>
    <w:p>
      <w:pPr>
        <w:rPr>
          <w:noProof/>
        </w:rPr>
      </w:pPr>
      <w:r>
        <w:rPr>
          <w:noProof/>
        </w:rPr>
        <w:t>Unionens ståndpunkt som anges i bilaga I ska utvärderas och, vid behov, revideras av rådet på kommissionens förslag, senast inför WCPFC:s årsmöte 2024.</w:t>
      </w:r>
    </w:p>
    <w:p>
      <w:pPr>
        <w:pStyle w:val="Titrearticle"/>
        <w:rPr>
          <w:noProof/>
        </w:rPr>
      </w:pPr>
      <w:r>
        <w:rPr>
          <w:noProof/>
        </w:rPr>
        <w:t>Artikel 4</w:t>
      </w:r>
    </w:p>
    <w:p>
      <w:pPr>
        <w:autoSpaceDE w:val="0"/>
        <w:autoSpaceDN w:val="0"/>
        <w:adjustRightInd w:val="0"/>
        <w:spacing w:before="0" w:after="0"/>
        <w:rPr>
          <w:noProof/>
          <w:szCs w:val="24"/>
        </w:rPr>
      </w:pPr>
      <w:r>
        <w:rPr>
          <w:noProof/>
        </w:rPr>
        <w:t>Beslut 10124/1/14 REV 1 av den 3 juni 2014 ska upphöra att gälla.</w:t>
      </w:r>
    </w:p>
    <w:p>
      <w:pPr>
        <w:pStyle w:val="Titrearticle"/>
        <w:rPr>
          <w:noProof/>
        </w:rPr>
      </w:pPr>
      <w:r>
        <w:rPr>
          <w:noProof/>
        </w:rPr>
        <w:t>Artikel 5</w:t>
      </w:r>
    </w:p>
    <w:p>
      <w:pPr>
        <w:autoSpaceDE w:val="0"/>
        <w:autoSpaceDN w:val="0"/>
        <w:adjustRightInd w:val="0"/>
        <w:spacing w:before="0" w:after="0"/>
        <w:rPr>
          <w:noProof/>
          <w:szCs w:val="24"/>
        </w:rPr>
      </w:pPr>
      <w:r>
        <w:rPr>
          <w:noProof/>
        </w:rPr>
        <w:t>Detta beslut riktar sig till kommissionen.</w:t>
      </w:r>
    </w:p>
    <w:p>
      <w:pPr>
        <w:pStyle w:val="Fait"/>
        <w:rPr>
          <w:noProof/>
        </w:rPr>
      </w:pPr>
      <w:r>
        <w:t>Utfärdat i Bryssel den</w:t>
      </w:r>
    </w:p>
    <w:p>
      <w:pPr>
        <w:pStyle w:val="Institutionquisigne"/>
        <w:rPr>
          <w:noProof/>
        </w:rPr>
      </w:pPr>
      <w:r>
        <w:rPr>
          <w:noProof/>
        </w:rPr>
        <w:tab/>
        <w:t>På rådets vägnar</w:t>
      </w:r>
    </w:p>
    <w:p>
      <w:pPr>
        <w:pStyle w:val="Personnequisigne"/>
        <w:rPr>
          <w:noProof/>
        </w:rPr>
      </w:pPr>
      <w:r>
        <w:rPr>
          <w:noProof/>
        </w:rPr>
        <w:tab/>
        <w:t>Ordförande</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SV</w:t>
    </w:r>
    <w:r>
      <w:rPr>
        <w:rFonts w:ascii="Arial" w:hAnsi="Arial" w:cs="Arial"/>
        <w:b/>
        <w:sz w:val="48"/>
      </w:rPr>
      <w:tab/>
    </w:r>
    <w:r>
      <w:rPr>
        <w:rFonts w:ascii="Arial" w:hAnsi="Arial" w:cs="Arial"/>
        <w:b/>
        <w:sz w:val="48"/>
      </w:rPr>
      <w:tab/>
    </w:r>
    <w:r>
      <w:tab/>
    </w:r>
    <w:r>
      <w:rPr>
        <w:rFonts w:ascii="Arial" w:hAnsi="Arial" w:cs="Arial"/>
        <w:b/>
        <w:sz w:val="48"/>
      </w:rPr>
      <w:t>SV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SV</w:t>
    </w:r>
    <w:r>
      <w:rPr>
        <w:rFonts w:ascii="Arial" w:hAnsi="Arial" w:cs="Arial"/>
        <w:b/>
        <w:sz w:val="48"/>
      </w:rPr>
      <w:tab/>
    </w:r>
    <w:r>
      <w:fldChar w:fldCharType="begin"/>
    </w:r>
    <w:r>
      <w:instrText xml:space="preserve"> PAGE  \* MERGEFORMAT </w:instrText>
    </w:r>
    <w:r>
      <w:fldChar w:fldCharType="separate"/>
    </w:r>
    <w:r>
      <w:rPr>
        <w:noProof/>
      </w:rPr>
      <w:t>6</w:t>
    </w:r>
    <w:r>
      <w:fldChar w:fldCharType="end"/>
    </w:r>
    <w:r>
      <w:tab/>
    </w:r>
    <w:r>
      <w:tab/>
    </w:r>
    <w:r>
      <w:rPr>
        <w:rFonts w:ascii="Arial" w:hAnsi="Arial" w:cs="Arial"/>
        <w:b/>
        <w:sz w:val="48"/>
      </w:rPr>
      <w:t>SV</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Rådets beslut 2005/75/EG av den 26 april 2004 om gemenskapens anslutning till konventionen om bevarande och förvaltning av långvandrande fiskbestånd i västra och mellersta Stilla havet (EUT L 32, 4.2.2005, s. 1).</w:t>
      </w:r>
    </w:p>
  </w:footnote>
  <w:footnote w:id="2">
    <w:p>
      <w:pPr>
        <w:pStyle w:val="FootnoteText"/>
      </w:pPr>
      <w:r>
        <w:rPr>
          <w:rStyle w:val="FootnoteReference"/>
        </w:rPr>
        <w:footnoteRef/>
      </w:r>
      <w:r>
        <w:tab/>
        <w:t>Europaparlamentets och rådets förordning (EU) nr 1380/2013 om den gemensamma fiskeripolitiken, om ändring av rådets förordningar (EG) nr 1954/2003 och (EG) nr 1224/2009 och om upphävande av rådets förordningar (EG) nr 2371/2002 och (EG) nr 639/2004 och rådets beslut 2004/585/EG (EUT L 354, 28.12.2013, s. 22).</w:t>
      </w:r>
    </w:p>
  </w:footnote>
  <w:footnote w:id="3">
    <w:p>
      <w:pPr>
        <w:pStyle w:val="FootnoteText"/>
        <w:rPr>
          <w:lang w:val="pt-PT"/>
        </w:rPr>
      </w:pPr>
      <w:r>
        <w:rPr>
          <w:rStyle w:val="FootnoteReference"/>
        </w:rPr>
        <w:footnoteRef/>
      </w:r>
      <w:r>
        <w:rPr>
          <w:lang w:val="pt-PT"/>
        </w:rPr>
        <w:tab/>
        <w:t>KOM(2011) 424, 13.7.2011.</w:t>
      </w:r>
    </w:p>
  </w:footnote>
  <w:footnote w:id="4">
    <w:p>
      <w:pPr>
        <w:pStyle w:val="FootnoteText"/>
        <w:rPr>
          <w:lang w:val="pt-PT"/>
        </w:rPr>
      </w:pPr>
      <w:r>
        <w:rPr>
          <w:rStyle w:val="FootnoteReference"/>
        </w:rPr>
        <w:footnoteRef/>
      </w:r>
      <w:r>
        <w:rPr>
          <w:lang w:val="pt-PT"/>
        </w:rPr>
        <w:tab/>
        <w:t>COM(2018) 28 final, 16.1.2018.</w:t>
      </w:r>
    </w:p>
  </w:footnote>
  <w:footnote w:id="5">
    <w:p>
      <w:pPr>
        <w:pStyle w:val="FootnoteText"/>
        <w:rPr>
          <w:lang w:val="pt-PT"/>
        </w:rPr>
      </w:pPr>
      <w:r>
        <w:rPr>
          <w:rStyle w:val="FootnoteReference"/>
        </w:rPr>
        <w:footnoteRef/>
      </w:r>
      <w:r>
        <w:rPr>
          <w:lang w:val="pt-PT"/>
        </w:rPr>
        <w:tab/>
        <w:t>JOIN(2016) 49 final, 10.11.2016.</w:t>
      </w:r>
    </w:p>
  </w:footnote>
  <w:footnote w:id="6">
    <w:p>
      <w:pPr>
        <w:pStyle w:val="FootnoteText"/>
        <w:rPr>
          <w:lang w:val="pt-PT"/>
        </w:rPr>
      </w:pPr>
      <w:r>
        <w:rPr>
          <w:rStyle w:val="FootnoteReference"/>
        </w:rPr>
        <w:footnoteRef/>
      </w:r>
      <w:r>
        <w:rPr>
          <w:lang w:val="pt-PT"/>
        </w:rPr>
        <w:tab/>
        <w:t>7348/1/17 REV 1, 24.3.2017.</w:t>
      </w:r>
    </w:p>
  </w:footnote>
  <w:footnote w:id="7">
    <w:p>
      <w:pPr>
        <w:pStyle w:val="FootnoteText"/>
        <w:rPr>
          <w:lang w:val="pt-PT"/>
        </w:rPr>
      </w:pPr>
      <w:r>
        <w:rPr>
          <w:rStyle w:val="FootnoteReference"/>
        </w:rPr>
        <w:footnoteRef/>
      </w:r>
      <w:r>
        <w:rPr>
          <w:lang w:val="pt-PT"/>
        </w:rPr>
        <w:tab/>
        <w:t>Domstolens dom av den 7 oktober 2014, Tyskland/rådet, C-399/12, ECLI:EU:C:2014:2258, punkt 61–64.</w:t>
      </w:r>
    </w:p>
  </w:footnote>
  <w:footnote w:id="8">
    <w:p>
      <w:pPr>
        <w:pStyle w:val="FootnoteText"/>
        <w:rPr>
          <w:lang w:val="pt-PT"/>
        </w:rPr>
      </w:pPr>
      <w:r>
        <w:rPr>
          <w:rStyle w:val="FootnoteReference"/>
        </w:rPr>
        <w:footnoteRef/>
      </w:r>
      <w:r>
        <w:rPr>
          <w:lang w:val="pt-PT"/>
        </w:rPr>
        <w:tab/>
        <w:t>EUT L 286, 29.10.2008, s. 1.</w:t>
      </w:r>
    </w:p>
  </w:footnote>
  <w:footnote w:id="9">
    <w:p>
      <w:pPr>
        <w:pStyle w:val="FootnoteText"/>
        <w:rPr>
          <w:lang w:val="pt-PT"/>
        </w:rPr>
      </w:pPr>
      <w:r>
        <w:rPr>
          <w:rStyle w:val="FootnoteReference"/>
        </w:rPr>
        <w:footnoteRef/>
      </w:r>
      <w:r>
        <w:rPr>
          <w:lang w:val="pt-PT"/>
        </w:rPr>
        <w:tab/>
        <w:t>EUT L 343, 22.12.2009, s. 1.</w:t>
      </w:r>
    </w:p>
  </w:footnote>
  <w:footnote w:id="10">
    <w:p>
      <w:pPr>
        <w:pStyle w:val="FootnoteText"/>
        <w:rPr>
          <w:lang w:val="pt-PT"/>
        </w:rPr>
      </w:pPr>
      <w:r>
        <w:rPr>
          <w:rStyle w:val="FootnoteReference"/>
        </w:rPr>
        <w:footnoteRef/>
      </w:r>
      <w:r>
        <w:rPr>
          <w:lang w:val="pt-PT"/>
        </w:rPr>
        <w:tab/>
        <w:t>EUT L 347, 28.12.2017, s. 81.</w:t>
      </w:r>
    </w:p>
  </w:footnote>
  <w:footnote w:id="11">
    <w:p>
      <w:pPr>
        <w:pStyle w:val="FootnoteText"/>
      </w:pPr>
      <w:r>
        <w:rPr>
          <w:rStyle w:val="FootnoteReference"/>
        </w:rPr>
        <w:footnoteRef/>
      </w:r>
      <w:r>
        <w:tab/>
        <w:t>Rådets beslut 2005/75/EG av den 26 april 2004 om gemenskapens anslutning till konventionen om bevarande och förvaltning av långvandrande fiskbestånd i västra och mellersta Stilla havet (EUT L 32, 4.2.2005, s. 1).</w:t>
      </w:r>
    </w:p>
  </w:footnote>
  <w:footnote w:id="12">
    <w:p>
      <w:pPr>
        <w:pStyle w:val="FootnoteText"/>
      </w:pPr>
      <w:r>
        <w:rPr>
          <w:rStyle w:val="FootnoteReference"/>
        </w:rPr>
        <w:footnoteRef/>
      </w:r>
      <w:r>
        <w:tab/>
        <w:t>Europaparlamentets och rådets förordning (EU) nr 1380/2013 av den 11 december 2013 om den gemensamma fiskeripolitiken, om ändring av rådets förordningar (EG) nr 1954/2003 och (EG) nr 1224/2009 och om upphävande av rådets förordningar (EG) nr 2371/2002 och (EG) nr 639/2004 och rådets beslut 2004/585/EG (EUT L 354, 28.12.2013, s. 22).</w:t>
      </w:r>
    </w:p>
  </w:footnote>
  <w:footnote w:id="13">
    <w:p>
      <w:pPr>
        <w:pStyle w:val="FootnoteText"/>
        <w:rPr>
          <w:lang w:val="pt-PT"/>
        </w:rPr>
      </w:pPr>
      <w:r>
        <w:rPr>
          <w:rStyle w:val="FootnoteReference"/>
        </w:rPr>
        <w:footnoteRef/>
      </w:r>
      <w:r>
        <w:rPr>
          <w:lang w:val="pt-PT"/>
        </w:rPr>
        <w:tab/>
        <w:t>JOIN(2016) 49 final, 10.11.2016.</w:t>
      </w:r>
    </w:p>
  </w:footnote>
  <w:footnote w:id="14">
    <w:p>
      <w:pPr>
        <w:pStyle w:val="FootnoteText"/>
        <w:rPr>
          <w:lang w:val="pt-PT"/>
        </w:rPr>
      </w:pPr>
      <w:r>
        <w:rPr>
          <w:rStyle w:val="FootnoteReference"/>
        </w:rPr>
        <w:footnoteRef/>
      </w:r>
      <w:r>
        <w:rPr>
          <w:lang w:val="pt-PT"/>
        </w:rPr>
        <w:tab/>
        <w:t>7348/1/17 REV 1, 24.3.2017.</w:t>
      </w:r>
    </w:p>
  </w:footnote>
  <w:footnote w:id="15">
    <w:p>
      <w:pPr>
        <w:pStyle w:val="FootnoteText"/>
        <w:rPr>
          <w:lang w:val="pt-PT"/>
        </w:rPr>
      </w:pPr>
      <w:r>
        <w:rPr>
          <w:rStyle w:val="FootnoteReference"/>
        </w:rPr>
        <w:footnoteRef/>
      </w:r>
      <w:r>
        <w:rPr>
          <w:lang w:val="pt-PT"/>
        </w:rPr>
        <w:tab/>
        <w:t>COM(2018) 28 final, 16.1.2018.</w:t>
      </w:r>
    </w:p>
  </w:footnote>
  <w:footnote w:id="16">
    <w:p>
      <w:pPr>
        <w:pStyle w:val="FootnoteText"/>
      </w:pPr>
      <w:r>
        <w:rPr>
          <w:rStyle w:val="FootnoteReference"/>
        </w:rPr>
        <w:footnoteRef/>
      </w:r>
      <w:r>
        <w:tab/>
        <w:t>Rådets förordning (EG) nr 1005/2008 av den 29 september 2008 om upprättande av ett gemenskapssystem för att förebygga, motverka och undanröja olagligt, orapporterat och oreglerat fiske och om ändring av förordningarna (EEG) nr 2847/93, (EG) nr 1936/2001 och (EG) nr 601/2004 samt om upphävande av förordningarna (EG) nr 1093/94 och (EG) nr 1447/1999 (EUT L 286, 29.10.2008, s. 1)</w:t>
      </w:r>
    </w:p>
  </w:footnote>
  <w:footnote w:id="17">
    <w:p>
      <w:pPr>
        <w:pStyle w:val="FootnoteText"/>
        <w:rPr>
          <w:lang w:val="nn-NO"/>
        </w:rPr>
      </w:pPr>
      <w:r>
        <w:rPr>
          <w:rStyle w:val="FootnoteReference"/>
        </w:rPr>
        <w:footnoteRef/>
      </w:r>
      <w:r>
        <w:rPr>
          <w:lang w:val="nn-NO"/>
        </w:rPr>
        <w:tab/>
        <w:t>Rådets förordning (EG) nr 1224/2009 av den 20 november 2009 om införande av ett kontrollsystem i unionen för att säkerställa att bestämmelserna i den gemensamma fiskeripolitiken efterlevs, om ändring av förordningarna (EG) nr 847/96, (EG) nr 2371/2002, (EG) nr 811/2004, (EG) nr 768/2005, (EG) nr 2115/2005, (EG) nr 2166/2005, (EG) nr 388/2006, (EG) nr 509/2007, (EG) nr 676/2007, (EG) nr 1098/2007, (EG) nr 1300/2008, (EG) nr 1342/2008 och upphävande av förordningarna (EEG) nr 2847/93, (EG) nr 1627/94 och (EG) nr 1966/2006 (EUT L 343, 22.12.2009. s. 1).</w:t>
      </w:r>
    </w:p>
  </w:footnote>
  <w:footnote w:id="18">
    <w:p>
      <w:pPr>
        <w:pStyle w:val="FootnoteText"/>
      </w:pPr>
      <w:r>
        <w:rPr>
          <w:rStyle w:val="FootnoteReference"/>
        </w:rPr>
        <w:footnoteRef/>
      </w:r>
      <w:r>
        <w:tab/>
        <w:t>Europaparlamentets och rådets förordning (EU) 2017/2403 av den 12 december 2017 om hållbar förvaltning av externa fiskeflottor och om upphävande av rådets förordning (EG) nr 1006/2008 (EUT L 347, 28.12.2017, s. 81).</w:t>
      </w:r>
    </w:p>
  </w:footnote>
  <w:footnote w:id="19">
    <w:p>
      <w:pPr>
        <w:pStyle w:val="FootnoteText"/>
      </w:pPr>
      <w:r>
        <w:rPr>
          <w:rStyle w:val="FootnoteReference"/>
        </w:rPr>
        <w:footnoteRef/>
      </w:r>
      <w:r>
        <w:tab/>
        <w:t>Rådets beslut av den 3 juni 2014 om den ståndpunkt som ska intas på Europeiska unionens vägnar</w:t>
      </w:r>
    </w:p>
    <w:p>
      <w:pPr>
        <w:pStyle w:val="FootnoteText"/>
        <w:ind w:firstLine="0"/>
      </w:pPr>
      <w:r>
        <w:t>för bevarande och förvaltning av långvandrande fiskbestånd i</w:t>
      </w:r>
    </w:p>
    <w:p>
      <w:pPr>
        <w:pStyle w:val="FootnoteText"/>
        <w:ind w:firstLine="0"/>
      </w:pPr>
      <w:r>
        <w:t>Kommissionen för bevarande och förvaltning av långvandrande fiskbestånd i västra och mellersta Stilla havet (WCPFC).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CAE4373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1D9898E4"/>
    <w:lvl w:ilvl="0">
      <w:start w:val="1"/>
      <w:numFmt w:val="decimal"/>
      <w:pStyle w:val="ListNumber3"/>
      <w:lvlText w:val="%1."/>
      <w:lvlJc w:val="left"/>
      <w:pPr>
        <w:tabs>
          <w:tab w:val="num" w:pos="926"/>
        </w:tabs>
        <w:ind w:left="926" w:hanging="360"/>
      </w:pPr>
    </w:lvl>
  </w:abstractNum>
  <w:abstractNum w:abstractNumId="2">
    <w:nsid w:val="FFFFFF7F"/>
    <w:multiLevelType w:val="singleLevel"/>
    <w:tmpl w:val="96D6264A"/>
    <w:lvl w:ilvl="0">
      <w:start w:val="1"/>
      <w:numFmt w:val="decimal"/>
      <w:pStyle w:val="ListNumber2"/>
      <w:lvlText w:val="%1."/>
      <w:lvlJc w:val="left"/>
      <w:pPr>
        <w:tabs>
          <w:tab w:val="num" w:pos="643"/>
        </w:tabs>
        <w:ind w:left="643" w:hanging="360"/>
      </w:pPr>
    </w:lvl>
  </w:abstractNum>
  <w:abstractNum w:abstractNumId="3">
    <w:nsid w:val="FFFFFF81"/>
    <w:multiLevelType w:val="singleLevel"/>
    <w:tmpl w:val="689A618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5B4E57C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700E3DF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5340487E"/>
    <w:lvl w:ilvl="0">
      <w:start w:val="1"/>
      <w:numFmt w:val="decimal"/>
      <w:pStyle w:val="ListNumber"/>
      <w:lvlText w:val="%1."/>
      <w:lvlJc w:val="left"/>
      <w:pPr>
        <w:tabs>
          <w:tab w:val="num" w:pos="360"/>
        </w:tabs>
        <w:ind w:left="360" w:hanging="360"/>
      </w:pPr>
    </w:lvl>
  </w:abstractNum>
  <w:abstractNum w:abstractNumId="7">
    <w:nsid w:val="FFFFFF89"/>
    <w:multiLevelType w:val="singleLevel"/>
    <w:tmpl w:val="DE1EAD4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47AB25E5"/>
    <w:multiLevelType w:val="singleLevel"/>
    <w:tmpl w:val="75164398"/>
    <w:name w:val="Dash 1"/>
    <w:lvl w:ilvl="0">
      <w:start w:val="1"/>
      <w:numFmt w:val="bullet"/>
      <w:lvlRestart w:val="0"/>
      <w:pStyle w:val="Dash1"/>
      <w:lvlText w:val="–"/>
      <w:lvlJc w:val="left"/>
      <w:pPr>
        <w:tabs>
          <w:tab w:val="num" w:pos="1134"/>
        </w:tabs>
        <w:ind w:left="1134" w:hanging="567"/>
      </w:pPr>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num>
  <w:num w:numId="7">
    <w:abstractNumId w:val="6"/>
  </w:num>
  <w:num w:numId="8">
    <w:abstractNumId w:val="2"/>
  </w:num>
  <w:num w:numId="9">
    <w:abstractNumId w:val="1"/>
  </w:num>
  <w:num w:numId="10">
    <w:abstractNumId w:val="0"/>
  </w:num>
  <w:num w:numId="11">
    <w:abstractNumId w:val="15"/>
  </w:num>
  <w:num w:numId="12">
    <w:abstractNumId w:val="14"/>
    <w:lvlOverride w:ilvl="0">
      <w:startOverride w:val="1"/>
    </w:lvlOverride>
  </w:num>
  <w:num w:numId="13">
    <w:abstractNumId w:val="19"/>
  </w:num>
  <w:num w:numId="14">
    <w:abstractNumId w:val="12"/>
  </w:num>
  <w:num w:numId="15">
    <w:abstractNumId w:val="21"/>
  </w:num>
  <w:num w:numId="16">
    <w:abstractNumId w:val="11"/>
  </w:num>
  <w:num w:numId="17">
    <w:abstractNumId w:val="13"/>
  </w:num>
  <w:num w:numId="18">
    <w:abstractNumId w:val="9"/>
  </w:num>
  <w:num w:numId="19">
    <w:abstractNumId w:val="20"/>
  </w:num>
  <w:num w:numId="20">
    <w:abstractNumId w:val="8"/>
  </w:num>
  <w:num w:numId="21">
    <w:abstractNumId w:val="14"/>
  </w:num>
  <w:num w:numId="22">
    <w:abstractNumId w:val="17"/>
  </w:num>
  <w:num w:numId="23">
    <w:abstractNumId w:val="18"/>
  </w:num>
  <w:num w:numId="24">
    <w:abstractNumId w:val="10"/>
  </w:num>
  <w:num w:numId="25">
    <w:abstractNumId w:val="16"/>
  </w:num>
  <w:num w:numId="26">
    <w:abstractNumId w:val="2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3-06 07:39:12"/>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2"/>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C7058471-C500-4C22-85E2-0DF5B8B13379"/>
    <w:docVar w:name="LW_COVERPAGE_TYPE" w:val="1"/>
    <w:docVar w:name="LW_CROSSREFERENCE" w:val="&lt;UNUSED&gt;"/>
    <w:docVar w:name="LW_DocType" w:val="COM"/>
    <w:docVar w:name="LW_EMISSION" w:val="7.3.2019"/>
    <w:docVar w:name="LW_EMISSION_ISODATE" w:val="2019-03-07"/>
    <w:docVar w:name="LW_EMISSION_LOCATION" w:val="BRX"/>
    <w:docVar w:name="LW_EMISSION_PREFIX" w:val="Bryssel den "/>
    <w:docVar w:name="LW_EMISSION_SUFFIX" w:val="&lt;EMPTY&gt;"/>
    <w:docVar w:name="LW_ID_DOCMODEL" w:val="SJ-043"/>
    <w:docVar w:name="LW_ID_DOCSIGNATURE" w:val="SJ-019"/>
    <w:docVar w:name="LW_ID_DOCSTRUCTURE" w:val="COM/PL/ORG"/>
    <w:docVar w:name="LW_ID_DOCTYPE" w:val="SJ-043"/>
    <w:docVar w:name="LW_ID_EXP.MOTIFS.NEW" w:val="EM_PL2_"/>
    <w:docVar w:name="LW_ID_STATUT" w:val="SJ-019"/>
    <w:docVar w:name="LW_INTERETEEE.CP" w:val="&lt;UNUSED&gt;"/>
    <w:docVar w:name="LW_LANGUE" w:val="SV"/>
    <w:docVar w:name="LW_LEVEL_OF_SENSITIVITY" w:val="Standard treatment"/>
    <w:docVar w:name="LW_NOM.INST" w:val="EUROPEISKA KOMMISSIONEN"/>
    <w:docVar w:name="LW_NOM.INST_JOINTDOC" w:val="&lt;EMPTY&gt;"/>
    <w:docVar w:name="LW_PART_NBR" w:val="1"/>
    <w:docVar w:name="LW_PART_NBR_TOTAL" w:val="1"/>
    <w:docVar w:name="LW_REF.II.NEW.CP" w:val="NLE"/>
    <w:docVar w:name="LW_REF.II.NEW.CP_NUMBER" w:val="0050"/>
    <w:docVar w:name="LW_REF.II.NEW.CP_YEAR" w:val="2019"/>
    <w:docVar w:name="LW_REF.INST.NEW" w:val="COM"/>
    <w:docVar w:name="LW_REF.INST.NEW_ADOPTED" w:val="final"/>
    <w:docVar w:name="LW_REF.INST.NEW_TEXT" w:val="(2019) 10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Förslag till"/>
    <w:docVar w:name="LW_SUPERTITRE" w:val="&lt;UNUSED&gt;"/>
    <w:docVar w:name="LW_TITRE.OBJ.CP" w:val="om den ståndpunkt som ska intas på Europeiska unionens vägnar i Kommissionen för bevarande och förvaltning av långvandrande fiskbestånd i västra och mellersta Stilla havet och om upphävande av beslut 10124/1/14 REV 1"/>
    <w:docVar w:name="LW_TYPE.DOC.CP" w:val="RÅDETS BESLUT"/>
    <w:docVar w:name="Stamp" w:val="\\dossiers.dgt.cec.eu.int\dossiers\MARE\MARE-2018-00541\MARE-2018-00541-00-05-EN-EDT-00.201812071036373787230.DOCX"/>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v-SE"/>
    </w:rPr>
  </w:style>
  <w:style w:type="paragraph" w:styleId="Heading1">
    <w:name w:val="heading 1"/>
    <w:basedOn w:val="Normal"/>
    <w:next w:val="Text1"/>
    <w:link w:val="Heading1Char"/>
    <w:uiPriority w:val="9"/>
    <w:qFormat/>
    <w:pPr>
      <w:keepNext/>
      <w:numPr>
        <w:numId w:val="1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Pr>
      <w:b/>
      <w:bCs/>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v-SE"/>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v-S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v-SE"/>
    </w:rPr>
  </w:style>
  <w:style w:type="character" w:styleId="Hyperlink">
    <w:name w:val="Hyperlink"/>
    <w:basedOn w:val="DefaultParagraphFont"/>
    <w:uiPriority w:val="99"/>
    <w:unhideWhenUsed/>
    <w:rPr>
      <w:color w:val="0000FF" w:themeColor="hyperlink"/>
      <w:u w:val="single"/>
    </w:rPr>
  </w:style>
  <w:style w:type="paragraph" w:customStyle="1" w:styleId="Dash1">
    <w:name w:val="Dash 1"/>
    <w:basedOn w:val="Normal"/>
    <w:pPr>
      <w:numPr>
        <w:numId w:val="11"/>
      </w:numPr>
      <w:spacing w:line="360" w:lineRule="auto"/>
      <w:jc w:val="left"/>
      <w:outlineLvl w:val="0"/>
    </w:pPr>
    <w:rPr>
      <w:rFonts w:eastAsia="Times New Roman"/>
      <w:szCs w:val="24"/>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v-S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v-S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3"/>
      </w:numPr>
    </w:pPr>
  </w:style>
  <w:style w:type="paragraph" w:customStyle="1" w:styleId="Tiret1">
    <w:name w:val="Tiret 1"/>
    <w:basedOn w:val="Point1"/>
    <w:pPr>
      <w:numPr>
        <w:numId w:val="14"/>
      </w:numPr>
    </w:pPr>
  </w:style>
  <w:style w:type="paragraph" w:customStyle="1" w:styleId="Tiret2">
    <w:name w:val="Tiret 2"/>
    <w:basedOn w:val="Point2"/>
    <w:pPr>
      <w:numPr>
        <w:numId w:val="15"/>
      </w:numPr>
    </w:pPr>
  </w:style>
  <w:style w:type="paragraph" w:customStyle="1" w:styleId="Tiret3">
    <w:name w:val="Tiret 3"/>
    <w:basedOn w:val="Point3"/>
    <w:pPr>
      <w:numPr>
        <w:numId w:val="16"/>
      </w:numPr>
    </w:pPr>
  </w:style>
  <w:style w:type="paragraph" w:customStyle="1" w:styleId="Tiret4">
    <w:name w:val="Tiret 4"/>
    <w:basedOn w:val="Point4"/>
    <w:pPr>
      <w:numPr>
        <w:numId w:val="1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8"/>
      </w:numPr>
    </w:pPr>
  </w:style>
  <w:style w:type="paragraph" w:customStyle="1" w:styleId="NumPar2">
    <w:name w:val="NumPar 2"/>
    <w:basedOn w:val="Normal"/>
    <w:next w:val="Text1"/>
    <w:pPr>
      <w:numPr>
        <w:ilvl w:val="1"/>
        <w:numId w:val="18"/>
      </w:numPr>
    </w:pPr>
  </w:style>
  <w:style w:type="paragraph" w:customStyle="1" w:styleId="NumPar3">
    <w:name w:val="NumPar 3"/>
    <w:basedOn w:val="Normal"/>
    <w:next w:val="Text1"/>
    <w:pPr>
      <w:numPr>
        <w:ilvl w:val="2"/>
        <w:numId w:val="18"/>
      </w:numPr>
    </w:pPr>
  </w:style>
  <w:style w:type="paragraph" w:customStyle="1" w:styleId="NumPar4">
    <w:name w:val="NumPar 4"/>
    <w:basedOn w:val="Normal"/>
    <w:next w:val="Text1"/>
    <w:pPr>
      <w:numPr>
        <w:ilvl w:val="3"/>
        <w:numId w:val="1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0"/>
      </w:numPr>
    </w:pPr>
  </w:style>
  <w:style w:type="paragraph" w:customStyle="1" w:styleId="Point1number">
    <w:name w:val="Point 1 (number)"/>
    <w:basedOn w:val="Normal"/>
    <w:pPr>
      <w:numPr>
        <w:ilvl w:val="2"/>
        <w:numId w:val="20"/>
      </w:numPr>
    </w:pPr>
  </w:style>
  <w:style w:type="paragraph" w:customStyle="1" w:styleId="Point2number">
    <w:name w:val="Point 2 (number)"/>
    <w:basedOn w:val="Normal"/>
    <w:pPr>
      <w:numPr>
        <w:ilvl w:val="4"/>
        <w:numId w:val="20"/>
      </w:numPr>
    </w:pPr>
  </w:style>
  <w:style w:type="paragraph" w:customStyle="1" w:styleId="Point3number">
    <w:name w:val="Point 3 (number)"/>
    <w:basedOn w:val="Normal"/>
    <w:pPr>
      <w:numPr>
        <w:ilvl w:val="6"/>
        <w:numId w:val="20"/>
      </w:numPr>
    </w:pPr>
  </w:style>
  <w:style w:type="paragraph" w:customStyle="1" w:styleId="Point0letter">
    <w:name w:val="Point 0 (letter)"/>
    <w:basedOn w:val="Normal"/>
    <w:pPr>
      <w:numPr>
        <w:ilvl w:val="1"/>
        <w:numId w:val="20"/>
      </w:numPr>
    </w:pPr>
  </w:style>
  <w:style w:type="paragraph" w:customStyle="1" w:styleId="Point1letter">
    <w:name w:val="Point 1 (letter)"/>
    <w:basedOn w:val="Normal"/>
    <w:pPr>
      <w:numPr>
        <w:ilvl w:val="3"/>
        <w:numId w:val="20"/>
      </w:numPr>
    </w:pPr>
  </w:style>
  <w:style w:type="paragraph" w:customStyle="1" w:styleId="Point2letter">
    <w:name w:val="Point 2 (letter)"/>
    <w:basedOn w:val="Normal"/>
    <w:pPr>
      <w:numPr>
        <w:ilvl w:val="5"/>
        <w:numId w:val="20"/>
      </w:numPr>
    </w:pPr>
  </w:style>
  <w:style w:type="paragraph" w:customStyle="1" w:styleId="Point3letter">
    <w:name w:val="Point 3 (letter)"/>
    <w:basedOn w:val="Normal"/>
    <w:pPr>
      <w:numPr>
        <w:ilvl w:val="7"/>
        <w:numId w:val="20"/>
      </w:numPr>
    </w:pPr>
  </w:style>
  <w:style w:type="paragraph" w:customStyle="1" w:styleId="Point4letter">
    <w:name w:val="Point 4 (letter)"/>
    <w:basedOn w:val="Normal"/>
    <w:pPr>
      <w:numPr>
        <w:ilvl w:val="8"/>
        <w:numId w:val="20"/>
      </w:numPr>
    </w:pPr>
  </w:style>
  <w:style w:type="paragraph" w:customStyle="1" w:styleId="Bullet0">
    <w:name w:val="Bullet 0"/>
    <w:basedOn w:val="Normal"/>
    <w:pPr>
      <w:numPr>
        <w:numId w:val="21"/>
      </w:numPr>
    </w:pPr>
  </w:style>
  <w:style w:type="paragraph" w:customStyle="1" w:styleId="Bullet1">
    <w:name w:val="Bullet 1"/>
    <w:basedOn w:val="Normal"/>
    <w:pPr>
      <w:numPr>
        <w:numId w:val="22"/>
      </w:numPr>
    </w:pPr>
  </w:style>
  <w:style w:type="paragraph" w:customStyle="1" w:styleId="Bullet2">
    <w:name w:val="Bullet 2"/>
    <w:basedOn w:val="Normal"/>
    <w:pPr>
      <w:numPr>
        <w:numId w:val="23"/>
      </w:numPr>
    </w:pPr>
  </w:style>
  <w:style w:type="paragraph" w:customStyle="1" w:styleId="Bullet3">
    <w:name w:val="Bullet 3"/>
    <w:basedOn w:val="Normal"/>
    <w:pPr>
      <w:numPr>
        <w:numId w:val="24"/>
      </w:numPr>
    </w:pPr>
  </w:style>
  <w:style w:type="paragraph" w:customStyle="1" w:styleId="Bullet4">
    <w:name w:val="Bullet 4"/>
    <w:basedOn w:val="Normal"/>
    <w:pPr>
      <w:numPr>
        <w:numId w:val="2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v-SE"/>
    </w:rPr>
  </w:style>
  <w:style w:type="paragraph" w:styleId="Heading1">
    <w:name w:val="heading 1"/>
    <w:basedOn w:val="Normal"/>
    <w:next w:val="Text1"/>
    <w:link w:val="Heading1Char"/>
    <w:uiPriority w:val="9"/>
    <w:qFormat/>
    <w:pPr>
      <w:keepNext/>
      <w:numPr>
        <w:numId w:val="1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Pr>
      <w:b/>
      <w:bCs/>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v-SE"/>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v-S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v-SE"/>
    </w:rPr>
  </w:style>
  <w:style w:type="character" w:styleId="Hyperlink">
    <w:name w:val="Hyperlink"/>
    <w:basedOn w:val="DefaultParagraphFont"/>
    <w:uiPriority w:val="99"/>
    <w:unhideWhenUsed/>
    <w:rPr>
      <w:color w:val="0000FF" w:themeColor="hyperlink"/>
      <w:u w:val="single"/>
    </w:rPr>
  </w:style>
  <w:style w:type="paragraph" w:customStyle="1" w:styleId="Dash1">
    <w:name w:val="Dash 1"/>
    <w:basedOn w:val="Normal"/>
    <w:pPr>
      <w:numPr>
        <w:numId w:val="11"/>
      </w:numPr>
      <w:spacing w:line="360" w:lineRule="auto"/>
      <w:jc w:val="left"/>
      <w:outlineLvl w:val="0"/>
    </w:pPr>
    <w:rPr>
      <w:rFonts w:eastAsia="Times New Roman"/>
      <w:szCs w:val="24"/>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v-S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v-S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3"/>
      </w:numPr>
    </w:pPr>
  </w:style>
  <w:style w:type="paragraph" w:customStyle="1" w:styleId="Tiret1">
    <w:name w:val="Tiret 1"/>
    <w:basedOn w:val="Point1"/>
    <w:pPr>
      <w:numPr>
        <w:numId w:val="14"/>
      </w:numPr>
    </w:pPr>
  </w:style>
  <w:style w:type="paragraph" w:customStyle="1" w:styleId="Tiret2">
    <w:name w:val="Tiret 2"/>
    <w:basedOn w:val="Point2"/>
    <w:pPr>
      <w:numPr>
        <w:numId w:val="15"/>
      </w:numPr>
    </w:pPr>
  </w:style>
  <w:style w:type="paragraph" w:customStyle="1" w:styleId="Tiret3">
    <w:name w:val="Tiret 3"/>
    <w:basedOn w:val="Point3"/>
    <w:pPr>
      <w:numPr>
        <w:numId w:val="16"/>
      </w:numPr>
    </w:pPr>
  </w:style>
  <w:style w:type="paragraph" w:customStyle="1" w:styleId="Tiret4">
    <w:name w:val="Tiret 4"/>
    <w:basedOn w:val="Point4"/>
    <w:pPr>
      <w:numPr>
        <w:numId w:val="1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8"/>
      </w:numPr>
    </w:pPr>
  </w:style>
  <w:style w:type="paragraph" w:customStyle="1" w:styleId="NumPar2">
    <w:name w:val="NumPar 2"/>
    <w:basedOn w:val="Normal"/>
    <w:next w:val="Text1"/>
    <w:pPr>
      <w:numPr>
        <w:ilvl w:val="1"/>
        <w:numId w:val="18"/>
      </w:numPr>
    </w:pPr>
  </w:style>
  <w:style w:type="paragraph" w:customStyle="1" w:styleId="NumPar3">
    <w:name w:val="NumPar 3"/>
    <w:basedOn w:val="Normal"/>
    <w:next w:val="Text1"/>
    <w:pPr>
      <w:numPr>
        <w:ilvl w:val="2"/>
        <w:numId w:val="18"/>
      </w:numPr>
    </w:pPr>
  </w:style>
  <w:style w:type="paragraph" w:customStyle="1" w:styleId="NumPar4">
    <w:name w:val="NumPar 4"/>
    <w:basedOn w:val="Normal"/>
    <w:next w:val="Text1"/>
    <w:pPr>
      <w:numPr>
        <w:ilvl w:val="3"/>
        <w:numId w:val="1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0"/>
      </w:numPr>
    </w:pPr>
  </w:style>
  <w:style w:type="paragraph" w:customStyle="1" w:styleId="Point1number">
    <w:name w:val="Point 1 (number)"/>
    <w:basedOn w:val="Normal"/>
    <w:pPr>
      <w:numPr>
        <w:ilvl w:val="2"/>
        <w:numId w:val="20"/>
      </w:numPr>
    </w:pPr>
  </w:style>
  <w:style w:type="paragraph" w:customStyle="1" w:styleId="Point2number">
    <w:name w:val="Point 2 (number)"/>
    <w:basedOn w:val="Normal"/>
    <w:pPr>
      <w:numPr>
        <w:ilvl w:val="4"/>
        <w:numId w:val="20"/>
      </w:numPr>
    </w:pPr>
  </w:style>
  <w:style w:type="paragraph" w:customStyle="1" w:styleId="Point3number">
    <w:name w:val="Point 3 (number)"/>
    <w:basedOn w:val="Normal"/>
    <w:pPr>
      <w:numPr>
        <w:ilvl w:val="6"/>
        <w:numId w:val="20"/>
      </w:numPr>
    </w:pPr>
  </w:style>
  <w:style w:type="paragraph" w:customStyle="1" w:styleId="Point0letter">
    <w:name w:val="Point 0 (letter)"/>
    <w:basedOn w:val="Normal"/>
    <w:pPr>
      <w:numPr>
        <w:ilvl w:val="1"/>
        <w:numId w:val="20"/>
      </w:numPr>
    </w:pPr>
  </w:style>
  <w:style w:type="paragraph" w:customStyle="1" w:styleId="Point1letter">
    <w:name w:val="Point 1 (letter)"/>
    <w:basedOn w:val="Normal"/>
    <w:pPr>
      <w:numPr>
        <w:ilvl w:val="3"/>
        <w:numId w:val="20"/>
      </w:numPr>
    </w:pPr>
  </w:style>
  <w:style w:type="paragraph" w:customStyle="1" w:styleId="Point2letter">
    <w:name w:val="Point 2 (letter)"/>
    <w:basedOn w:val="Normal"/>
    <w:pPr>
      <w:numPr>
        <w:ilvl w:val="5"/>
        <w:numId w:val="20"/>
      </w:numPr>
    </w:pPr>
  </w:style>
  <w:style w:type="paragraph" w:customStyle="1" w:styleId="Point3letter">
    <w:name w:val="Point 3 (letter)"/>
    <w:basedOn w:val="Normal"/>
    <w:pPr>
      <w:numPr>
        <w:ilvl w:val="7"/>
        <w:numId w:val="20"/>
      </w:numPr>
    </w:pPr>
  </w:style>
  <w:style w:type="paragraph" w:customStyle="1" w:styleId="Point4letter">
    <w:name w:val="Point 4 (letter)"/>
    <w:basedOn w:val="Normal"/>
    <w:pPr>
      <w:numPr>
        <w:ilvl w:val="8"/>
        <w:numId w:val="20"/>
      </w:numPr>
    </w:pPr>
  </w:style>
  <w:style w:type="paragraph" w:customStyle="1" w:styleId="Bullet0">
    <w:name w:val="Bullet 0"/>
    <w:basedOn w:val="Normal"/>
    <w:pPr>
      <w:numPr>
        <w:numId w:val="21"/>
      </w:numPr>
    </w:pPr>
  </w:style>
  <w:style w:type="paragraph" w:customStyle="1" w:styleId="Bullet1">
    <w:name w:val="Bullet 1"/>
    <w:basedOn w:val="Normal"/>
    <w:pPr>
      <w:numPr>
        <w:numId w:val="22"/>
      </w:numPr>
    </w:pPr>
  </w:style>
  <w:style w:type="paragraph" w:customStyle="1" w:styleId="Bullet2">
    <w:name w:val="Bullet 2"/>
    <w:basedOn w:val="Normal"/>
    <w:pPr>
      <w:numPr>
        <w:numId w:val="23"/>
      </w:numPr>
    </w:pPr>
  </w:style>
  <w:style w:type="paragraph" w:customStyle="1" w:styleId="Bullet3">
    <w:name w:val="Bullet 3"/>
    <w:basedOn w:val="Normal"/>
    <w:pPr>
      <w:numPr>
        <w:numId w:val="24"/>
      </w:numPr>
    </w:pPr>
  </w:style>
  <w:style w:type="paragraph" w:customStyle="1" w:styleId="Bullet4">
    <w:name w:val="Bullet 4"/>
    <w:basedOn w:val="Normal"/>
    <w:pPr>
      <w:numPr>
        <w:numId w:val="2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5100466">
      <w:bodyDiv w:val="1"/>
      <w:marLeft w:val="0"/>
      <w:marRight w:val="0"/>
      <w:marTop w:val="0"/>
      <w:marBottom w:val="0"/>
      <w:divBdr>
        <w:top w:val="none" w:sz="0" w:space="0" w:color="auto"/>
        <w:left w:val="none" w:sz="0" w:space="0" w:color="auto"/>
        <w:bottom w:val="none" w:sz="0" w:space="0" w:color="auto"/>
        <w:right w:val="none" w:sz="0" w:space="0" w:color="auto"/>
      </w:divBdr>
      <w:divsChild>
        <w:div w:id="177087460">
          <w:marLeft w:val="0"/>
          <w:marRight w:val="0"/>
          <w:marTop w:val="0"/>
          <w:marBottom w:val="0"/>
          <w:divBdr>
            <w:top w:val="none" w:sz="0" w:space="0" w:color="auto"/>
            <w:left w:val="none" w:sz="0" w:space="0" w:color="auto"/>
            <w:bottom w:val="none" w:sz="0" w:space="0" w:color="auto"/>
            <w:right w:val="none" w:sz="0" w:space="0" w:color="auto"/>
          </w:divBdr>
        </w:div>
        <w:div w:id="1955163926">
          <w:marLeft w:val="0"/>
          <w:marRight w:val="0"/>
          <w:marTop w:val="0"/>
          <w:marBottom w:val="0"/>
          <w:divBdr>
            <w:top w:val="none" w:sz="0" w:space="0" w:color="auto"/>
            <w:left w:val="none" w:sz="0" w:space="0" w:color="auto"/>
            <w:bottom w:val="none" w:sz="0" w:space="0" w:color="auto"/>
            <w:right w:val="none" w:sz="0" w:space="0" w:color="auto"/>
          </w:divBdr>
        </w:div>
        <w:div w:id="910889472">
          <w:marLeft w:val="0"/>
          <w:marRight w:val="0"/>
          <w:marTop w:val="0"/>
          <w:marBottom w:val="0"/>
          <w:divBdr>
            <w:top w:val="none" w:sz="0" w:space="0" w:color="auto"/>
            <w:left w:val="none" w:sz="0" w:space="0" w:color="auto"/>
            <w:bottom w:val="none" w:sz="0" w:space="0" w:color="auto"/>
            <w:right w:val="none" w:sz="0" w:space="0" w:color="auto"/>
          </w:divBdr>
        </w:div>
        <w:div w:id="185485113">
          <w:marLeft w:val="0"/>
          <w:marRight w:val="0"/>
          <w:marTop w:val="0"/>
          <w:marBottom w:val="0"/>
          <w:divBdr>
            <w:top w:val="none" w:sz="0" w:space="0" w:color="auto"/>
            <w:left w:val="none" w:sz="0" w:space="0" w:color="auto"/>
            <w:bottom w:val="none" w:sz="0" w:space="0" w:color="auto"/>
            <w:right w:val="none" w:sz="0" w:space="0" w:color="auto"/>
          </w:divBdr>
        </w:div>
        <w:div w:id="21060274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CAFE01-9594-4721-9C2A-E62F2D8D4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3</TotalTime>
  <Pages>7</Pages>
  <Words>1801</Words>
  <Characters>10899</Characters>
  <Application>Microsoft Office Word</Application>
  <DocSecurity>0</DocSecurity>
  <Lines>187</Lines>
  <Paragraphs>81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DIGIT/C6</cp:lastModifiedBy>
  <cp:revision>18</cp:revision>
  <dcterms:created xsi:type="dcterms:W3CDTF">2019-02-14T10:50:00Z</dcterms:created>
  <dcterms:modified xsi:type="dcterms:W3CDTF">2019-03-06T06:39:00Z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6.0.1, Build 20180503</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SJ-043</vt:lpwstr>
  </property>
  <property fmtid="{D5CDD505-2E9C-101B-9397-08002B2CF9AE}" pid="10" name="DQCStatus">
    <vt:lpwstr>Green (DQC version 03)</vt:lpwstr>
  </property>
</Properties>
</file>