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233E6A4-DABD-4FA4-83E7-8F8387F3CB9E" style="width:451.35pt;height:365.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rFonts w:eastAsia="Arial Unicode MS"/>
          <w:noProof/>
        </w:rPr>
      </w:pPr>
      <w:r>
        <w:t>1.</w:t>
      </w:r>
      <w:r>
        <w:tab/>
      </w:r>
      <w:r>
        <w:rPr>
          <w:noProof/>
        </w:rPr>
        <w:t>Onderwerp van het voorstel</w:t>
      </w:r>
    </w:p>
    <w:p>
      <w:pPr>
        <w:autoSpaceDE w:val="0"/>
        <w:autoSpaceDN w:val="0"/>
        <w:adjustRightInd w:val="0"/>
        <w:spacing w:before="0" w:after="0"/>
        <w:rPr>
          <w:rFonts w:ascii="TimesNewRomanPSMT" w:hAnsi="TimesNewRomanPSMT" w:cs="TimesNewRomanPSMT"/>
          <w:noProof/>
          <w:szCs w:val="24"/>
        </w:rPr>
      </w:pPr>
      <w:r>
        <w:rPr>
          <w:noProof/>
        </w:rPr>
        <w:t>Dit voorstel betreft een besluit tot vaststelling van het standpunt dat namens de Unie in de vergaderingen van de Commissie voor de visserij in het westelijke en centrale deel van de Stille Oceaan (WCPFC) voor de periode 2019-2023 moet worden ingenomen in verband met de beoogde vaststelling van instandhoudings- en beheersmaatregelen.</w:t>
      </w:r>
    </w:p>
    <w:p>
      <w:pPr>
        <w:pStyle w:val="ManualHeading1"/>
        <w:rPr>
          <w:noProof/>
        </w:rPr>
      </w:pPr>
      <w:r>
        <w:t>2.</w:t>
      </w:r>
      <w:r>
        <w:tab/>
      </w:r>
      <w:r>
        <w:rPr>
          <w:noProof/>
        </w:rPr>
        <w:t>Achtergrond van het voorstel</w:t>
      </w:r>
    </w:p>
    <w:p>
      <w:pPr>
        <w:pStyle w:val="ManualHeading2"/>
        <w:rPr>
          <w:noProof/>
        </w:rPr>
      </w:pPr>
      <w:r>
        <w:t>2.1.</w:t>
      </w:r>
      <w:r>
        <w:tab/>
      </w:r>
      <w:r>
        <w:rPr>
          <w:noProof/>
        </w:rPr>
        <w:t>Verdrag inzake de instandhouding en het beheer van de over grote afstanden trekkende visbestanden in het westelijke en centrale deel van de Stille Oceaan</w:t>
      </w:r>
    </w:p>
    <w:p>
      <w:pPr>
        <w:rPr>
          <w:noProof/>
        </w:rPr>
      </w:pPr>
      <w:r>
        <w:rPr>
          <w:noProof/>
        </w:rPr>
        <w:t>Het Verdrag inzake de instandhouding en het beheer van de over grote afstanden trekkende visbestanden in het westelijke en centrale deel van de Stille Oceaan (het WCPF-verdrag) heeft met de oprichting van de WCPFC tot doel door een efficiënt beheer de instandhouding op de lange termijn en het duurzame gebruik van over grote afstanden trekkende visbestanden in het westelijke en centrale deel van de Stille Oceaan te garanderen. Het verdrag is op 19 juni 2004 in werking getreden.</w:t>
      </w:r>
    </w:p>
    <w:p>
      <w:pPr>
        <w:rPr>
          <w:noProof/>
        </w:rPr>
      </w:pPr>
      <w:r>
        <w:rPr>
          <w:noProof/>
        </w:rPr>
        <w:t>De Unie is partij bij de WCPFC, aangezien zij het WCPF-verdrag uit hoofde van Besluit 2005/75/EG van de Raad</w:t>
      </w:r>
      <w:r>
        <w:rPr>
          <w:rStyle w:val="FootnoteReference"/>
          <w:noProof/>
        </w:rPr>
        <w:footnoteReference w:id="1"/>
      </w:r>
      <w:r>
        <w:rPr>
          <w:noProof/>
        </w:rPr>
        <w:t xml:space="preserve"> heeft goedgekeurd.</w:t>
      </w:r>
    </w:p>
    <w:p>
      <w:pPr>
        <w:pStyle w:val="ManualHeading2"/>
        <w:rPr>
          <w:noProof/>
        </w:rPr>
      </w:pPr>
      <w:r>
        <w:t>2.2.</w:t>
      </w:r>
      <w:r>
        <w:tab/>
      </w:r>
      <w:r>
        <w:rPr>
          <w:noProof/>
        </w:rPr>
        <w:t>Commissie voor de visserij in het westelijke en centrale deel van de Stille Oceaan</w:t>
      </w:r>
    </w:p>
    <w:p>
      <w:pPr>
        <w:rPr>
          <w:noProof/>
        </w:rPr>
      </w:pPr>
      <w:r>
        <w:rPr>
          <w:noProof/>
        </w:rPr>
        <w:t>De WCPFC is het lichaam dat opgericht is krachtens het WCPF-verdrag en verantwoordelijk is voor het beheer en de instandhouding van de visbestanden in het verdragsgebied. De WCPFC neemt instandhoudings- en beheersmaatregelen om de duurzaamheid op lange termijn van over grote afstanden trekkende visbestanden in het verdragsgebied te waarborgen en te garanderen dat deze bestanden optimaal gebruikt worden. Dergelijke maatregelen kunnen voor de Unie bindend worden.</w:t>
      </w:r>
    </w:p>
    <w:p>
      <w:pPr>
        <w:rPr>
          <w:rFonts w:eastAsia="Arial Unicode MS"/>
          <w:noProof/>
        </w:rPr>
      </w:pPr>
      <w:r>
        <w:rPr>
          <w:noProof/>
        </w:rPr>
        <w:t>Als lid van de WCPFC heeft de Unie inspraak en stemrechten. De WCPFC neemt haar besluiten bij consensus, en betreffende inhoudelijke besluiten is een drievierdemeerderheid mogelijk indien er geen consensus bestaat. Voor bepaalde aangelegenheden is niettemin consensus vereist.</w:t>
      </w:r>
    </w:p>
    <w:p>
      <w:pPr>
        <w:pStyle w:val="ManualHeading2"/>
        <w:rPr>
          <w:noProof/>
        </w:rPr>
      </w:pPr>
      <w:r>
        <w:t>2.3.</w:t>
      </w:r>
      <w:r>
        <w:tab/>
      </w:r>
      <w:r>
        <w:rPr>
          <w:noProof/>
        </w:rPr>
        <w:t>WCPFC-besluiten</w:t>
      </w:r>
    </w:p>
    <w:p>
      <w:pPr>
        <w:rPr>
          <w:rFonts w:eastAsia="Arial Unicode MS"/>
          <w:noProof/>
        </w:rPr>
      </w:pPr>
      <w:r>
        <w:rPr>
          <w:noProof/>
        </w:rPr>
        <w:t>De WCPFC heeft de bevoegdheid om instandhoudings- en beheersmaatregelen voor de onder haar bevoegdheid vallende visserijen vast te stellen, en die zijn bindend voor de verdragsluitende partijen.</w:t>
      </w:r>
    </w:p>
    <w:p>
      <w:pPr>
        <w:rPr>
          <w:noProof/>
        </w:rPr>
      </w:pPr>
      <w:r>
        <w:rPr>
          <w:noProof/>
        </w:rPr>
        <w:t>Overeenkomstig artikel 20, lid 5, van het WCPF-verdrag treden de maatregelen in werking 60 dagen na de datum waarop de WCPFC de verdragsluitende partijen ervan in kennis heeft gesteld. Een lid van de WCPFC dat tegen een besluit heeft gestemd of bij de vergadering waarin het besluit is genomen niet aanwezig was, kan binnen 30 dagen na de vaststelling van het besluit een verzoek indienen tot herziening van het besluit door een herzieningsforum.</w:t>
      </w:r>
    </w:p>
    <w:p>
      <w:pPr>
        <w:pStyle w:val="ManualHeading1"/>
        <w:rPr>
          <w:rFonts w:eastAsia="Arial Unicode MS"/>
          <w:noProof/>
        </w:rPr>
      </w:pPr>
      <w:r>
        <w:t>3.</w:t>
      </w:r>
      <w:r>
        <w:tab/>
      </w:r>
      <w:r>
        <w:rPr>
          <w:noProof/>
        </w:rPr>
        <w:t>Standpunt dat namens de Unie moet worden ingenomen</w:t>
      </w:r>
    </w:p>
    <w:p>
      <w:pPr>
        <w:rPr>
          <w:rFonts w:eastAsia="Times New Roman"/>
          <w:noProof/>
        </w:rPr>
      </w:pPr>
      <w:r>
        <w:rPr>
          <w:noProof/>
        </w:rPr>
        <w:t>Het standpunt dat namens de Unie moet worden ingenomen in de jaarlijkse vergaderingen van de regionale organisaties voor visserijbeheer (ROVB's), wordt momenteel bepaald volgens een tweeledige aanpak. In een besluit van de Raad worden de beginselen en richtsnoeren voor het standpunt van de Unie voor meerdere jaren vastgelegd, waarna het standpunt vóór elke jaarlijkse vergadering wordt aangepast via non-papers van de Commissie, die in de groep van de Raad worden besproken.</w:t>
      </w:r>
    </w:p>
    <w:p>
      <w:pPr>
        <w:rPr>
          <w:rFonts w:eastAsia="Times New Roman"/>
          <w:noProof/>
        </w:rPr>
      </w:pPr>
      <w:r>
        <w:rPr>
          <w:noProof/>
        </w:rPr>
        <w:t>Voor de WCPFC is deze aanpak ten uitvoer gelegd bij Besluit 10124/1/14 REV 1 van de Raad van 16 juni 2014, waarin het standpunt van de Unie binnen de WCPFC voor de periode 2014-2018 is vastgesteld. Het besluit bevat algemene beginselen en richtsnoeren, maar houdt ook zo veel mogelijk rekening met de specifieke kenmerken van de WCPFC. Daarnaast bevat het de standaardprocedure om elk jaar overeenkomstig het verzoek van de lidstaten het standpunt van de Unie vast te stellen.</w:t>
      </w:r>
    </w:p>
    <w:p>
      <w:pPr>
        <w:rPr>
          <w:rFonts w:eastAsia="Times New Roman"/>
          <w:noProof/>
        </w:rPr>
      </w:pPr>
      <w:r>
        <w:rPr>
          <w:noProof/>
        </w:rPr>
        <w:t>Besluit 10124/1/14 REV 1 voorziet in een herziening van het standpunt van de Unie vóór de jaarlijkse vergadering van 2019. Dit voorstel strekt er dan ook toe het standpunt van de Unie binnen de WCPFC voor de periode 2019-2023 uiteen te zetten, en vervangt Besluit 10124/1/14 REV 1.</w:t>
      </w:r>
    </w:p>
    <w:p>
      <w:pPr>
        <w:rPr>
          <w:rFonts w:eastAsia="Times New Roman"/>
          <w:noProof/>
        </w:rPr>
      </w:pPr>
      <w:r>
        <w:rPr>
          <w:noProof/>
        </w:rPr>
        <w:t>In Besluit 10124/1/14 REV 1 zijn de beginselen en richtsnoeren van het nieuwe gemeenschappelijk visserijbeleid (GVB), als vastgelegd in Verordening (EU) nr. 1380/2013 van het Europees Parlement en de Raad</w:t>
      </w:r>
      <w:r>
        <w:rPr>
          <w:rStyle w:val="FootnoteReference"/>
          <w:noProof/>
        </w:rPr>
        <w:footnoteReference w:id="2"/>
      </w:r>
      <w:r>
        <w:rPr>
          <w:noProof/>
        </w:rPr>
        <w:t>, opgenomen, met inachtneming van de doelstellingen die zijn bepaald in de mededeling van de Commissie inzake de externe dimensie van het GVB</w:t>
      </w:r>
      <w:r>
        <w:rPr>
          <w:rStyle w:val="FootnoteReference"/>
          <w:noProof/>
        </w:rPr>
        <w:footnoteReference w:id="3"/>
      </w:r>
      <w:r>
        <w:rPr>
          <w:noProof/>
        </w:rPr>
        <w:t>. Voorts is in het besluit het standpunt van de Unie aangepast aan het Verdrag van Lissabon.</w:t>
      </w:r>
    </w:p>
    <w:p>
      <w:pPr>
        <w:rPr>
          <w:noProof/>
        </w:rPr>
      </w:pPr>
      <w:r>
        <w:rPr>
          <w:noProof/>
        </w:rPr>
        <w:t xml:space="preserve">Bij de huidige herziening wordt, in verband met de impact van de visserij, rekening gehouden met de Mededeling van de Commissie aan het Europees Parlement, de Raad, het Europees Economisch en Sociaal Comité en het Comité van de Regio's over een </w:t>
      </w:r>
      <w:r>
        <w:rPr>
          <w:i/>
          <w:noProof/>
        </w:rPr>
        <w:t>Europese strategie voor kunststoffen in een circulaire economie</w:t>
      </w:r>
      <w:r>
        <w:rPr>
          <w:rStyle w:val="FootnoteReference"/>
          <w:noProof/>
        </w:rPr>
        <w:footnoteReference w:id="4"/>
      </w:r>
      <w:r>
        <w:rPr>
          <w:noProof/>
        </w:rPr>
        <w:t xml:space="preserve">, met de gezamenlijke mededeling van de hoge vertegenwoordiger van de Unie voor buitenlandse zaken en veiligheidsbeleid en de Commissie over </w:t>
      </w:r>
      <w:r>
        <w:rPr>
          <w:i/>
          <w:noProof/>
        </w:rPr>
        <w:t>internationale oceaangovernance: een agenda voor de toekomst van onze oceanen</w:t>
      </w:r>
      <w:r>
        <w:rPr>
          <w:rStyle w:val="FootnoteReference"/>
          <w:noProof/>
        </w:rPr>
        <w:footnoteReference w:id="5"/>
      </w:r>
      <w:r>
        <w:rPr>
          <w:noProof/>
        </w:rPr>
        <w:t xml:space="preserve"> en met de conclusies van de Raad over die gezamenlijke mededeling</w:t>
      </w:r>
      <w:r>
        <w:rPr>
          <w:rStyle w:val="FootnoteReference"/>
          <w:noProof/>
        </w:rPr>
        <w:footnoteReference w:id="6"/>
      </w:r>
      <w:r>
        <w:rPr>
          <w:noProof/>
        </w:rPr>
        <w:t>.</w:t>
      </w:r>
    </w:p>
    <w:p>
      <w:pPr>
        <w:pStyle w:val="ManualHeading1"/>
        <w:rPr>
          <w:noProof/>
        </w:rPr>
      </w:pPr>
      <w:r>
        <w:t>4.</w:t>
      </w:r>
      <w:r>
        <w:tab/>
      </w:r>
      <w:r>
        <w:rPr>
          <w:noProof/>
        </w:rPr>
        <w:t>Rechtsgrondslag</w:t>
      </w:r>
    </w:p>
    <w:p>
      <w:pPr>
        <w:pStyle w:val="ManualHeading2"/>
        <w:rPr>
          <w:noProof/>
        </w:rPr>
      </w:pPr>
      <w:r>
        <w:t>4.1.</w:t>
      </w:r>
      <w:r>
        <w:tab/>
      </w:r>
      <w:r>
        <w:rPr>
          <w:noProof/>
        </w:rPr>
        <w:t>Procedurele rechtsgrondslag</w:t>
      </w:r>
    </w:p>
    <w:p>
      <w:pPr>
        <w:pStyle w:val="ManualHeading3"/>
        <w:rPr>
          <w:noProof/>
        </w:rPr>
      </w:pPr>
      <w:r>
        <w:t>4.1.1.</w:t>
      </w:r>
      <w:r>
        <w:tab/>
      </w:r>
      <w:r>
        <w:rPr>
          <w:noProof/>
        </w:rPr>
        <w:t>Beginselen</w:t>
      </w:r>
    </w:p>
    <w:p>
      <w:pPr>
        <w:rPr>
          <w:noProof/>
        </w:rPr>
      </w:pPr>
      <w:r>
        <w:rPr>
          <w:noProof/>
        </w:rPr>
        <w:t>Artikel 218, lid 9, van het Verdrag betreffende de werking van de Europese Unie (VWEU) voorziet in de vaststelling van besluiten tot bepaling van "de standpunten die namens de Unie worden ingenomen in een krachtens een overeenkomst opgericht lichaam, wanneer dit lichaam handelingen met rechtsgevolgen vaststelt, met uitzondering van handelingen tot aanvulling of wijziging van het institutionele kader van de overeenkomst".</w:t>
      </w:r>
    </w:p>
    <w:p>
      <w:pPr>
        <w:rPr>
          <w:noProof/>
        </w:rPr>
      </w:pPr>
      <w:r>
        <w:rPr>
          <w:noProof/>
        </w:rPr>
        <w:t>Het begrip "handelingen met rechtsgevolgen" omvat handelingen die rechtsgevolgen hebben uit hoofde van de op het betrokken lichaam toepasselijke volkenrechtelijke bepalingen. Onder dit begrip vallen ook instrumenten die volkenrechtelijk niet bindend zijn, maar wel een "beslissende invloed [kunnen hebben] op de inhoud van de regelgeving die de wetgever van de EU vaststelt"</w:t>
      </w:r>
      <w:r>
        <w:rPr>
          <w:rStyle w:val="FootnoteReference"/>
          <w:noProof/>
        </w:rPr>
        <w:footnoteReference w:id="7"/>
      </w:r>
      <w:r>
        <w:rPr>
          <w:noProof/>
        </w:rPr>
        <w:t>.</w:t>
      </w:r>
    </w:p>
    <w:p>
      <w:pPr>
        <w:pStyle w:val="ManualHeading3"/>
        <w:rPr>
          <w:noProof/>
        </w:rPr>
      </w:pPr>
      <w:r>
        <w:t>4.1.2.</w:t>
      </w:r>
      <w:r>
        <w:tab/>
      </w:r>
      <w:r>
        <w:rPr>
          <w:noProof/>
        </w:rPr>
        <w:t>Toepassing op het onderhavige geval</w:t>
      </w:r>
    </w:p>
    <w:p>
      <w:pPr>
        <w:rPr>
          <w:noProof/>
        </w:rPr>
      </w:pPr>
      <w:r>
        <w:rPr>
          <w:noProof/>
        </w:rPr>
        <w:t>De WCPFC is een lichaam dat is opgericht krachtens een overeenkomst, te weten het WCPF-verdrag.</w:t>
      </w:r>
    </w:p>
    <w:p>
      <w:pPr>
        <w:rPr>
          <w:noProof/>
        </w:rPr>
      </w:pPr>
      <w:r>
        <w:rPr>
          <w:noProof/>
        </w:rPr>
        <w:t>De door de WCPFC aan te nemen handelingen zijn handelingen met rechtsgevolgen. De handelingen zijn uit hoofde van het volkenrecht bindend overeenkomstig artikel 20 van het WCPF-verdrag en kunnen beslissende invloed hebben op de inhoud van de EU-regelgeving, waaronder:</w:t>
      </w:r>
    </w:p>
    <w:p>
      <w:pPr>
        <w:pStyle w:val="Bullet0"/>
        <w:numPr>
          <w:ilvl w:val="0"/>
          <w:numId w:val="12"/>
        </w:numPr>
        <w:rPr>
          <w:noProof/>
        </w:rPr>
      </w:pPr>
      <w:r>
        <w:rPr>
          <w:noProof/>
        </w:rPr>
        <w:t>Verordening (EG) nr. 1005/2008 van de Raad houdende de totstandbrenging van een communautair systeem om illegale, ongemelde en ongereglementeerde visserij (IOO-visserij) te voorkomen, tegen te gaan en te beëindigen</w:t>
      </w:r>
      <w:r>
        <w:rPr>
          <w:rStyle w:val="FootnoteReference"/>
          <w:noProof/>
        </w:rPr>
        <w:footnoteReference w:id="8"/>
      </w:r>
      <w:r>
        <w:rPr>
          <w:noProof/>
        </w:rPr>
        <w:t xml:space="preserve">; </w:t>
      </w:r>
    </w:p>
    <w:p>
      <w:pPr>
        <w:pStyle w:val="Bullet0"/>
        <w:rPr>
          <w:noProof/>
        </w:rPr>
      </w:pPr>
      <w:r>
        <w:rPr>
          <w:noProof/>
        </w:rPr>
        <w:t>Verordening (EG) nr. 1224/2009 van de Raad tot vaststelling van een communautaire controleregeling die de naleving van de regels van het gemeenschappelijk visserijbeleid moet garanderen</w:t>
      </w:r>
      <w:r>
        <w:rPr>
          <w:rStyle w:val="FootnoteReference"/>
          <w:noProof/>
        </w:rPr>
        <w:footnoteReference w:id="9"/>
      </w:r>
      <w:r>
        <w:rPr>
          <w:noProof/>
        </w:rPr>
        <w:t xml:space="preserve">; en </w:t>
      </w:r>
    </w:p>
    <w:p>
      <w:pPr>
        <w:pStyle w:val="Bullet0"/>
        <w:rPr>
          <w:noProof/>
        </w:rPr>
      </w:pPr>
      <w:r>
        <w:rPr>
          <w:noProof/>
        </w:rPr>
        <w:t>Verordening (EU) 2017/2403 van het Europees Parlement en de Raad van 12 december 2017 inzake het duurzame beheer van externe vissersvloten</w:t>
      </w:r>
      <w:r>
        <w:rPr>
          <w:rStyle w:val="FootnoteReference"/>
          <w:noProof/>
        </w:rPr>
        <w:footnoteReference w:id="10"/>
      </w:r>
      <w:r>
        <w:rPr>
          <w:noProof/>
        </w:rPr>
        <w:t>.</w:t>
      </w:r>
    </w:p>
    <w:p>
      <w:pPr>
        <w:rPr>
          <w:noProof/>
        </w:rPr>
      </w:pPr>
      <w:r>
        <w:rPr>
          <w:noProof/>
        </w:rPr>
        <w:t>De beoogde handelingen strekken niet tot aanvulling of wijziging van het institutionele kader van het WCPF-verdrag.</w:t>
      </w:r>
    </w:p>
    <w:p>
      <w:pPr>
        <w:rPr>
          <w:noProof/>
        </w:rPr>
      </w:pPr>
      <w:r>
        <w:rPr>
          <w:noProof/>
        </w:rPr>
        <w:t>De procedurele rechtsgrondslag voor het voorgestelde besluit is derhalve artikel 218, lid 9, VWEU.</w:t>
      </w:r>
    </w:p>
    <w:p>
      <w:pPr>
        <w:pStyle w:val="ManualHeading2"/>
        <w:rPr>
          <w:noProof/>
        </w:rPr>
      </w:pPr>
      <w:r>
        <w:t>4.2.</w:t>
      </w:r>
      <w:r>
        <w:tab/>
      </w:r>
      <w:r>
        <w:rPr>
          <w:noProof/>
        </w:rPr>
        <w:t>Materiële rechtsgrondslag</w:t>
      </w:r>
    </w:p>
    <w:p>
      <w:pPr>
        <w:pStyle w:val="ManualHeading3"/>
        <w:rPr>
          <w:noProof/>
        </w:rPr>
      </w:pPr>
      <w:r>
        <w:t>4.2.1.</w:t>
      </w:r>
      <w:r>
        <w:tab/>
      </w:r>
      <w:r>
        <w:rPr>
          <w:noProof/>
        </w:rPr>
        <w:t>Beginselen</w:t>
      </w:r>
    </w:p>
    <w:p>
      <w:pPr>
        <w:rPr>
          <w:noProof/>
        </w:rPr>
      </w:pPr>
      <w:r>
        <w:rPr>
          <w:noProof/>
        </w:rPr>
        <w:t>De materiële rechtsgrondslag voor een krachtens artikel 218, lid 9, VWEU te nemen besluit wordt in de eerste plaats bepaald door de doelstelling en de inhoud van de beoogde handeling ten aanzien waarvan namens de Unie een standpunt wordt ingenomen. Wanneer die handeling een tweeledige doelstelling heeft of bestaat uit twee componenten, waarvan er een kan worden gezien als hoofddoelstelling of overwegende component, terwijl de andere doelstelling of de andere component slechts ondergeschikt is, moet het krachtens artikel 218, lid 9, VWEU te nemen besluit op één materiële rechtsgrondslag worden gebaseerd, namelijk die welke vereist is gelet op de hoofddoelstelling of de overwegende component.</w:t>
      </w:r>
    </w:p>
    <w:p>
      <w:pPr>
        <w:pStyle w:val="ManualHeading3"/>
        <w:rPr>
          <w:noProof/>
        </w:rPr>
      </w:pPr>
      <w:r>
        <w:t>4.2.2.</w:t>
      </w:r>
      <w:r>
        <w:tab/>
      </w:r>
      <w:r>
        <w:rPr>
          <w:noProof/>
        </w:rPr>
        <w:t>Toepassing op het onderhavige geval</w:t>
      </w:r>
    </w:p>
    <w:p>
      <w:pPr>
        <w:rPr>
          <w:noProof/>
        </w:rPr>
      </w:pPr>
      <w:r>
        <w:rPr>
          <w:noProof/>
        </w:rPr>
        <w:t>De doelstelling en de inhoud van de beoogde handeling hebben in de eerste plaats betrekking op visserij. Verordening (EU) nr. 1380/2013 vormt de rechtsgrond voor de beginselen die in dit standpunt moeten worden weerspiegeld.</w:t>
      </w:r>
    </w:p>
    <w:p>
      <w:pPr>
        <w:rPr>
          <w:noProof/>
        </w:rPr>
      </w:pPr>
      <w:r>
        <w:rPr>
          <w:noProof/>
        </w:rPr>
        <w:t>De materiële rechtsgrondslag voor het voorgestelde besluit is derhalve artikel 43, lid 2, VWEU. Het besluit dient ter vervanging van Besluit 10124/1/14 REV 1, dat de periode 2014-2018 bestrijkt.</w:t>
      </w:r>
    </w:p>
    <w:p>
      <w:pPr>
        <w:pStyle w:val="ManualHeading2"/>
        <w:rPr>
          <w:noProof/>
        </w:rPr>
      </w:pPr>
      <w:r>
        <w:t>4.3.</w:t>
      </w:r>
      <w:r>
        <w:tab/>
      </w:r>
      <w:r>
        <w:rPr>
          <w:noProof/>
        </w:rPr>
        <w:t>Conclusie</w:t>
      </w:r>
    </w:p>
    <w:p>
      <w:pPr>
        <w:rPr>
          <w:noProof/>
        </w:rPr>
      </w:pPr>
      <w:r>
        <w:rPr>
          <w:noProof/>
        </w:rPr>
        <w:t>De rechtsgrondslag van het voorgestelde besluit is artikel 43, lid 2, VWEU</w:t>
      </w:r>
      <w:r>
        <w:t>,</w:t>
      </w:r>
      <w:r>
        <w:rPr>
          <w:noProof/>
        </w:rPr>
        <w:t xml:space="preserve"> in samenhang met artikel 218, lid 9, VWEU.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2019/0050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standpunt dat namens de Europese Unie moet worden ingenomen in de Commissie voor de visserij in het westelijke en centrale deel van de Stille Oceaan en tot intrekking van Besluit 10124/1/14 REV 1</w:t>
      </w:r>
    </w:p>
    <w:p>
      <w:pPr>
        <w:pStyle w:val="Institutionquiagit"/>
        <w:rPr>
          <w:b/>
          <w:noProof/>
        </w:rPr>
      </w:pPr>
      <w:r>
        <w:rPr>
          <w:b/>
          <w:noProof/>
        </w:rPr>
        <w:t>DE RAAD VAN DE EUROPESE UNIE,</w:t>
      </w:r>
    </w:p>
    <w:p>
      <w:pPr>
        <w:rPr>
          <w:noProof/>
        </w:rPr>
      </w:pPr>
      <w:r>
        <w:rPr>
          <w:noProof/>
        </w:rPr>
        <w:t>Gezien het Verdrag betreffende de werking van de Europese Unie, en met name artikel 43, lid 2,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rFonts w:eastAsia="Times New Roman"/>
          <w:noProof/>
          <w:szCs w:val="20"/>
        </w:rPr>
      </w:pPr>
      <w:r>
        <w:t>(1)</w:t>
      </w:r>
      <w:r>
        <w:tab/>
      </w:r>
      <w:r>
        <w:rPr>
          <w:noProof/>
        </w:rPr>
        <w:t>Bij Besluit 2005/75/EG van de Raad</w:t>
      </w:r>
      <w:r>
        <w:rPr>
          <w:rStyle w:val="FootnoteReference"/>
          <w:noProof/>
        </w:rPr>
        <w:footnoteReference w:id="11"/>
      </w:r>
      <w:r>
        <w:rPr>
          <w:noProof/>
        </w:rPr>
        <w:t xml:space="preserve"> heeft de Unie het Verdrag inzake de instandhouding en het beheer van over grote afstanden trekkende visbestanden in het westelijke en centrale deel van de Stille Oceaan ("het WCPF-verdrag") gesloten, waarbij de Commissie voor de visserij in het westelijke en centrale deel van de Stille Oceaan (WCPFC) is opgericht.</w:t>
      </w:r>
    </w:p>
    <w:p>
      <w:pPr>
        <w:pStyle w:val="ManualConsidrant"/>
        <w:rPr>
          <w:noProof/>
        </w:rPr>
      </w:pPr>
      <w:r>
        <w:t>(2)</w:t>
      </w:r>
      <w:r>
        <w:tab/>
      </w:r>
      <w:r>
        <w:rPr>
          <w:noProof/>
        </w:rPr>
        <w:t>De WCPFC is het lichaam dat is opgericht krachtens het WCPF-verdrag en verantwoordelijk is voor het beheer en de instandhouding van de visbestanden in het WCPF-verdragsgebied. De WCPFC neemt instandhoudings- en beheersmaatregelen om de duurzaamheid op lange termijn van over grote afstanden trekkende visbestanden in het WCPF-verdragsgebied te waarborgen en te garanderen dat deze bestanden optimaal worden gebruikt. Dergelijke maatregelen kunnen voor de Unie bindend worden.</w:t>
      </w:r>
    </w:p>
    <w:p>
      <w:pPr>
        <w:pStyle w:val="ManualConsidrant"/>
        <w:rPr>
          <w:noProof/>
        </w:rPr>
      </w:pPr>
      <w:r>
        <w:t>(3)</w:t>
      </w:r>
      <w:r>
        <w:tab/>
      </w:r>
      <w:r>
        <w:rPr>
          <w:noProof/>
        </w:rPr>
        <w:t>In Verordening (EU) nr. 1380/2013 van het Europees Parlement en de Raad</w:t>
      </w:r>
      <w:r>
        <w:rPr>
          <w:rStyle w:val="FootnoteReference"/>
          <w:noProof/>
        </w:rPr>
        <w:footnoteReference w:id="12"/>
      </w:r>
      <w:r>
        <w:rPr>
          <w:noProof/>
        </w:rPr>
        <w:t xml:space="preserve"> is bepaald dat de Unie er borg voor moet staan dat de activiteiten in het kader van de visserij en de aquacultuur uit ecologisch oogpunt duurzaam op lange termijn zijn en worden beheerd op een manier die strookt met de doelstellingen voordelen te realiseren op economisch en sociaal gebied en op het gebied van werkgelegenheid, alsmede bij te dragen tot de beschikbaarheid van voedselvoorraden. De verordening bepaalt eveneens dat de Unie de voorzorgsbenadering moet toepassen bij het visserijbeheer en ernaar moet streven dat de levende biologische rijkdommen van de zee zo worden geëxploiteerd dat de populaties van de gevangen soorten boven een niveau worden gebracht en gehouden dat de maximale duurzame opbrengst kan opleveren. Voorts is bepaald dat de Unie moet streven naar beheers- en instandhoudingsmaatregelen die gebaseerd zijn op het beste beschikbare wetenschappelijke advies, de ontwikkeling van wetenschappelijke kennis en wetenschappelijk advies moet ondersteunen, teruggooi geleidelijk moet uitbannen en visserijmethoden moet stimuleren die bijdragen tot meer selectieve visserij, tot het zo veel mogelijk voorkomen en beperken van ongewenste vangsten en tot visserij met een lage impact op het mariene ecosysteem en de visbestanden. Daarnaast is in Verordening (EU) nr. 1380/2013 specifiek bepaald dat de Unie deze doelstellingen en beginselen moet toepassen bij haar externe betrekkingen op visserijgebied.</w:t>
      </w:r>
    </w:p>
    <w:p>
      <w:pPr>
        <w:pStyle w:val="ManualConsidrant"/>
        <w:rPr>
          <w:noProof/>
        </w:rPr>
      </w:pPr>
      <w:r>
        <w:t>(4)</w:t>
      </w:r>
      <w:r>
        <w:tab/>
      </w:r>
      <w:r>
        <w:rPr>
          <w:noProof/>
        </w:rPr>
        <w:t>Zoals tot uiting kwam in de gezamenlijke mededeling van de hoge vertegenwoordiger van de Unie voor buitenlandse zaken en veiligheidsbeleid en de Europese Commissie "</w:t>
      </w:r>
      <w:r>
        <w:rPr>
          <w:i/>
          <w:noProof/>
        </w:rPr>
        <w:t>Internationale oceaangovernance: een agenda voor de toekomst van onze oceanen</w:t>
      </w:r>
      <w:r>
        <w:rPr>
          <w:noProof/>
        </w:rPr>
        <w:t>"</w:t>
      </w:r>
      <w:r>
        <w:rPr>
          <w:rStyle w:val="FootnoteReference"/>
          <w:noProof/>
        </w:rPr>
        <w:footnoteReference w:id="13"/>
      </w:r>
      <w:r>
        <w:rPr>
          <w:noProof/>
        </w:rPr>
        <w:t xml:space="preserve"> en de conclusies van de Raad over die gezamenlijke mededeling</w:t>
      </w:r>
      <w:r>
        <w:rPr>
          <w:rStyle w:val="FootnoteReference"/>
          <w:noProof/>
        </w:rPr>
        <w:footnoteReference w:id="14"/>
      </w:r>
      <w:r>
        <w:rPr>
          <w:noProof/>
        </w:rPr>
        <w:t>, is het stimuleren van maatregelen die de doeltreffendheid van regionale organisaties voor visserijbeheer (ROVB's) ondersteunen en versterken en die, indien van toepassing, hun governance verbeteren, cruciaal bij de werkzaamheden van de Unie in deze fora.</w:t>
      </w:r>
    </w:p>
    <w:p>
      <w:pPr>
        <w:pStyle w:val="ManualConsidrant"/>
        <w:rPr>
          <w:noProof/>
        </w:rPr>
      </w:pPr>
      <w:r>
        <w:t>(5)</w:t>
      </w:r>
      <w:r>
        <w:tab/>
      </w:r>
      <w:r>
        <w:rPr>
          <w:noProof/>
        </w:rPr>
        <w:t xml:space="preserve">In de Mededeling van de Commissie aan het Europees Parlement, de Raad, het Europees Economisch en Sociaal Comité en het Comité van de Regio's over een </w:t>
      </w:r>
      <w:r>
        <w:rPr>
          <w:i/>
          <w:noProof/>
        </w:rPr>
        <w:t>Europese strategie voor kunststoffen in een circulaire economie</w:t>
      </w:r>
      <w:r>
        <w:rPr>
          <w:rStyle w:val="FootnoteReference"/>
          <w:noProof/>
        </w:rPr>
        <w:footnoteReference w:id="15"/>
      </w:r>
      <w:r>
        <w:rPr>
          <w:noProof/>
        </w:rPr>
        <w:t xml:space="preserve"> wordt verwezen naar specifieke maatregelen om kunststoffen en mariene verontreiniging terug te dringen en het verlies of achterlaten van vistuig op zee tegen te gaan.</w:t>
      </w:r>
    </w:p>
    <w:p>
      <w:pPr>
        <w:pStyle w:val="ManualConsidrant"/>
        <w:rPr>
          <w:noProof/>
        </w:rPr>
      </w:pPr>
      <w:r>
        <w:t>(6)</w:t>
      </w:r>
      <w:r>
        <w:tab/>
      </w:r>
      <w:r>
        <w:rPr>
          <w:noProof/>
        </w:rPr>
        <w:t>Het is passend het standpunt te bepalen dat namens de Unie moet worden ingenomen in de vergaderingen van de WCPFC voor de periode 2019-2023, aangezien de instandhoudings</w:t>
      </w:r>
      <w:r>
        <w:rPr>
          <w:noProof/>
        </w:rPr>
        <w:noBreakHyphen/>
        <w:t xml:space="preserve"> en handhavingsmaatregelen van de WCPFC bindend zullen zijn voor de Unie en mogelijk een beslissende invloed kunnen uitoefenen op de inhoud van de Uniewetgeving, met name Verordening (EG) nr. 1005/2008 van de Raad</w:t>
      </w:r>
      <w:r>
        <w:rPr>
          <w:rStyle w:val="FootnoteReference"/>
          <w:noProof/>
        </w:rPr>
        <w:footnoteReference w:id="16"/>
      </w:r>
      <w:r>
        <w:rPr>
          <w:noProof/>
        </w:rPr>
        <w:t>, Verordening (EG) nr. 1224/2009 van de Raad</w:t>
      </w:r>
      <w:r>
        <w:rPr>
          <w:rStyle w:val="FootnoteReference"/>
          <w:noProof/>
        </w:rPr>
        <w:footnoteReference w:id="17"/>
      </w:r>
      <w:r>
        <w:rPr>
          <w:noProof/>
        </w:rPr>
        <w:t xml:space="preserve"> en Verordening (EU) 2017/2403 van het Europees Parlement en de Raad</w:t>
      </w:r>
      <w:r>
        <w:rPr>
          <w:rStyle w:val="FootnoteReference"/>
          <w:noProof/>
        </w:rPr>
        <w:footnoteReference w:id="18"/>
      </w:r>
      <w:r>
        <w:rPr>
          <w:noProof/>
        </w:rPr>
        <w:t>.</w:t>
      </w:r>
    </w:p>
    <w:p>
      <w:pPr>
        <w:pStyle w:val="ManualConsidrant"/>
        <w:rPr>
          <w:noProof/>
        </w:rPr>
      </w:pPr>
      <w:r>
        <w:t>(7)</w:t>
      </w:r>
      <w:r>
        <w:tab/>
      </w:r>
      <w:r>
        <w:rPr>
          <w:noProof/>
        </w:rPr>
        <w:t>Het standpunt dat namens de Unie moet worden ingenomen in de vergaderingen van de WCPFC is momenteel vastgesteld in Besluit 10124/1/14 REV 1 van de Raad</w:t>
      </w:r>
      <w:r>
        <w:rPr>
          <w:rStyle w:val="FootnoteReference"/>
          <w:noProof/>
        </w:rPr>
        <w:footnoteReference w:id="19"/>
      </w:r>
      <w:r>
        <w:rPr>
          <w:noProof/>
        </w:rPr>
        <w:t>. Het is passend Besluit 10124/1/14 REV 1 in te trekken en te vervangen door een nieuw besluit voor de periode 2019-2023.</w:t>
      </w:r>
    </w:p>
    <w:p>
      <w:pPr>
        <w:pStyle w:val="ManualConsidrant"/>
        <w:rPr>
          <w:noProof/>
        </w:rPr>
      </w:pPr>
      <w:r>
        <w:t>(8)</w:t>
      </w:r>
      <w:r>
        <w:tab/>
      </w:r>
      <w:r>
        <w:rPr>
          <w:noProof/>
        </w:rPr>
        <w:t>In het licht van de steeds veranderende aard van de visbestanden in het WCPF-verdragsgebied en de daaruit volgende noodzaak voor de Unie om in haar standpunt rekening te houden met nieuwe ontwikkelingen zoals nieuwe wetenschappelijke en andere relevante gegevens die voor of tijdens de vergaderingen van de WCPFC worden gepresenteerd, moeten voor de jaarlijkse nadere bepaling van het standpunt van de Unie voor de periode 2019-2023 procedures worden vastgesteld overeenkomstig het beginsel van loyale samenwerking tussen de instellingen van de Unie zoals dat in artikel 13, lid 2, van het Verdrag betreffende de Europese Unie (VEU) is neergelegd,</w:t>
      </w:r>
    </w:p>
    <w:p>
      <w:pPr>
        <w:pStyle w:val="Formuledadoption"/>
        <w:rPr>
          <w:noProof/>
        </w:rPr>
      </w:pPr>
      <w:r>
        <w:rPr>
          <w:noProof/>
        </w:rPr>
        <w:t>HEEFT HET VOLGENDE BESLUIT VASTGESTELD:</w:t>
      </w:r>
    </w:p>
    <w:p>
      <w:pPr>
        <w:pStyle w:val="Titrearticle"/>
        <w:rPr>
          <w:noProof/>
        </w:rPr>
      </w:pPr>
      <w:r>
        <w:rPr>
          <w:noProof/>
        </w:rPr>
        <w:t>Artikel 1</w:t>
      </w:r>
    </w:p>
    <w:p>
      <w:pPr>
        <w:autoSpaceDE w:val="0"/>
        <w:autoSpaceDN w:val="0"/>
        <w:adjustRightInd w:val="0"/>
        <w:spacing w:before="0" w:after="0"/>
        <w:rPr>
          <w:noProof/>
        </w:rPr>
      </w:pPr>
      <w:r>
        <w:rPr>
          <w:noProof/>
        </w:rPr>
        <w:t>Het standpunt dat namens de Unie moet worden ingenomen in de vergaderingen van de Commissie voor de visserij in het westelijke en centrale deel van de Stille Oceaan (WCPFC), is opgenomen in bijlage I.</w:t>
      </w:r>
    </w:p>
    <w:p>
      <w:pPr>
        <w:pStyle w:val="Titrearticle"/>
        <w:rPr>
          <w:noProof/>
        </w:rPr>
      </w:pPr>
      <w:r>
        <w:rPr>
          <w:noProof/>
        </w:rPr>
        <w:t>Artikel 2</w:t>
      </w:r>
    </w:p>
    <w:p>
      <w:pPr>
        <w:autoSpaceDE w:val="0"/>
        <w:autoSpaceDN w:val="0"/>
        <w:adjustRightInd w:val="0"/>
        <w:spacing w:before="0" w:after="0"/>
        <w:rPr>
          <w:noProof/>
          <w:szCs w:val="24"/>
        </w:rPr>
      </w:pPr>
      <w:r>
        <w:rPr>
          <w:noProof/>
        </w:rPr>
        <w:t>De jaarlijkse nadere bepaling van het standpunt dat de Unie in de vergaderingen van de WCPFC moet innemen, verloopt overeenkomstig bijlage II.</w:t>
      </w:r>
    </w:p>
    <w:p>
      <w:pPr>
        <w:pStyle w:val="Titrearticle"/>
        <w:rPr>
          <w:noProof/>
        </w:rPr>
      </w:pPr>
      <w:r>
        <w:rPr>
          <w:noProof/>
        </w:rPr>
        <w:t>Artikel 3</w:t>
      </w:r>
    </w:p>
    <w:p>
      <w:pPr>
        <w:rPr>
          <w:noProof/>
        </w:rPr>
      </w:pPr>
      <w:r>
        <w:rPr>
          <w:noProof/>
        </w:rPr>
        <w:t>Het in bijlage I uiteengezette standpunt van de Unie wordt uiterlijk vóór de jaarlijkse vergadering van de WCPFC in 2024 door de Raad getoetst en, waar passend, op voorstel van de Commissie door hem herzien.</w:t>
      </w:r>
    </w:p>
    <w:p>
      <w:pPr>
        <w:pStyle w:val="Titrearticle"/>
        <w:rPr>
          <w:noProof/>
        </w:rPr>
      </w:pPr>
      <w:r>
        <w:rPr>
          <w:noProof/>
        </w:rPr>
        <w:t>Artikel 4</w:t>
      </w:r>
    </w:p>
    <w:p>
      <w:pPr>
        <w:autoSpaceDE w:val="0"/>
        <w:autoSpaceDN w:val="0"/>
        <w:adjustRightInd w:val="0"/>
        <w:spacing w:before="0" w:after="0"/>
        <w:rPr>
          <w:noProof/>
          <w:szCs w:val="24"/>
        </w:rPr>
      </w:pPr>
      <w:r>
        <w:rPr>
          <w:noProof/>
        </w:rPr>
        <w:t>Besluit 10124/1/14 REV 1 van 3 juni 2014 wordt ingetrokken.</w:t>
      </w:r>
    </w:p>
    <w:p>
      <w:pPr>
        <w:pStyle w:val="Titrearticle"/>
        <w:rPr>
          <w:noProof/>
        </w:rPr>
      </w:pPr>
      <w:r>
        <w:rPr>
          <w:noProof/>
        </w:rPr>
        <w:t>Artikel 5</w:t>
      </w:r>
    </w:p>
    <w:p>
      <w:pPr>
        <w:autoSpaceDE w:val="0"/>
        <w:autoSpaceDN w:val="0"/>
        <w:adjustRightInd w:val="0"/>
        <w:spacing w:before="0" w:after="0"/>
        <w:rPr>
          <w:noProof/>
          <w:szCs w:val="24"/>
        </w:rPr>
      </w:pPr>
      <w:r>
        <w:rPr>
          <w:noProof/>
        </w:rPr>
        <w:t>Dit besluit is gericht tot de Commissie.</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Besluit 2005/75/EG van de Raad van 26 april 2004 inzake de toetreding van de Gemeenschap tot het Verdrag inzake de instandhouding en het beheer van over grote afstanden trekkende visbestanden in het westelijke en centrale deel van de Stille Oceaan (PB L 32 van 4.2.2005, blz. 1).</w:t>
      </w:r>
    </w:p>
  </w:footnote>
  <w:footnote w:id="2">
    <w:p>
      <w:pPr>
        <w:pStyle w:val="FootnoteText"/>
      </w:pPr>
      <w:r>
        <w:rPr>
          <w:rStyle w:val="FootnoteReference"/>
        </w:rPr>
        <w:footnoteRef/>
      </w:r>
      <w:r>
        <w:tab/>
        <w:t>Verordening (EU) nr. 1380/2013 van het Europees Parlement en de Raad inzake het gemeenschappelijk visserijbeleid, tot wijziging van Verordeningen (EG) nr. 1954/2003 en (EG) nr. 1224/2009 van de Raad en tot intrekking van Verordeningen (EG) nr. 2371/2002 en (EG) nr. 639/2004 van de Raad en Besluit 2004/585/EG van de Raad (PB L 354 van 28.12.2013, blz. 22).</w:t>
      </w:r>
    </w:p>
  </w:footnote>
  <w:footnote w:id="3">
    <w:p>
      <w:pPr>
        <w:pStyle w:val="FootnoteText"/>
        <w:rPr>
          <w:lang w:val="pt-PT"/>
        </w:rPr>
      </w:pPr>
      <w:r>
        <w:rPr>
          <w:rStyle w:val="FootnoteReference"/>
        </w:rPr>
        <w:footnoteRef/>
      </w:r>
      <w:r>
        <w:rPr>
          <w:lang w:val="pt-PT"/>
        </w:rPr>
        <w:tab/>
        <w:t>COM(2011) 424 van 13.7.2011.</w:t>
      </w:r>
    </w:p>
  </w:footnote>
  <w:footnote w:id="4">
    <w:p>
      <w:pPr>
        <w:pStyle w:val="FootnoteText"/>
        <w:rPr>
          <w:lang w:val="pt-PT"/>
        </w:rPr>
      </w:pPr>
      <w:r>
        <w:rPr>
          <w:rStyle w:val="FootnoteReference"/>
        </w:rPr>
        <w:footnoteRef/>
      </w:r>
      <w:r>
        <w:rPr>
          <w:lang w:val="pt-PT"/>
        </w:rPr>
        <w:tab/>
        <w:t>COM(2018) 28 final van 16.1.2018.</w:t>
      </w:r>
    </w:p>
  </w:footnote>
  <w:footnote w:id="5">
    <w:p>
      <w:pPr>
        <w:pStyle w:val="FootnoteText"/>
      </w:pPr>
      <w:r>
        <w:rPr>
          <w:rStyle w:val="FootnoteReference"/>
        </w:rPr>
        <w:footnoteRef/>
      </w:r>
      <w:r>
        <w:tab/>
        <w:t>JOIN(2016) 49 final van 10.11.2016.</w:t>
      </w:r>
    </w:p>
  </w:footnote>
  <w:footnote w:id="6">
    <w:p>
      <w:pPr>
        <w:pStyle w:val="FootnoteText"/>
      </w:pPr>
      <w:r>
        <w:rPr>
          <w:rStyle w:val="FootnoteReference"/>
        </w:rPr>
        <w:footnoteRef/>
      </w:r>
      <w:r>
        <w:tab/>
        <w:t>7348/1/17 REV 1 van 24.3.2017.</w:t>
      </w:r>
    </w:p>
  </w:footnote>
  <w:footnote w:id="7">
    <w:p>
      <w:pPr>
        <w:pStyle w:val="FootnoteText"/>
      </w:pPr>
      <w:r>
        <w:rPr>
          <w:rStyle w:val="FootnoteReference"/>
        </w:rPr>
        <w:footnoteRef/>
      </w:r>
      <w:r>
        <w:tab/>
        <w:t xml:space="preserve">Arrest van het Hof van Justitie van 7 oktober 2014, </w:t>
      </w:r>
      <w:r>
        <w:rPr>
          <w:i/>
        </w:rPr>
        <w:t>Duitsland</w:t>
      </w:r>
      <w:r>
        <w:t>/</w:t>
      </w:r>
      <w:r>
        <w:rPr>
          <w:i/>
        </w:rPr>
        <w:t>Raad</w:t>
      </w:r>
      <w:r>
        <w:t>, C-399/12, ECLI:EU:C:2014:2258, punten 61 tot en met 64.</w:t>
      </w:r>
    </w:p>
  </w:footnote>
  <w:footnote w:id="8">
    <w:p>
      <w:pPr>
        <w:pStyle w:val="FootnoteText"/>
      </w:pPr>
      <w:r>
        <w:rPr>
          <w:rStyle w:val="FootnoteReference"/>
        </w:rPr>
        <w:footnoteRef/>
      </w:r>
      <w:r>
        <w:tab/>
        <w:t>PB L 286 van 29.10.2008, blz. 1.</w:t>
      </w:r>
    </w:p>
  </w:footnote>
  <w:footnote w:id="9">
    <w:p>
      <w:pPr>
        <w:pStyle w:val="FootnoteText"/>
      </w:pPr>
      <w:r>
        <w:rPr>
          <w:rStyle w:val="FootnoteReference"/>
        </w:rPr>
        <w:footnoteRef/>
      </w:r>
      <w:r>
        <w:tab/>
        <w:t>PB L 343 van 22.12.2009, blz. 1.</w:t>
      </w:r>
    </w:p>
  </w:footnote>
  <w:footnote w:id="10">
    <w:p>
      <w:pPr>
        <w:pStyle w:val="FootnoteText"/>
      </w:pPr>
      <w:r>
        <w:rPr>
          <w:rStyle w:val="FootnoteReference"/>
        </w:rPr>
        <w:footnoteRef/>
      </w:r>
      <w:r>
        <w:tab/>
        <w:t>PB L 347 van 28.12.2017, blz. 81.</w:t>
      </w:r>
    </w:p>
  </w:footnote>
  <w:footnote w:id="11">
    <w:p>
      <w:pPr>
        <w:pStyle w:val="FootnoteText"/>
      </w:pPr>
      <w:r>
        <w:rPr>
          <w:rStyle w:val="FootnoteReference"/>
        </w:rPr>
        <w:footnoteRef/>
      </w:r>
      <w:r>
        <w:tab/>
        <w:t>Besluit van de Raad van 26 april 2004 inzake de toetreding van de Gemeenschap tot het Verdrag inzake de instandhouding en het beheer van over grote afstanden trekkende visbestanden in het westelijke en centrale deel van de Stille Oceaan (PB L 32 van 4.2.2005, blz. 1).</w:t>
      </w:r>
    </w:p>
  </w:footnote>
  <w:footnote w:id="12">
    <w:p>
      <w:pPr>
        <w:pStyle w:val="FootnoteText"/>
      </w:pPr>
      <w:r>
        <w:rPr>
          <w:rStyle w:val="FootnoteReference"/>
        </w:rPr>
        <w:footnoteRef/>
      </w:r>
      <w:r>
        <w:tab/>
        <w:t>Verordening (EU) nr. 1380/2013 van het Europees Parlement en de Raad van 11 december 2013 inzake het gemeenschappelijk visserijbeleid, tot wijziging van Verordeningen (EG) nr. 1954/2003 en (EG) nr. 1224/2009 van de Raad en tot intrekking van Verordeningen (EG) nr. 2371/2002 en (EG) nr. 639/2004 van de Raad en Besluit 2004/585/EG van de Raad (PB L 354 van 28.12.2013, blz. 22).</w:t>
      </w:r>
    </w:p>
  </w:footnote>
  <w:footnote w:id="13">
    <w:p>
      <w:pPr>
        <w:pStyle w:val="FootnoteText"/>
      </w:pPr>
      <w:r>
        <w:rPr>
          <w:rStyle w:val="FootnoteReference"/>
        </w:rPr>
        <w:footnoteRef/>
      </w:r>
      <w:r>
        <w:tab/>
        <w:t>JOIN (2016) 49 final van 10.11.2016.</w:t>
      </w:r>
    </w:p>
  </w:footnote>
  <w:footnote w:id="14">
    <w:p>
      <w:pPr>
        <w:pStyle w:val="FootnoteText"/>
      </w:pPr>
      <w:r>
        <w:rPr>
          <w:rStyle w:val="FootnoteReference"/>
        </w:rPr>
        <w:footnoteRef/>
      </w:r>
      <w:r>
        <w:tab/>
        <w:t>7348/1/17 REV 1 van 24.3.2017.</w:t>
      </w:r>
    </w:p>
  </w:footnote>
  <w:footnote w:id="15">
    <w:p>
      <w:pPr>
        <w:pStyle w:val="FootnoteText"/>
      </w:pPr>
      <w:r>
        <w:rPr>
          <w:rStyle w:val="FootnoteReference"/>
        </w:rPr>
        <w:footnoteRef/>
      </w:r>
      <w:r>
        <w:tab/>
        <w:t>COM(2018) 28 final van 16.1.2018.</w:t>
      </w:r>
    </w:p>
  </w:footnote>
  <w:footnote w:id="16">
    <w:p>
      <w:pPr>
        <w:pStyle w:val="FootnoteText"/>
      </w:pPr>
      <w:r>
        <w:rPr>
          <w:rStyle w:val="FootnoteReference"/>
        </w:rPr>
        <w:footnoteRef/>
      </w:r>
      <w:r>
        <w:tab/>
        <w:t>Verordening (EG) nr. 1005/2008 van de Raad van 29 september 2008 houdende de totstandbrenging van een communautair systeem om illegale, ongemelde en ongereglementeerde visserij (IOO-visserij) te voorkomen, tegen te gaan en te beëindigen, tot wijziging van Verordeningen (EEG) nr. 2847/93, (EG) nr. 1936/2001 en (EG) nr. 601/2004 en tot intrekking van Verordeningen (EG) nr. 1093/94 en (EG) nr. 1447/1999 (PB L 286 van 29.10.2008, blz. 1).</w:t>
      </w:r>
    </w:p>
  </w:footnote>
  <w:footnote w:id="17">
    <w:p>
      <w:pPr>
        <w:pStyle w:val="FootnoteText"/>
      </w:pPr>
      <w:r>
        <w:rPr>
          <w:rStyle w:val="FootnoteReference"/>
        </w:rPr>
        <w:footnoteRef/>
      </w:r>
      <w:r>
        <w:tab/>
        <w:t>Verordening (EG) nr. 1224/2009 van de Raad van 20 november 2009 tot vaststelling van een controleregeling van de Unie die de naleving van de regels van het gemeenschappelijk visserijbeleid moet garanderen, tot wijziging van Verordeningen (EG) nr. 847/96, (EG) nr. 2371/2002, (EG) nr. 811/2004, (EG) nr. 768/2005, (EG) nr. 2115/2005, (EG) nr. 2166/2005, (EG) nr. 388/2006, (EG) nr. 509/2007, (EG) nr. 676/2007, (EG) nr. 1098/2007, (EG) nr. 1300/2008, (EG) nr. 1342/2008 en tot intrekking van Verordeningen (EEG) nr. 2847/93, (EG) nr. 1627/94 en (EG) nr. 1966/2006 (PB L 343 van 22.12.2009, blz. 1).</w:t>
      </w:r>
    </w:p>
  </w:footnote>
  <w:footnote w:id="18">
    <w:p>
      <w:pPr>
        <w:pStyle w:val="FootnoteText"/>
      </w:pPr>
      <w:r>
        <w:rPr>
          <w:rStyle w:val="FootnoteReference"/>
        </w:rPr>
        <w:footnoteRef/>
      </w:r>
      <w:r>
        <w:tab/>
        <w:t>Verordening (EU) 2017/2403 van het Europees Parlement en de Raad van 12 december 2017 inzake het duurzame beheer van externe vissersvloten, en tot intrekking van Verordening (EG) nr. 1006/2008 van de Raad (PB L 347 van 28.12.2017, blz. 81).</w:t>
      </w:r>
    </w:p>
  </w:footnote>
  <w:footnote w:id="19">
    <w:p>
      <w:pPr>
        <w:pStyle w:val="FootnoteText"/>
      </w:pPr>
      <w:r>
        <w:rPr>
          <w:rStyle w:val="FootnoteReference"/>
        </w:rPr>
        <w:footnoteRef/>
      </w:r>
      <w:r>
        <w:tab/>
        <w:t xml:space="preserve">Besluit van de Raad van 3 juni 2014 betreffende het standpunt dat namens de Europese Unie moet worden ingenomen </w:t>
      </w:r>
    </w:p>
    <w:p>
      <w:pPr>
        <w:pStyle w:val="FootnoteText"/>
        <w:ind w:firstLine="0"/>
      </w:pPr>
      <w:r>
        <w:t xml:space="preserve">inzake de instandhouding en het beheer van de over grote afstanden trekkende visbestanden in de </w:t>
      </w:r>
    </w:p>
    <w:p>
      <w:pPr>
        <w:pStyle w:val="FootnoteText"/>
        <w:ind w:firstLine="0"/>
      </w:pPr>
      <w:r>
        <w:t>Commissie voor de visserij in het westelijke en centrale deel van de Stille Oceaan (WCPFC).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7:37:4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233E6A4-DABD-4FA4-83E7-8F8387F3CB9E"/>
    <w:docVar w:name="LW_COVERPAGE_TYPE" w:val="1"/>
    <w:docVar w:name="LW_CROSSREFERENCE" w:val="&lt;UNUSED&gt;"/>
    <w:docVar w:name="LW_DocType" w:val="COM"/>
    <w:docVar w:name="LW_EMISSION" w:val="7.3.2019"/>
    <w:docVar w:name="LW_EMISSION_ISODATE" w:val="2019-03-07"/>
    <w:docVar w:name="LW_EMISSION_LOCATION" w:val="BRX"/>
    <w:docVar w:name="LW_EMISSION_PREFIX" w:val="Brussel,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50"/>
    <w:docVar w:name="LW_REF.II.NEW.CP_YEAR" w:val="2019"/>
    <w:docVar w:name="LW_REF.INST.NEW" w:val="COM"/>
    <w:docVar w:name="LW_REF.INST.NEW_ADOPTED" w:val="final"/>
    <w:docVar w:name="LW_REF.INST.NEW_TEXT" w:val="(2019)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het standpunt dat namens de Europese Unie moet worden ingenomen in de Commissie voor de visserij in het westelijke en centrale deel van de Stille Oceaan en tot intrekking van Besluit 10124/1/14 REV 1"/>
    <w:docVar w:name="LW_TYPE.DOC.CP" w:val="BESLUIT VAN DE RAAD"/>
    <w:docVar w:name="Stamp" w:val="\\dossiers.dgt.cec.eu.int\dossiers\MARE\MARE-2018-00541\MARE-2018-00541-00-05-EN-EDT-00.201812071036373787230.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7460">
          <w:marLeft w:val="0"/>
          <w:marRight w:val="0"/>
          <w:marTop w:val="0"/>
          <w:marBottom w:val="0"/>
          <w:divBdr>
            <w:top w:val="none" w:sz="0" w:space="0" w:color="auto"/>
            <w:left w:val="none" w:sz="0" w:space="0" w:color="auto"/>
            <w:bottom w:val="none" w:sz="0" w:space="0" w:color="auto"/>
            <w:right w:val="none" w:sz="0" w:space="0" w:color="auto"/>
          </w:divBdr>
        </w:div>
        <w:div w:id="1955163926">
          <w:marLeft w:val="0"/>
          <w:marRight w:val="0"/>
          <w:marTop w:val="0"/>
          <w:marBottom w:val="0"/>
          <w:divBdr>
            <w:top w:val="none" w:sz="0" w:space="0" w:color="auto"/>
            <w:left w:val="none" w:sz="0" w:space="0" w:color="auto"/>
            <w:bottom w:val="none" w:sz="0" w:space="0" w:color="auto"/>
            <w:right w:val="none" w:sz="0" w:space="0" w:color="auto"/>
          </w:divBdr>
        </w:div>
        <w:div w:id="910889472">
          <w:marLeft w:val="0"/>
          <w:marRight w:val="0"/>
          <w:marTop w:val="0"/>
          <w:marBottom w:val="0"/>
          <w:divBdr>
            <w:top w:val="none" w:sz="0" w:space="0" w:color="auto"/>
            <w:left w:val="none" w:sz="0" w:space="0" w:color="auto"/>
            <w:bottom w:val="none" w:sz="0" w:space="0" w:color="auto"/>
            <w:right w:val="none" w:sz="0" w:space="0" w:color="auto"/>
          </w:divBdr>
        </w:div>
        <w:div w:id="185485113">
          <w:marLeft w:val="0"/>
          <w:marRight w:val="0"/>
          <w:marTop w:val="0"/>
          <w:marBottom w:val="0"/>
          <w:divBdr>
            <w:top w:val="none" w:sz="0" w:space="0" w:color="auto"/>
            <w:left w:val="none" w:sz="0" w:space="0" w:color="auto"/>
            <w:bottom w:val="none" w:sz="0" w:space="0" w:color="auto"/>
            <w:right w:val="none" w:sz="0" w:space="0" w:color="auto"/>
          </w:divBdr>
        </w:div>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965C-4E99-43B7-825E-62670085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2194</Words>
  <Characters>12225</Characters>
  <Application>Microsoft Office Word</Application>
  <DocSecurity>0</DocSecurity>
  <Lines>218</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2019-02-14T09:28:00Z</dcterms:created>
  <dcterms:modified xsi:type="dcterms:W3CDTF">2019-03-06T06:37:00Z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