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D4FA6B7-B534-486F-BDCD-C1E6D1CB41C0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ANEXO I 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 xml:space="preserve">Posição a adotar em nome da União na Conferência anual das Partes na Convenção do Mar de Bering 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 xml:space="preserve">PRINCÍPIOS </w:t>
      </w:r>
    </w:p>
    <w:p>
      <w:pPr>
        <w:rPr>
          <w:noProof/>
        </w:rPr>
      </w:pPr>
      <w:r>
        <w:rPr>
          <w:noProof/>
        </w:rPr>
        <w:t>No âmbito da Convenção do Mar de Bering, a União: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Age em conformidade com os seus princípios e objetivos no âmbito da política comum das pescas, em particular o princípio da abordagem de precaução e os objetivos relacionados com o rendimento máximo sustentável, estabelecidos no artigo 2.º, n.º 2, do Regulamento (UE) n.º 1380/2013, para promover a aplicação de uma abordagem ecossistémica da gestão das pescas, para reduzir e evitar na medida do possível as capturas indesejadas e eliminar progressivamente as devoluções, e para minimizar o impacto das atividades de pesca nos ecossistemas marinhos e seus habitats, bem como através da promoção, na União, de pescas economicamente viáveis e competitivas, para assegurar um nível de vida adequado às populações que dependem das atividades de pesca e ter em conta os interesses dos consumidores;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Assegura que as medidas adotadas no âmbito da Conferência anual das Partes estejam em conformidade com a Convenção do Mar de Bering;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Assegura que as medidas adotadas no âmbito da Conferência anual das Partes sejam coerentes com o direito internacional, em particular com as disposições da Convenção das Nações Unidas sobre o Direito do Mar de 1982, do Acordo das Nações Unidas relativo à Conservação e Gestão das Populações de Peixes Transzonais e das Populações de Peixes Altamente Migradores de 1995, do Acordo para a promoção do cumprimento das medidas internacionais de conservação e de gestão pelos navios de pesca no alto mar de 1993 e do Acordo da FAO relativo às medidas dos Estados do porto de 2009;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Promove posições coerentes com as boas práticas das organizações regionais de gestão das pescas (ORGP) na mesma zona;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Procura a coerência e sinergias com a política que pratica no âmbito das suas relações bilaterais com países terceiros no domínio das pescas e assegura a coerência com as suas restantes políticas, nomeadamente nos domínios das relações externas, do emprego, do ambiente, do comércio, do desenvolvimento e da investigação e inovação;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Garante o respeito dos compromissos que assume no plano internacional;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Atua em consonância com as conclusões do Conselho de 19 de março de 2012 sobre a Comunicação da Comissão relativa à dimensão externa da política comum das pescas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Procura criar condições equitativas para a frota da União na zona da Convenção do Mar de Bering, com base em princípios e normas idênticos aos aplicáveis por força do direito da União, e promove a sua aplicação uniforme;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>Atua em consonância com a Comunicação Conjunta da Alta Representante da União para os Negócios Estrangeiros e a Política de Segurança e da Comissão Europeia intitulada «</w:t>
      </w:r>
      <w:r>
        <w:rPr>
          <w:i/>
          <w:noProof/>
        </w:rPr>
        <w:t>Governação internacional dos oceanos: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2"/>
      </w:r>
      <w:r>
        <w:rPr>
          <w:noProof/>
        </w:rPr>
        <w:t>, bem como com as conclusões do Conselho sobre esta comunicação conjunta</w:t>
      </w:r>
      <w:r>
        <w:rPr>
          <w:rStyle w:val="FootnoteReference"/>
          <w:noProof/>
        </w:rPr>
        <w:footnoteReference w:id="3"/>
      </w:r>
      <w:r>
        <w:rPr>
          <w:noProof/>
        </w:rPr>
        <w:t>, e promove  medidas destinadas a apoiar e reforçar a eficácia da Conferência anual das Partes</w:t>
      </w:r>
      <w:r>
        <w:rPr>
          <w:rFonts w:ascii="TimesNewRomanPSMT" w:hAnsi="TimesNewRomanPSMT"/>
          <w:noProof/>
        </w:rPr>
        <w:t xml:space="preserve"> </w:t>
      </w:r>
      <w:r>
        <w:rPr>
          <w:noProof/>
        </w:rPr>
        <w:t>e, se for caso disso, melhorar a sua governação e desempenho (em particular na ciência, no cumprimento das normas, na transparência e na tomada de decisões), contribuindo para a gestão sustentável dos oceanos em todas as suas dimensões;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>Promove a coordenação entre as ORGP e as convenções marinhas regionais e a cooperação com organizações mundiais, conforme aplicável, no âmbito dos seus mandatos;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Promove mecanismos de cooperação entre ORGP não atuneiras semelhantes aos do chamado «processo de Kobe» para as ORGP do atum.</w:t>
      </w:r>
    </w:p>
    <w:p>
      <w:pPr>
        <w:pStyle w:val="Heading1"/>
        <w:rPr>
          <w:noProof/>
        </w:rPr>
      </w:pPr>
      <w:r>
        <w:rPr>
          <w:noProof/>
        </w:rPr>
        <w:t>ORIENTAÇÕES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Sempre que se justifique, a União procurará apoiar a adoção das seguintes ações pela Conferência anual das Partes: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Medidas de conservação e de gestão dos recursos haliêuticos na zona do Acordo, com base nos melhores pareceres científicos disponíveis, incluindo níveis admissíveis de exploração e quotas nacionais individuais ou medidas de regulação do esforço aplicáveis aos recursos biológicos marinhos vivos regulamentados pela Conferência anual das Partes, incluindo alterando o anexo da Convenção do Mar de Bering, que permitam atingir, progressiva e gradualmente, a taxa de rendimento máximo sustentável. Se necessário, essas medidas de conservação e de gestão incluirão medidas específicas para as unidades populacionais que são alvo de sobrepesca, a fim de manter o esforço de pesca adaptado às possibilidades de pesca disponíveis;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 xml:space="preserve">Medidas de prevenção, dissuasão e eliminação das atividades de pesca </w:t>
      </w:r>
      <w:r>
        <w:rPr>
          <w:noProof/>
          <w:sz w:val="23"/>
        </w:rPr>
        <w:t>ilegal, não declarada e não regulamentada</w:t>
      </w:r>
      <w:r>
        <w:rPr>
          <w:noProof/>
        </w:rPr>
        <w:t xml:space="preserve"> (INN) na zona da Convenção do Mar de Bering, incluindo listas de navios INN;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Medidas de monitorização, controlo e vigilância na zona da Convenção, a fim de garantir a eficiência do controlo e o cumprimento das medidas adotadas no âmbito da Conferência anual das Partes;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Medidas destinadas a minimizar o impacto negativo das atividades de pesca na biodiversidade e nos ecossistemas marinhos e seus habitats, incluindo medidas de redução da poluição marinha e prevenção da descarga de plásticos no mar, e de redução do impacto dos plásticos presentes no mar na biodiversidade e nos ecossistemas marinhos, medidas de proteção dos ecossistemas marinhos vulneráveis da zona da Convenção do Mar de Bering em conformidade com as Orientações Internacionais da FAO para a Gestão das Pescas de Profundidade no Alto Mar e medidas destinadas a evitar e a reduzir, tanto quanto possível, as capturas indesejadas, particularmente de espécies marinhas vulneráveis, e a eliminar progressivamente as devoluções;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Medidas destinadas a reduzir o impacto das artes de pesca perdidas, abandonadas e descartadas no oceano e a facilitar a sua identificação e recuperação;</w:t>
      </w:r>
    </w:p>
    <w:p>
      <w:pPr>
        <w:pStyle w:val="Point0"/>
        <w:rPr>
          <w:noProof/>
        </w:rPr>
      </w:pPr>
      <w:r>
        <w:rPr>
          <w:noProof/>
        </w:rPr>
        <w:t xml:space="preserve">f) </w:t>
      </w:r>
      <w:r>
        <w:rPr>
          <w:noProof/>
        </w:rPr>
        <w:tab/>
        <w:t>Medidas destinadas a proibir as atividades de pesca exercidas exclusivamente para fins de remoção das barbatanas de tubarões, exigindo que todos os tubarões sejam desembarcados com todas as barbatanas ligadas naturalmente ao corpo;</w:t>
      </w:r>
    </w:p>
    <w:p>
      <w:pPr>
        <w:pStyle w:val="Point0"/>
        <w:rPr>
          <w:noProof/>
        </w:rPr>
      </w:pPr>
      <w:r>
        <w:rPr>
          <w:noProof/>
        </w:rPr>
        <w:t xml:space="preserve">g) </w:t>
      </w:r>
      <w:r>
        <w:rPr>
          <w:noProof/>
        </w:rPr>
        <w:tab/>
        <w:t>Recomendações, se adequado e na medida em que o permitam os documentos constitutivos, que incentivem a aplicação da Convenção da Organização Internacional do Trabalho (OIT) sobre o Trabalho no Setor das Pescas;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Abordagens comuns com outras ORGP, em especial as que participam na gestão das pescas na mesma região;</w:t>
      </w:r>
    </w:p>
    <w:p>
      <w:pPr>
        <w:pStyle w:val="Point0"/>
        <w:rPr>
          <w:noProof/>
        </w:rPr>
      </w:pPr>
      <w:r>
        <w:rPr>
          <w:noProof/>
        </w:rPr>
        <w:t xml:space="preserve">i) </w:t>
      </w:r>
      <w:r>
        <w:rPr>
          <w:noProof/>
        </w:rPr>
        <w:tab/>
        <w:t>Medidas técnicas suplementares baseadas em pareceres de organismos subsidiários e grupos de trabalho da Conferência anual das Partes.</w:t>
      </w:r>
    </w:p>
    <w:p>
      <w:pPr>
        <w:pStyle w:val="Point0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ANEXO II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>Fixação anual dos elementos específicos da posição a adotar pela União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 xml:space="preserve">na Conferência anual das Partes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Antes de cada Conferência anual das Partes, sempre que esse órgão seja chamado a adotar decisões que produzam efeitos jurídicos para a União, serão tomadas as medidas necessárias para que a posição a exprimir em nome da União tenha em conta os mais recentes dados científicos e outras informações pertinentes transmitidas à Comissão Europeia, em conformidade com os princípios e orientações constantes do anexo 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Para o efeito, e com base nessas informações, a Comissão Europeia deve enviar ao Conselho ou às suas instâncias preparatórias, com antecedência suficiente em relação a cada reunião da Conferência anual das Partes, um documento escrito em que apresente pormenorizadamente, para debate e aprovação, os elementos específicos propostos para a posição a exprimir em nome da União.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 xml:space="preserve">Na impossibilidade de se alcançar um acordo no decurso de uma reunião da Conferência anual das Partes, inclusive </w:t>
      </w:r>
      <w:r>
        <w:rPr>
          <w:i/>
          <w:noProof/>
        </w:rPr>
        <w:t>in situ</w:t>
      </w:r>
      <w:r>
        <w:rPr>
          <w:noProof/>
        </w:rPr>
        <w:t>, para que a posição da União tenha em conta os novos elementos, a questão deve ser submetida ao Conselho ou às suas instâncias preparatórias.</w:t>
      </w:r>
    </w:p>
    <w:p>
      <w:pPr>
        <w:rPr>
          <w:rFonts w:eastAsia="Calibri"/>
          <w:noProof/>
          <w:szCs w:val="20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7087/12REV 1 ADD 1 COR 1.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JOIN(2016) 49 final, de 10.11.2016.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7348/1/17 REV 1, de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962F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F7CDE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5F2A4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BA2C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7 13:24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D4FA6B7-B534-486F-BDCD-C1E6D1CB41C0"/>
    <w:docVar w:name="LW_COVERPAGE_TYPE" w:val="1"/>
    <w:docVar w:name="LW_CROSSREFERENCE" w:val="&lt;UNUSED&gt;"/>
    <w:docVar w:name="LW_DocType" w:val="ANNEX"/>
    <w:docVar w:name="LW_EMISSION" w:val="8.3.2019"/>
    <w:docVar w:name="LW_EMISSION_ISODATE" w:val="2019-03-08"/>
    <w:docVar w:name="LW_EMISSION_LOCATION" w:val="BRX"/>
    <w:docVar w:name="LW_EMISSION_PREFIX" w:val="Bruxelas, 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tomar em nome da União Europeia na Conferência anual das Partes na Convenção para a Conservação e Gestão dos Recursos de Escamudo no Mar de Bering Central e que revoga a Decisão 9782/17_x000b_"/>
    <w:docVar w:name="LW_OBJETACTEPRINCIPAL.CP" w:val="relativa à posição a tomar em nome da União Europeia na Conferência anual das Partes na Convenção para a Conservação e Gestão dos Recursos de Escamudo no Mar de Bering Central e que revoga a Decisão 9782/17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821244-815D-4FE0-B236-76DE1030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1193</Words>
  <Characters>6362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2019-03-01T10:17:00Z</dcterms:created>
  <dcterms:modified xsi:type="dcterms:W3CDTF">2019-03-07T12:24:00Z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