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D2C3C942-BD19-4608-BE73-5FC08256C714" style="width:450.5pt;height:352.7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DŮVODOVÁ ZPRÁVA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Předmět návrhu</w:t>
      </w:r>
    </w:p>
    <w:p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noProof/>
          <w:szCs w:val="24"/>
        </w:rPr>
      </w:pPr>
      <w:r>
        <w:rPr>
          <w:noProof/>
        </w:rPr>
        <w:t>Tento návrh se týká rozhodnutí o postoji, který má být jménem Unie zaujat na zasedáních Komise pro zachování živých mořských zdrojů v Antarktidě (CCAMLR) v období 2019–2023 v souvislosti s plánovaným přijetím opatření pro zachování a řízení.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Souvislosti návrhu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Úmluva o zachování živých mořských zdrojů v Antarktidě</w:t>
      </w:r>
    </w:p>
    <w:p>
      <w:pPr>
        <w:autoSpaceDE w:val="0"/>
        <w:autoSpaceDN w:val="0"/>
        <w:adjustRightInd w:val="0"/>
        <w:spacing w:before="0" w:after="0"/>
        <w:rPr>
          <w:rFonts w:eastAsia="Arial Unicode MS"/>
          <w:noProof/>
        </w:rPr>
      </w:pPr>
      <w:r>
        <w:rPr>
          <w:noProof/>
        </w:rPr>
        <w:t>Cílem Úmluvy o zachování živých mořských zdrojů v Antarktidě („úmluva CAMLR“) je zachování a racionální využívání živých mořských zdrojů v Antarktidě, které tvoří součást antarktického ekosystému. Úmluva vstoupila v platnost dne 7. dubna 1982.</w:t>
      </w:r>
    </w:p>
    <w:p>
      <w:pPr>
        <w:rPr>
          <w:rFonts w:eastAsia="Arial Unicode MS"/>
          <w:noProof/>
        </w:rPr>
      </w:pPr>
      <w:r>
        <w:rPr>
          <w:noProof/>
        </w:rPr>
        <w:t>Unie</w:t>
      </w:r>
      <w:r>
        <w:rPr>
          <w:rStyle w:val="FootnoteReference"/>
          <w:rFonts w:eastAsia="Arial Unicode MS"/>
          <w:noProof/>
        </w:rPr>
        <w:footnoteReference w:id="1"/>
      </w:r>
      <w:r>
        <w:rPr>
          <w:noProof/>
        </w:rPr>
        <w:t xml:space="preserve"> a řada jejích členských států</w:t>
      </w:r>
      <w:r>
        <w:rPr>
          <w:rStyle w:val="FootnoteReference"/>
          <w:rFonts w:eastAsia="Arial Unicode MS"/>
          <w:noProof/>
        </w:rPr>
        <w:footnoteReference w:id="2"/>
      </w:r>
      <w:r>
        <w:rPr>
          <w:noProof/>
        </w:rPr>
        <w:t xml:space="preserve"> jsou smluvními stranami úmluvy CAMLR. 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 xml:space="preserve">Komise pro zachování živých mořských zdrojů v Antarktidě </w:t>
      </w:r>
    </w:p>
    <w:p>
      <w:pPr>
        <w:rPr>
          <w:noProof/>
        </w:rPr>
      </w:pPr>
      <w:r>
        <w:rPr>
          <w:noProof/>
        </w:rPr>
        <w:t>Komise pro zachování živých mořských zdrojů v Antarktidě („CCAMLR“) byla zřízena úmluvou CAMLR jako subjekt, který přijímá opatření k zajištění zachování živých mořských zdrojů v Antarktidě, včetně jejich racionálního využívání. Za tímto účelem komise formuluje, přijímá a reviduje opatření pro zachování těchto zdrojů založená na nejlepších dostupných vědeckých poznatcích. Tato opatření se mohou stát pro Unii závazná.</w:t>
      </w:r>
    </w:p>
    <w:p>
      <w:pPr>
        <w:rPr>
          <w:rFonts w:eastAsia="Arial Unicode MS"/>
          <w:noProof/>
        </w:rPr>
      </w:pPr>
      <w:r>
        <w:rPr>
          <w:noProof/>
        </w:rPr>
        <w:t>Jako člen CCAMLR je Unie oprávněna podílet se na jejích rozhodnutích a účastnit se hlasování o nich. CCAMLR přijímá svá rozhodnutí na základě konsensu.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 xml:space="preserve">Rozhodnutí CCAMLR </w:t>
      </w:r>
    </w:p>
    <w:p>
      <w:pPr>
        <w:rPr>
          <w:rFonts w:eastAsia="Arial Unicode MS"/>
          <w:noProof/>
        </w:rPr>
      </w:pPr>
      <w:r>
        <w:rPr>
          <w:noProof/>
        </w:rPr>
        <w:t>CCAMLR se schází nejméně jednou ročně. Přijímá opatření pro zachování zdrojů, která upravují používání živých mořských zdrojů v Antarktidě a která jsou založená na nejlepších dostupných vědeckých poznatcích.</w:t>
      </w:r>
    </w:p>
    <w:p>
      <w:pPr>
        <w:rPr>
          <w:rFonts w:eastAsia="Arial Unicode MS"/>
          <w:noProof/>
        </w:rPr>
      </w:pPr>
      <w:r>
        <w:rPr>
          <w:noProof/>
        </w:rPr>
        <w:t>V souladu s článkem IX.6 úmluvy CAMLR jsou členové informováni o opatřeních ihned po každoročních zasedáních a tato opatření se stávají závaznými 180 dnů poté. Členové, kteří podají námitku proti takovému opatření během 90 dnů ode dne, kdy jim bylo oznámeno, nebudou daným opatřením vázáni.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Postoj, který má být zaujat jménem Unie</w:t>
      </w:r>
    </w:p>
    <w:p>
      <w:pPr>
        <w:rPr>
          <w:rFonts w:eastAsia="Times New Roman"/>
          <w:noProof/>
        </w:rPr>
      </w:pPr>
      <w:r>
        <w:rPr>
          <w:noProof/>
        </w:rPr>
        <w:t>Postoj, který má být jménem Unie zaujat na výročních zasedáních regionálních organizací pro řízení rybolovu, se v současné době stanovuje na základě dvouúrovňového přístupu. Rozhodnutí Rady stanoví hlavní zásady a směry postoje Unie na víceletém základě; postoj je poté pro každé výroční zasedání upravován pracovními dokumenty Komise, které jsou projednány v pracovní skupině Rady.</w:t>
      </w:r>
    </w:p>
    <w:p>
      <w:pPr>
        <w:rPr>
          <w:rFonts w:eastAsia="Times New Roman"/>
          <w:noProof/>
        </w:rPr>
      </w:pPr>
      <w:r>
        <w:rPr>
          <w:noProof/>
        </w:rPr>
        <w:t xml:space="preserve">Pokud jde o CCAMLR, tento přístup je proveden rozhodnutím Rady10840/14 ze dne 25. června 2014, které stanoví postoj Unie v rámci CCAMLR v období 2014–2018. Rozhodnutí obsahuje obecné zásady a směry, ale rovněž v co největší míře zohledňuje specifika </w:t>
      </w:r>
      <w:r>
        <w:rPr>
          <w:noProof/>
        </w:rPr>
        <w:lastRenderedPageBreak/>
        <w:t>CCAMLR. Kromě toho stanoví standardní postup pro každoroční stanovení postoje Unie, jak požadují členské státy.</w:t>
      </w:r>
    </w:p>
    <w:p>
      <w:pPr>
        <w:rPr>
          <w:rFonts w:eastAsia="Times New Roman"/>
          <w:noProof/>
        </w:rPr>
      </w:pPr>
      <w:r>
        <w:rPr>
          <w:noProof/>
        </w:rPr>
        <w:t>Rozhodnutí 10840/14 stanoví přezkum postoje Unie před výročním zasedáním v roce 2019. Tento návrh proto stanoví postoj Unie v rámci CCAMLR na období 2019–2023, a rozhodnutí 10840/14 tak nahradí.</w:t>
      </w:r>
    </w:p>
    <w:p>
      <w:pPr>
        <w:rPr>
          <w:rFonts w:eastAsia="Times New Roman"/>
          <w:noProof/>
        </w:rPr>
      </w:pPr>
      <w:r>
        <w:rPr>
          <w:noProof/>
        </w:rPr>
        <w:t>Rozhodnutí 10840/14 zahrnuje zásady a směry nové společné rybářské politiky (SRP) stanovené podle nařízení Evropského parlamentu a Rady (EU) č. 1380/2013</w:t>
      </w:r>
      <w:r>
        <w:rPr>
          <w:rStyle w:val="FootnoteReference"/>
          <w:noProof/>
        </w:rPr>
        <w:footnoteReference w:id="3"/>
      </w:r>
      <w:r>
        <w:rPr>
          <w:noProof/>
        </w:rPr>
        <w:t>, přičemž rovněž zohledňuje cíle sdělení Komise o vnější dimenzi SRP</w:t>
      </w:r>
      <w:r>
        <w:rPr>
          <w:rStyle w:val="FootnoteReference"/>
          <w:noProof/>
        </w:rPr>
        <w:footnoteReference w:id="4"/>
      </w:r>
      <w:r>
        <w:rPr>
          <w:noProof/>
        </w:rPr>
        <w:t>. Kromě toho upravilo postoj Unie podle Lisabonské smlouvy.</w:t>
      </w:r>
    </w:p>
    <w:p>
      <w:pPr>
        <w:rPr>
          <w:noProof/>
        </w:rPr>
      </w:pPr>
      <w:r>
        <w:rPr>
          <w:noProof/>
        </w:rPr>
        <w:t xml:space="preserve">Stávající revize zohledňuje v souvislosti s dopady rybolovných činností sdělení Komise Evropskému parlamentu, Radě, Evropskému hospodářskému a sociálnímu výboru a Výboru regionů </w:t>
      </w:r>
      <w:r>
        <w:rPr>
          <w:i/>
          <w:noProof/>
        </w:rPr>
        <w:t>Evropská strategie pro plasty v oběhovém hospodářství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, společné sdělení vysoké představitelky Unie pro zahraniční věci a bezpečnostní politiku a Komise </w:t>
      </w:r>
      <w:r>
        <w:rPr>
          <w:i/>
          <w:noProof/>
        </w:rPr>
        <w:t>Mezinárodní správa oceánů: příspěvek EU k odpovědné správě oceánů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a závěry Rady o uvedeném společném sdělení</w:t>
      </w:r>
      <w:r>
        <w:rPr>
          <w:rStyle w:val="FootnoteReference"/>
          <w:noProof/>
        </w:rPr>
        <w:footnoteReference w:id="7"/>
      </w:r>
      <w:r>
        <w:rPr>
          <w:noProof/>
        </w:rPr>
        <w:t>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Právní základ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Procesněprávní základ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Zásady</w:t>
      </w:r>
    </w:p>
    <w:p>
      <w:pPr>
        <w:rPr>
          <w:noProof/>
        </w:rPr>
      </w:pPr>
      <w:r>
        <w:rPr>
          <w:noProof/>
        </w:rPr>
        <w:t>Ustanovení čl. 218 odst. 9 Smlouvy o fungování Evropské unie (SFEU) zavádí rozhodnutí, kterými se stanoví „postoje, které mají být jménem Unie zaujaty v orgánu zřízeném dohodou, má-li tento orgán přijímat akty s právními účinky, s výjimkou aktů, které doplňují nebo pozměňují institucionální rámec dohody“.</w:t>
      </w:r>
    </w:p>
    <w:p>
      <w:pPr>
        <w:rPr>
          <w:noProof/>
        </w:rPr>
      </w:pPr>
      <w:r>
        <w:rPr>
          <w:noProof/>
        </w:rPr>
        <w:t>Pojem „akty s právními účinky“ zahrnuje akty s právními účinky na základě pravidel mezinárodního práva, kterými se řídí dotyčný orgán, a nástroje, které podle mezinárodního práva nemají závazný účinek, ale „mohou rozhodujícím způsobem ovlivnit obsah právní úpravy přijaté zákonodárcem EU“</w:t>
      </w:r>
      <w:r>
        <w:rPr>
          <w:rStyle w:val="FootnoteReference"/>
          <w:noProof/>
        </w:rPr>
        <w:footnoteReference w:id="8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Použití na stávající případ</w:t>
      </w:r>
    </w:p>
    <w:p>
      <w:pPr>
        <w:rPr>
          <w:noProof/>
        </w:rPr>
      </w:pPr>
      <w:r>
        <w:rPr>
          <w:noProof/>
        </w:rPr>
        <w:t>CCAMLR je orgán zřízený dohodou, konkrétně úmluvou CAMLR.</w:t>
      </w:r>
    </w:p>
    <w:p>
      <w:pPr>
        <w:rPr>
          <w:noProof/>
        </w:rPr>
      </w:pPr>
      <w:r>
        <w:rPr>
          <w:noProof/>
        </w:rPr>
        <w:t>Akty, které má CCAMLR přijmout, představují akty s právními účinky. Tyto akty mají být závazné podle mezinárodního práva v souladu s článkem X.6 úmluvy CAMLR a vzhledem k tomu, že rozhodnutí CCAMLR mohou doplňovat, pozměňovat nebo nahrazovat povinnosti stanovené stávajícími právními předpisy EU, mohou rovněž rozhodujícím způsobem ovlivnit obsah právních předpisů EU, a to:</w:t>
      </w:r>
    </w:p>
    <w:p>
      <w:pPr>
        <w:pStyle w:val="Bullet0"/>
        <w:numPr>
          <w:ilvl w:val="0"/>
          <w:numId w:val="11"/>
        </w:numPr>
        <w:rPr>
          <w:noProof/>
        </w:rPr>
      </w:pPr>
      <w:r>
        <w:rPr>
          <w:noProof/>
        </w:rPr>
        <w:lastRenderedPageBreak/>
        <w:t>nařízení Rady (ES) č. 1005/2008, kterým se zavádí systém Společenství pro předcházení, potírání a odstranění nezákonného, nehlášeného a neregulovaného rybolovu</w:t>
      </w:r>
      <w:r>
        <w:rPr>
          <w:rStyle w:val="FootnoteReference"/>
          <w:noProof/>
        </w:rPr>
        <w:footnoteReference w:id="9"/>
      </w:r>
      <w:r>
        <w:rPr>
          <w:noProof/>
        </w:rPr>
        <w:t>,</w:t>
      </w:r>
    </w:p>
    <w:p>
      <w:pPr>
        <w:pStyle w:val="Bullet0"/>
        <w:rPr>
          <w:noProof/>
        </w:rPr>
      </w:pPr>
      <w:r>
        <w:rPr>
          <w:noProof/>
        </w:rPr>
        <w:t>nařízení Rady (ES) č. 1224/2009 o zavedení kontrolního režimu Společenství k zajištění dodržování pravidel společné rybářské politiky</w:t>
      </w:r>
      <w:r>
        <w:rPr>
          <w:rStyle w:val="FootnoteReference"/>
          <w:noProof/>
        </w:rPr>
        <w:footnoteReference w:id="10"/>
      </w:r>
      <w:r>
        <w:rPr>
          <w:noProof/>
        </w:rPr>
        <w:t>,</w:t>
      </w:r>
    </w:p>
    <w:p>
      <w:pPr>
        <w:pStyle w:val="Bullet0"/>
        <w:rPr>
          <w:noProof/>
        </w:rPr>
      </w:pPr>
      <w:r>
        <w:rPr>
          <w:noProof/>
        </w:rPr>
        <w:t>nařízení Evropského parlamentu a Rady (EU) 2017/2403 o udržitelném řízení vnějšího rybářského loďstva</w:t>
      </w:r>
      <w:r>
        <w:rPr>
          <w:rStyle w:val="FootnoteReference"/>
          <w:noProof/>
        </w:rPr>
        <w:footnoteReference w:id="11"/>
      </w:r>
      <w:r>
        <w:rPr>
          <w:noProof/>
        </w:rPr>
        <w:t>,</w:t>
      </w:r>
    </w:p>
    <w:p>
      <w:pPr>
        <w:pStyle w:val="Bullet0"/>
        <w:rPr>
          <w:noProof/>
        </w:rPr>
      </w:pPr>
      <w:r>
        <w:rPr>
          <w:noProof/>
        </w:rPr>
        <w:t>nařízení Rady (ES) č. 600/2004, kterým se stanoví některá technická opatření pro rybolovné činnosti v oblasti působnosti Úmluvy o zachování živých mořských zdrojů v Antarktidě</w:t>
      </w:r>
      <w:r>
        <w:rPr>
          <w:rStyle w:val="FootnoteReference"/>
          <w:noProof/>
        </w:rPr>
        <w:footnoteReference w:id="12"/>
      </w:r>
      <w:r>
        <w:rPr>
          <w:noProof/>
        </w:rPr>
        <w:t>,</w:t>
      </w:r>
    </w:p>
    <w:p>
      <w:pPr>
        <w:pStyle w:val="Bullet0"/>
        <w:rPr>
          <w:noProof/>
        </w:rPr>
      </w:pPr>
      <w:r>
        <w:rPr>
          <w:noProof/>
        </w:rPr>
        <w:t>nařízení Rady (ES) č. 601/2004, kterým se stanoví některá kontrolní opatření pro rybolovné činnosti v oblasti působnosti Úmluvy o zachování živých mořských zdrojů v Antarktidě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a </w:t>
      </w:r>
    </w:p>
    <w:p>
      <w:pPr>
        <w:pStyle w:val="Bullet0"/>
        <w:rPr>
          <w:noProof/>
        </w:rPr>
      </w:pPr>
      <w:r>
        <w:rPr>
          <w:noProof/>
        </w:rPr>
        <w:t xml:space="preserve">nařízení Rady (ES) č. 1035/2001, kterým se stanoví systém dokumentace úlovků druhu </w:t>
      </w:r>
      <w:r>
        <w:rPr>
          <w:i/>
          <w:noProof/>
        </w:rPr>
        <w:t>Dissostichus spp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. </w:t>
      </w:r>
    </w:p>
    <w:p>
      <w:pPr>
        <w:rPr>
          <w:noProof/>
        </w:rPr>
      </w:pPr>
      <w:r>
        <w:rPr>
          <w:noProof/>
        </w:rPr>
        <w:t>Zamýšlené akty nedoplňují ani nepozměňují institucionální rámec úmluvy CAMLR.</w:t>
      </w:r>
    </w:p>
    <w:p>
      <w:pPr>
        <w:rPr>
          <w:noProof/>
        </w:rPr>
      </w:pPr>
      <w:r>
        <w:rPr>
          <w:noProof/>
        </w:rPr>
        <w:t>Procesněprávním základem navrhovaného rozhodnutí je tudíž čl. 218 odst. 9 SFEU.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Hmotněprávní základ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Zásady</w:t>
      </w:r>
    </w:p>
    <w:p>
      <w:pPr>
        <w:rPr>
          <w:noProof/>
        </w:rPr>
      </w:pPr>
      <w:r>
        <w:rPr>
          <w:noProof/>
        </w:rPr>
        <w:t>Hmotněprávní základ rozhodnutí podle čl. 218 odst. 9 SFEU závisí v první řadě na cíli a obsahu zamýšleného aktu, v jehož souvislosti je postoj jménem Unie zaujat. Sleduje-li zamýšlený akt dvojí účel nebo má-li dvě složky a lze-li jeden z těchto účelů nebo jednu z těchto složek identifikovat jako hlavní, zatímco druhý účel či druhá složka je pouze vedlejší, musí být rozhodnutí přijaté podle čl. 218 odst. 9 SFEU založeno na jediném hmotněprávním základu, a sice na tom, který si žádá hlavní nebo převažující účel nebo složka.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Použití na stávající případ</w:t>
      </w:r>
    </w:p>
    <w:p>
      <w:pPr>
        <w:rPr>
          <w:noProof/>
        </w:rPr>
      </w:pPr>
      <w:r>
        <w:rPr>
          <w:noProof/>
        </w:rPr>
        <w:t>Hlavní cíl a obsah zamýšleného aktu se týká rybolovu. Právním základem, který stanoví zásady, jež se mají v tomto stanovisku odrážet, je nařízení (EU) č. 1380/2013.</w:t>
      </w:r>
    </w:p>
    <w:p>
      <w:pPr>
        <w:rPr>
          <w:noProof/>
        </w:rPr>
      </w:pPr>
      <w:r>
        <w:rPr>
          <w:noProof/>
        </w:rPr>
        <w:t>Hmotněprávním základem navrhovaného rozhodnutí je tudíž čl. 43 odst. 2 SFEU. Rozhodnutí má nahradit rozhodnutí Rady 10840/14, které se vztahuje na období 2014–2018.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Závěr</w:t>
      </w:r>
    </w:p>
    <w:p>
      <w:pPr>
        <w:rPr>
          <w:noProof/>
        </w:rPr>
      </w:pPr>
      <w:r>
        <w:rPr>
          <w:noProof/>
        </w:rPr>
        <w:t>Právním základem navrhovaného rozhodnutí by měl být čl. 43 odst. 2 SFEU ve spojení s čl. 218 odst. 9 SFEU.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2019/0059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ROZHODNUTÍ RADY</w:t>
      </w:r>
    </w:p>
    <w:p>
      <w:pPr>
        <w:pStyle w:val="Titreobjet"/>
        <w:rPr>
          <w:noProof/>
        </w:rPr>
      </w:pPr>
      <w:r>
        <w:rPr>
          <w:noProof/>
        </w:rPr>
        <w:t>o postoji, který má být jménem Unie zaujat v rámci Komise pro zachování živých mořských zdrojů v Antarktidě a kterým se zrušuje rozhodnutí 10840/14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RADA EVROPSKÉ UNIE,</w:t>
      </w:r>
    </w:p>
    <w:p>
      <w:pPr>
        <w:rPr>
          <w:noProof/>
        </w:rPr>
      </w:pPr>
      <w:r>
        <w:rPr>
          <w:noProof/>
        </w:rPr>
        <w:t>s ohledem na Smlouvu o fungování Evropské unie, a zejména na čl. 43 odst. 2 ve spojení s čl. 218 odst. 9 této smlouvy,</w:t>
      </w:r>
    </w:p>
    <w:p>
      <w:pPr>
        <w:rPr>
          <w:noProof/>
        </w:rPr>
      </w:pPr>
      <w:r>
        <w:rPr>
          <w:noProof/>
        </w:rPr>
        <w:t>s ohledem na návrh Evropské komise,</w:t>
      </w:r>
    </w:p>
    <w:p>
      <w:pPr>
        <w:rPr>
          <w:noProof/>
        </w:rPr>
      </w:pPr>
      <w:r>
        <w:rPr>
          <w:noProof/>
        </w:rPr>
        <w:t>vzhledem k těmto důvodům: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Na základě rozhodnutí Rady 81/691/EHS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 schválilo Evropské společenství Úmluvu o zachování živých mořských zdrojů v Antarktidě („úmluva CAMLR“), která vstoupila v platnost dne 7. dubna 1982 a na jejímž základě byla zřízena Komise pro zachování živých mořských zdrojů v Antarktidě (CCAMLR). Belgie, Francie, Německo, Itálie, Polsko, Španělsko, Švédsko a Spojené království jsou rovněž smluvními stranami úmluvy CAMLR. Finsko, Řecko a Nizozemsko jsou smluvními stranami úmluvy CAMLR, ale nejsou členy komise CCAMLR.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Podle článku IX.1 úmluvy CAMLR odpovídá komise CCAMLR za to, že na svých výročních zasedáních přijímá opatření, jejichž cílem je zachování a racionální využívání živých mořských zdrojů v Antarktidě. Tato opatření se mohou stát pro Unii závazná.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Nařízení Evropského parlamentu a Rady (EU) č. 1380/2013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 stanoví, že Unie zajistí, aby činnosti v oblasti rybolovu a akvakultury byly dlouhodobě udržitelné z hlediska životního prostředí a byly řízeny způsobem, jenž je v souladu s cíli dosáhnout přínosů v hospodářské a sociální oblasti a v oblasti zaměstnanosti a přispět k dostupnosti dodávek potravin. Rovněž stanoví, že Unie uplatňuje přístup předběžné opatrnosti v oblasti řízení rybolovu a akvakultury a snaží se zajistit, aby byly při využívání živých biologických mořských zdrojů obnoveny a zachovány populace lovených druhů nad úrovně, které mohou přinášet maximální udržitelný výnos. Dále stanoví, že Unie přijímá opatření pro řízení a zachování zdrojů založená na nejlepším dostupném vědeckém poradenství, podporuje rozvoj vědeckých poznatků a poradenství, postupně odstraňuje výměty a podporuje rybolovné postupy, které přispívají k selektivnějšímu rybolovu, k zamezení nežádoucím úlovkům a jejich snižování v co největší možné míře a k rybolovu s nízkým dopadem na mořský ekosystém a rybolovné zdroje. Nařízení (EU) č. 1380/2013 konkrétně stanoví, že tyto cíle a zásady má Unie uplatňovat při provádění svých vnějších vztahů v oblasti rybolovu.</w:t>
      </w:r>
    </w:p>
    <w:p>
      <w:pPr>
        <w:pStyle w:val="ManualConsidrant"/>
        <w:rPr>
          <w:noProof/>
        </w:rPr>
      </w:pPr>
      <w:r>
        <w:lastRenderedPageBreak/>
        <w:t>(4)</w:t>
      </w:r>
      <w:r>
        <w:tab/>
      </w:r>
      <w:r>
        <w:rPr>
          <w:noProof/>
        </w:rPr>
        <w:t>Jak je uvedeno ve společném sdělení vysoké představitelky Unie pro zahraniční věci a bezpečnostní politiku a Evropské komise Mezinárodní správa oceánů:</w:t>
      </w:r>
      <w:r>
        <w:rPr>
          <w:i/>
          <w:noProof/>
          <w:szCs w:val="24"/>
        </w:rPr>
        <w:t xml:space="preserve"> </w:t>
      </w:r>
      <w:r>
        <w:rPr>
          <w:i/>
          <w:noProof/>
        </w:rPr>
        <w:t>příspěvek EU k odpovědné správě oceánů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a v závěrech Rady o uvedeném společném sdělení</w:t>
      </w:r>
      <w:r>
        <w:rPr>
          <w:rStyle w:val="FootnoteReference"/>
          <w:noProof/>
        </w:rPr>
        <w:footnoteReference w:id="18"/>
      </w:r>
      <w:r>
        <w:rPr>
          <w:noProof/>
        </w:rPr>
        <w:t>, hlavním prvkem činnosti EU na těchto fórech je podpora opatření na povzbuzení a zvýšení účinnosti regionálních organizací pro řízení rybolovu a v příslušných případech zlepšení jejich správy.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Sdělení Komise Evropskému parlamentu, Radě, Evropskému hospodářskému a sociálnímu výboru a Výboru regionů </w:t>
      </w:r>
      <w:r>
        <w:rPr>
          <w:i/>
          <w:noProof/>
        </w:rPr>
        <w:t>Evropská strategie pro plasty v oběhovém hospodářství</w:t>
      </w:r>
      <w:r>
        <w:rPr>
          <w:rStyle w:val="FootnoteReference"/>
          <w:noProof/>
        </w:rPr>
        <w:footnoteReference w:id="19"/>
      </w:r>
      <w:r>
        <w:rPr>
          <w:noProof/>
        </w:rPr>
        <w:t xml:space="preserve"> odkazuje na konkrétní opatření ke snížení znečištění plasty a znečištění moří, jakož i na snížení ztrát rybolovných zařízení nebo jejich ponechání v moři.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Je vhodné stanovit postoj, který má být zaujat jménem Unie na zasedáních CCAMLR v období 2019–2023, neboť ochranná a donucovací opatření CCAMLR budou pro Unii závazná a budou schopna rozhodujícím způsobem ovlivnit obsah práva Unie, konkrétně nařízení Rady (ES) č. 1005/2008</w:t>
      </w:r>
      <w:r>
        <w:rPr>
          <w:rStyle w:val="FootnoteReference"/>
          <w:noProof/>
        </w:rPr>
        <w:footnoteReference w:id="20"/>
      </w:r>
      <w:r>
        <w:rPr>
          <w:noProof/>
        </w:rPr>
        <w:t>, nařízení Rady (ES) č. 1224/2009</w:t>
      </w:r>
      <w:r>
        <w:rPr>
          <w:rStyle w:val="FootnoteReference"/>
          <w:noProof/>
        </w:rPr>
        <w:footnoteReference w:id="21"/>
      </w:r>
      <w:r>
        <w:rPr>
          <w:noProof/>
        </w:rPr>
        <w:t>, nařízení Evropského parlamentu a Rady (EU) 2017/2403</w:t>
      </w:r>
      <w:r>
        <w:rPr>
          <w:rStyle w:val="FootnoteReference"/>
          <w:noProof/>
        </w:rPr>
        <w:footnoteReference w:id="22"/>
      </w:r>
      <w:r>
        <w:rPr>
          <w:noProof/>
        </w:rPr>
        <w:t>, nařízení Rady č. 600/2004</w:t>
      </w:r>
      <w:r>
        <w:rPr>
          <w:rStyle w:val="FootnoteReference"/>
          <w:noProof/>
        </w:rPr>
        <w:footnoteReference w:id="23"/>
      </w:r>
      <w:r>
        <w:rPr>
          <w:noProof/>
        </w:rPr>
        <w:t>, nařízení Rady č. 601/2004</w:t>
      </w:r>
      <w:r>
        <w:rPr>
          <w:rStyle w:val="FootnoteReference"/>
          <w:noProof/>
        </w:rPr>
        <w:footnoteReference w:id="24"/>
      </w:r>
      <w:r>
        <w:rPr>
          <w:noProof/>
        </w:rPr>
        <w:t xml:space="preserve"> a nařízení Rady (ES) č. 1035/2001</w:t>
      </w:r>
      <w:r>
        <w:rPr>
          <w:rStyle w:val="FootnoteReference"/>
          <w:noProof/>
        </w:rPr>
        <w:footnoteReference w:id="25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V současné době je postoj, který má být zaujat jménem Unie na zasedáních CCAMLR, stanoven rozhodnutím Rady 10840/14</w:t>
      </w:r>
      <w:r>
        <w:rPr>
          <w:rStyle w:val="FootnoteReference"/>
          <w:noProof/>
        </w:rPr>
        <w:footnoteReference w:id="26"/>
      </w:r>
      <w:r>
        <w:rPr>
          <w:noProof/>
        </w:rPr>
        <w:t>. Je vhodné rozhodnutí 10840/14 zrušit a nahradit je novým rozhodnutím na období 2019–2023.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S ohledem na vyvíjející se povahu rybolovných zdrojů v oblasti působnosti úmluvy CAMLR a skutečnost, že v postoji Unie musí být v důsledku toho zohledněny nové okolnosti, včetně nových vědeckých a jiných relevantních údajů předložených před nebo během zasedání CCAMLR, musí být v souladu se zásadou loajální spolupráce mezi orgány Unie zakotvené v čl. 13 odst. 2 Smlouvy o Evropské unii (SEU) stanoveny postupy pro každoroční stanovení postoje Unie v období 2019–2023,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>PŘIJALA TOTO ROZHODNUTÍ:</w:t>
      </w:r>
    </w:p>
    <w:p>
      <w:pPr>
        <w:pStyle w:val="Titrearticle"/>
        <w:rPr>
          <w:noProof/>
        </w:rPr>
      </w:pPr>
      <w:r>
        <w:rPr>
          <w:noProof/>
        </w:rPr>
        <w:t>Článek 1</w:t>
      </w:r>
    </w:p>
    <w:p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>Postoj, který má být zaujat jménem Unie na zasedáních Komise pro zachování živých mořských zdrojů v Antarktidě (CCAMLR) je uveden v příloze I.</w:t>
      </w:r>
    </w:p>
    <w:p>
      <w:pPr>
        <w:pStyle w:val="Titrearticle"/>
        <w:rPr>
          <w:noProof/>
        </w:rPr>
      </w:pPr>
      <w:r>
        <w:rPr>
          <w:noProof/>
        </w:rPr>
        <w:t>Článek 2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Každoroční stanovení postoje, který má Unie zaujmout na zasedáních CCAMLR se provádí v souladu s přílohou II.</w:t>
      </w:r>
    </w:p>
    <w:p>
      <w:pPr>
        <w:pStyle w:val="Titrearticle"/>
        <w:rPr>
          <w:noProof/>
        </w:rPr>
      </w:pPr>
      <w:r>
        <w:rPr>
          <w:noProof/>
        </w:rPr>
        <w:t>Článek 3</w:t>
      </w:r>
    </w:p>
    <w:p>
      <w:pPr>
        <w:rPr>
          <w:noProof/>
        </w:rPr>
      </w:pPr>
      <w:r>
        <w:rPr>
          <w:noProof/>
        </w:rPr>
        <w:t>Postoj Unie stanovený v příloze I posoudí a případně přezkoumá Rada na návrh Komise nejpozději pro výroční zasedání komise CCAMLR v roce 2024.</w:t>
      </w:r>
    </w:p>
    <w:p>
      <w:pPr>
        <w:pStyle w:val="Titrearticle"/>
        <w:rPr>
          <w:noProof/>
        </w:rPr>
      </w:pPr>
      <w:r>
        <w:rPr>
          <w:noProof/>
        </w:rPr>
        <w:t>Článek 4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Rozhodnutí 10840/14 ze dne 25. června 2014 se zrušuje.</w:t>
      </w:r>
    </w:p>
    <w:p>
      <w:pPr>
        <w:pStyle w:val="Titrearticle"/>
        <w:rPr>
          <w:noProof/>
        </w:rPr>
      </w:pPr>
      <w:r>
        <w:rPr>
          <w:noProof/>
        </w:rPr>
        <w:t>Článek 5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Toto rozhodnutí je určeno Komisi.</w:t>
      </w:r>
    </w:p>
    <w:p>
      <w:pPr>
        <w:pStyle w:val="Fait"/>
        <w:rPr>
          <w:noProof/>
        </w:rPr>
      </w:pPr>
      <w:r>
        <w:t>V Bruselu dne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předseda/předsedkyně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Rozhodnutí Rady 81/691/EHS (Úř. věst. L 252, 5.9.1981, s. 26).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K úmluvě přistoupily tyto členské státy: Belgie (1980), Finsko (1989, ale není členem CCAMLR), Francie (1980), Německo (1980), Řecko (1987, ale není členem CCAMLR), Itálie (1989), Nizozemsko (1990), Polsko (1980), Španělsko (1984), Švédsko (1984) a Spojené království (1980).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Nařízení Evropského parlamentu a Rady (EU) č. 1380/2013 o společné rybářské politice, o změně nařízení Rady (ES) č. 1954/2003 a (ES) č. 1224/2009 a o zrušení nařízení Rady (ES) č. 2371/2002 a (ES) č. 639/2004 a rozhodnutí Rady 2004/585/ES (Úř. věst. L 354, 28.12.2013, s. 22).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COM(2011) 424, 13.7.2011.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COM(2018) 28 final, 16.1.2018.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JOIN(2016) 49 final, 10.11.2016.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7348/1/17 REV 1, 24.3.2017.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Rozsudek Soudního dvora ze dne 7. října 2014, Německo v. Rada, C-399/12, ECLI:EU:C:2014:2258, body 61 až 64.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Úř. věst. L 286, 29.10.2008, s. 1.</w:t>
      </w:r>
    </w:p>
  </w:footnote>
  <w:footnote w:id="10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tab/>
        <w:t xml:space="preserve">Úř. věst. </w:t>
      </w:r>
      <w:r>
        <w:rPr>
          <w:lang w:val="nn-NO"/>
        </w:rPr>
        <w:t>L 343, 22.12.2009, s. 1.</w:t>
      </w:r>
    </w:p>
  </w:footnote>
  <w:footnote w:id="11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rPr>
          <w:lang w:val="nn-NO"/>
        </w:rPr>
        <w:tab/>
        <w:t>Úř. věst. L 347, 28.12.2017, s. 81.</w:t>
      </w:r>
    </w:p>
  </w:footnote>
  <w:footnote w:id="12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rPr>
          <w:lang w:val="nn-NO"/>
        </w:rPr>
        <w:tab/>
        <w:t>Úř. věst. L 97, 1.4.2004, s. 1.</w:t>
      </w:r>
    </w:p>
  </w:footnote>
  <w:footnote w:id="13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rPr>
          <w:lang w:val="nn-NO"/>
        </w:rPr>
        <w:tab/>
        <w:t>Úř. věst. L 97, 1.4.2004, s. 16.</w:t>
      </w:r>
    </w:p>
  </w:footnote>
  <w:footnote w:id="14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rPr>
          <w:lang w:val="nn-NO"/>
        </w:rPr>
        <w:tab/>
        <w:t>Úř. věst. L 145, 31.5.2001, s. 1.</w:t>
      </w:r>
    </w:p>
  </w:footnote>
  <w:footnote w:id="15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rPr>
          <w:lang w:val="nn-NO"/>
        </w:rPr>
        <w:tab/>
        <w:t>Rozhodnutí Rady ze dne 4. září 1981 o uzavření Úmluvy o zachování živých mořských zdrojů v Antarktidě (Úř. věst. L 252, 5.9.1981, s. 26).</w:t>
      </w:r>
    </w:p>
  </w:footnote>
  <w:footnote w:id="16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rPr>
          <w:lang w:val="nn-NO"/>
        </w:rPr>
        <w:tab/>
        <w:t>Nařízení Evropského parlamentu a Rady (EU) č. 1380/2013 ze dne 11. prosince 2013 o společné rybářské politice, o změně nařízení Rady (ES) č. 1954/2003 a (ES) č. 1224/2009 a o zrušení nařízení Rady (ES) č. 2371/2002 a (ES) č. 639/2004 a rozhodnutí Rady 2004/585/ES (Úř. věst. L 354, 28.12.2013, s. 22).</w:t>
      </w:r>
    </w:p>
  </w:footnote>
  <w:footnote w:id="17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rPr>
          <w:lang w:val="nn-NO"/>
        </w:rPr>
        <w:tab/>
        <w:t>JOIN(2016) 49 final, 10.11.2016.</w:t>
      </w:r>
    </w:p>
  </w:footnote>
  <w:footnote w:id="18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rPr>
          <w:lang w:val="nn-NO"/>
        </w:rPr>
        <w:tab/>
        <w:t>7348/1/17 REV 1, 24.3.2017.</w:t>
      </w:r>
    </w:p>
  </w:footnote>
  <w:footnote w:id="19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rPr>
          <w:lang w:val="nn-NO"/>
        </w:rPr>
        <w:tab/>
        <w:t>COM(2018) 28 final, 16.1.2018.</w:t>
      </w:r>
    </w:p>
  </w:footnote>
  <w:footnote w:id="20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rPr>
          <w:lang w:val="nn-NO"/>
        </w:rPr>
        <w:tab/>
        <w:t>Nařízení Rady (ES) č. 1005/2008, kterým se zavádí systém Společenství pro předcházení, potírání a odstranění nezákonného, nehlášeného a neregulovaného rybolovu, mění nařízení (EHS) č. 2847/93, (ES) č. 1936/2001 a (ES) č. 601/2004 a zrušují nařízení (ES) č. 1093/94 a (ES) č. 1447/1999 (Úř. věst. L 286, 29.10.2008, s. 1).</w:t>
      </w:r>
    </w:p>
  </w:footnote>
  <w:footnote w:id="21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rPr>
          <w:lang w:val="nn-NO"/>
        </w:rPr>
        <w:tab/>
        <w:t>Nařízení Rady (ES) č. 1224/2009 ze dne 20. listopadu 2009 o zavedení kontrolního režimu Unie k zajištění dodržování pravidel společné rybářské politiky, o změně nařízení (ES) č. 847/96, (ES) č. 2371/2002, (ES) č. 811/2004, (ES) č. 768/2005, (ES) č. 2115/2005, (ES) č. 2166/2005, (ES) č. 388/2006, (ES) č. 509/2007, (ES) č. 676/2007, (ES) č. 1098/2007, (ES) č. 1300/2008 a (ES) č. 1342/2008 a o zrušení nařízení (EHS) č. 2847/93, (ES) č. 1627/94 a (ES) č. 1966/2006 (Úř. věst. L 343, 22.12.2009, s. 1).</w:t>
      </w:r>
    </w:p>
  </w:footnote>
  <w:footnote w:id="22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rPr>
          <w:lang w:val="nn-NO"/>
        </w:rPr>
        <w:tab/>
        <w:t>Nařízení Evropského parlamentu a Rady (EU) 2017/2403 ze dne 12. prosince 2017 o udržitelném řízení vnějšího rybářského loďstva a o zrušení nařízení Rady (ES) č. 1006/2008 (Úř. věst. L 347, 28.12.2017, s. 81).</w:t>
      </w:r>
    </w:p>
  </w:footnote>
  <w:footnote w:id="23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rPr>
          <w:lang w:val="nn-NO"/>
        </w:rPr>
        <w:tab/>
        <w:t>Nařízení Rady (ES) č. 600/2004, kterým se stanoví některá technická opatření pro rybolovné činnosti v oblasti působnosti Úmluvy o zachování živých mořských zdrojů v Antarktidě (Úř. věst. L 97, 1.4.2004, s. 1).</w:t>
      </w:r>
    </w:p>
  </w:footnote>
  <w:footnote w:id="24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rPr>
          <w:lang w:val="nn-NO"/>
        </w:rPr>
        <w:tab/>
        <w:t>Nařízení Rady (ES) č. 601/2004, kterým se stanoví některá kontrolní opatření pro rybolovné činnosti v oblasti působnosti Úmluvy o zachování živých mořských zdrojů v Antarktidě (Úř. věst. L 97, 1.4.2004, s. 16).</w:t>
      </w:r>
    </w:p>
  </w:footnote>
  <w:footnote w:id="25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rPr>
          <w:lang w:val="nn-NO"/>
        </w:rPr>
        <w:tab/>
        <w:t xml:space="preserve">Nařízení Rady (ES) č. 1035/2001 ze dne 22. května 2001, kterým se stanoví systém dokumentace úlovků druhu </w:t>
      </w:r>
      <w:r>
        <w:rPr>
          <w:i/>
          <w:lang w:val="nn-NO"/>
        </w:rPr>
        <w:t>Dissostichus spp</w:t>
      </w:r>
      <w:r>
        <w:rPr>
          <w:lang w:val="nn-NO"/>
        </w:rPr>
        <w:t xml:space="preserve"> (Úř. věst. L 145, 31.5.2001 s. 1).</w:t>
      </w:r>
    </w:p>
  </w:footnote>
  <w:footnote w:id="26">
    <w:p>
      <w:pPr>
        <w:pStyle w:val="FootnoteText"/>
        <w:rPr>
          <w:lang w:val="nn-NO"/>
        </w:rPr>
      </w:pPr>
      <w:r>
        <w:rPr>
          <w:rStyle w:val="FootnoteReference"/>
        </w:rPr>
        <w:footnoteRef/>
      </w:r>
      <w:r>
        <w:rPr>
          <w:lang w:val="nn-NO"/>
        </w:rPr>
        <w:tab/>
        <w:t>Rozhodnutí Rady ze dne 25. června 2014 o postoji, který má být jménem Unie zaujat v rámci Komise pro zachování živých mořských zdrojů v Antarktidě (CCAMLR)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AE437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D9898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6D626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89A61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B4E57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00E3D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34048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E1EAD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</w:num>
  <w:num w:numId="12">
    <w:abstractNumId w:val="18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07 13:29:5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D2C3C942-BD19-4608-BE73-5FC08256C714"/>
    <w:docVar w:name="LW_COVERPAGE_TYPE" w:val="1"/>
    <w:docVar w:name="LW_CROSSREFERENCE" w:val="&lt;UNUSED&gt;"/>
    <w:docVar w:name="LW_DocType" w:val="COM"/>
    <w:docVar w:name="LW_EMISSION" w:val="8.3.2019"/>
    <w:docVar w:name="LW_EMISSION_ISODATE" w:val="2019-03-08"/>
    <w:docVar w:name="LW_EMISSION_LOCATION" w:val="BRX"/>
    <w:docVar w:name="LW_EMISSION_PREFIX" w:val="V Bruselu dne "/>
    <w:docVar w:name="LW_EMISSION_SUFFIX" w:val="&lt;EMPTY&gt;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59"/>
    <w:docVar w:name="LW_REF.II.NEW.CP_YEAR" w:val="2019"/>
    <w:docVar w:name="LW_REF.INST.NEW" w:val="COM"/>
    <w:docVar w:name="LW_REF.INST.NEW_ADOPTED" w:val="final"/>
    <w:docVar w:name="LW_REF.INST.NEW_TEXT" w:val="(2019) 10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 postoji, který má být jménem Unie zaujat v rámci Komise pro zachování \u382?ivých mo\u345?ských zdroj\u367? v Antarktid\u283? a kterým se zru\u353?uje rozhodnutí 10840/14"/>
    <w:docVar w:name="LW_TYPE.DOC.CP" w:val="ROZHODNUTÍ RADY"/>
    <w:docVar w:name="Stamp" w:val="\\dossiers.dgt.cec.eu.int\dossiers\MARE\MARE-2018-00541\MARE-2018-00541-00-01-EN-EDT-00.201812061642282173098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78ED-D282-4070-BACD-971ABF58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7</Pages>
  <Words>1720</Words>
  <Characters>9892</Characters>
  <Application>Microsoft Office Word</Application>
  <DocSecurity>0</DocSecurity>
  <Lines>183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2019-01-15T15:38:00Z</cp:lastPrinted>
  <dcterms:created xsi:type="dcterms:W3CDTF">2019-02-22T15:34:00Z</dcterms:created>
  <dcterms:modified xsi:type="dcterms:W3CDTF">2019-03-07T12:29:00Z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