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46E39517-A85B-4281-8A11-99B30A2DE271" style="width:450.35pt;height:307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>SDĚLENÍ KOMISE EVROPSKÉMU PARLAMENTU, RADĚ A EVROPSKÉMU HOSPODÁŘSKÉMU A SOCIÁLNÍMU VÝBORU</w:t>
      </w:r>
    </w:p>
    <w:p>
      <w:pPr>
        <w:spacing w:before="360" w:after="36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Strategický přístup Evropské unie k léčivým přípravkům v životním prostředí</w:t>
      </w:r>
    </w:p>
    <w:p>
      <w:pPr>
        <w:spacing w:before="360" w:after="240" w:line="240" w:lineRule="auto"/>
        <w:jc w:val="both"/>
        <w:rPr>
          <w:rFonts w:ascii="Times New Roman" w:eastAsia="Times New Roman" w:hAnsi="Times New Roman"/>
          <w:b/>
          <w:smallCaps/>
          <w:noProof/>
          <w:sz w:val="24"/>
          <w:szCs w:val="24"/>
          <w:lang w:eastAsia="fr-FR"/>
        </w:rPr>
      </w:pPr>
    </w:p>
    <w:p>
      <w:pPr>
        <w:spacing w:before="360" w:after="240" w:line="240" w:lineRule="auto"/>
        <w:jc w:val="both"/>
        <w:rPr>
          <w:rFonts w:ascii="Times New Roman" w:eastAsia="Times New Roman" w:hAnsi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1.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Úvod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Léčba celé řady chorob u lidí a zvířat je závislá na přístupu k účinným léčivým přípravkům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</w:rPr>
        <w:t>Zároveň však nově vzniká problém znečištění způsobeného některými léčivými přípravky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  <w:vertAlign w:val="superscript"/>
        </w:rPr>
        <w:t>,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  <w:vertAlign w:val="superscript"/>
        </w:rPr>
        <w:t>,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, z něhož prokazatelně vyplývají rizika pro životní prostředí, a zejména rizika pro lidské zdraví v souvislosti s antimikrobiální rezistencí.</w:t>
      </w:r>
      <w:r>
        <w:rPr>
          <w:rFonts w:ascii="Times New Roman" w:hAnsi="Times New Roman"/>
          <w:noProof/>
          <w:sz w:val="24"/>
          <w:szCs w:val="24"/>
        </w:rPr>
        <w:t xml:space="preserve"> Během výroby, používání i likvidace léčivých přípravků mohou do životního prostředí pronikat jejich rezidua.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Článek 8c směrnice o prioritních látkách (2008/105/ES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 xml:space="preserve"> ve znění směrnice 2013/39/EU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7"/>
      </w:r>
      <w:r>
        <w:rPr>
          <w:rFonts w:ascii="Times New Roman" w:hAnsi="Times New Roman"/>
          <w:noProof/>
          <w:sz w:val="24"/>
          <w:szCs w:val="24"/>
        </w:rPr>
        <w:t>) vyžaduje, aby Evropská komise navrhla strategický přístup ke znečišťování vod farmaceutickými látkami. Tímto sdělením Komise plní uvedenou zákonnou povinnost, jakož i výzvu uvedenou v právních předpisech v oblasti farmakovigilance, aby posoudila rozsah problému znečištění vody a půdy rezidui léčivých přípravků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8"/>
      </w:r>
      <w:r>
        <w:rPr>
          <w:rFonts w:ascii="Times New Roman" w:hAnsi="Times New Roman"/>
          <w:noProof/>
          <w:sz w:val="24"/>
          <w:szCs w:val="24"/>
        </w:rPr>
        <w:t>. Tento přístup podporuje cíl Komise vytvořit Evropu, která chrání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9"/>
      </w:r>
      <w:r>
        <w:rPr>
          <w:rFonts w:ascii="Times New Roman" w:hAnsi="Times New Roman"/>
          <w:noProof/>
          <w:sz w:val="24"/>
          <w:szCs w:val="24"/>
        </w:rPr>
        <w:t>, a je v souladu s jejím záměrem usilovat o vytvoření udržitelné Evropy do roku 2030 na základě cílů udržitelného rozvoje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0"/>
      </w:r>
      <w:r>
        <w:rPr>
          <w:rFonts w:ascii="Times New Roman" w:hAnsi="Times New Roman"/>
          <w:noProof/>
          <w:sz w:val="24"/>
          <w:szCs w:val="24"/>
        </w:rPr>
        <w:t xml:space="preserve">. Představuje realizaci závazku, který Komise přijala na 3. zasedání Environmentálního shromáždění OSN v roce 2017. Přispěje zejména k dosažení šestého cíle udržitelného rozvoje v oblasti čisté vody a hygienických zařízení. </w:t>
      </w:r>
      <w:r>
        <w:rPr>
          <w:rFonts w:ascii="Times New Roman" w:hAnsi="Times New Roman"/>
          <w:iCs/>
          <w:noProof/>
          <w:sz w:val="24"/>
          <w:szCs w:val="24"/>
        </w:rPr>
        <w:t>Vzhledem k tomu, že tvoří složku akčního plánu Unie „Jedno zdraví“ proti antimikrobiální rezistenci</w:t>
      </w:r>
      <w:r>
        <w:rPr>
          <w:rStyle w:val="FootnoteReference"/>
          <w:rFonts w:ascii="Times New Roman" w:hAnsi="Times New Roman"/>
          <w:iCs/>
          <w:noProof/>
          <w:sz w:val="24"/>
          <w:szCs w:val="24"/>
          <w:lang w:eastAsia="fr-FR"/>
        </w:rPr>
        <w:footnoteReference w:id="11"/>
      </w:r>
      <w:r>
        <w:rPr>
          <w:rFonts w:ascii="Times New Roman" w:hAnsi="Times New Roman"/>
          <w:iCs/>
          <w:noProof/>
          <w:sz w:val="24"/>
          <w:szCs w:val="24"/>
        </w:rPr>
        <w:t>, lze jej také považovat za částečné splnění závazku přijatého v rámci skupiny G7/G20 a Světové zdravotnické organizace, pokud jde o antimikrobiální rezistenci.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Přístup čerpá informace z celé řady studií a zpráv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2"/>
      </w:r>
      <w:r>
        <w:rPr>
          <w:rFonts w:ascii="Times New Roman" w:hAnsi="Times New Roman"/>
          <w:noProof/>
          <w:sz w:val="24"/>
          <w:szCs w:val="24"/>
        </w:rPr>
        <w:t xml:space="preserve"> a z výsledků veřejných a cílených konzultací se zúčastněnými stranami, které byly zahájeny v roce 2017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3"/>
      </w:r>
      <w:r>
        <w:rPr>
          <w:rFonts w:ascii="Times New Roman" w:hAnsi="Times New Roman"/>
          <w:noProof/>
          <w:sz w:val="24"/>
          <w:szCs w:val="24"/>
        </w:rPr>
        <w:t>. Přihlíží k mezinárodnímu rozměru tohoto problému a zohledňuje i oběhové hospodářství.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Farmaceutické odvětví je dynamický sektor, který stimuluje inovace. Tyto inovace by mohly podporovat „ekologické projekty“, například vývoj výrobků, které představují nižší riziko pro životní prostředí nebo usnadňují recyklaci odpadních vod, a rovněž podporovat používání ekologičtějších výrobních metod. Další možnost by mohly představovat inovace v oblasti úpravy vod a statkových hnojiv. V těchto ohledech bude uvedený přístup přispívat k plnění první politické priority Komise, kterou je podpora pracovních míst, růstu a investic. </w:t>
      </w:r>
    </w:p>
    <w:p>
      <w:pPr>
        <w:keepNext/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2.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Vymezení problému</w:t>
      </w:r>
    </w:p>
    <w:p>
      <w:p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before="60" w:after="6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2.1</w:t>
      </w:r>
      <w:r>
        <w:rPr>
          <w:rFonts w:ascii="Times New Roman" w:hAnsi="Times New Roman"/>
          <w:b/>
          <w:noProof/>
          <w:sz w:val="24"/>
          <w:szCs w:val="24"/>
        </w:rPr>
        <w:tab/>
        <w:t>Koncentrace léčivých přípravků v životním prostředí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 povrchových a podzemních vodách, v půdě a v živočišných tkáních v celé Unii byla zjištěna rezidua řady léčivých přípravků v koncentracích, které se liší v závislosti na daném léčivém přípravku a rovněž na povaze a blízkosti zdrojů. Běžně se takto vyskytují některé léky proti bolesti, antimikrobiální látky, antidepresiva, antikoncepční přípravky a antiparazitika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4"/>
      </w:r>
      <w:r>
        <w:rPr>
          <w:rFonts w:ascii="Times New Roman" w:hAnsi="Times New Roman"/>
          <w:noProof/>
          <w:sz w:val="24"/>
          <w:szCs w:val="24"/>
        </w:rPr>
        <w:t>. Stopy některých léčivých přípravků byly zjištěny i v pitné vodě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5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2.2</w:t>
      </w:r>
      <w:r>
        <w:rPr>
          <w:rFonts w:ascii="Times New Roman" w:hAnsi="Times New Roman"/>
          <w:b/>
          <w:noProof/>
          <w:sz w:val="24"/>
          <w:szCs w:val="24"/>
        </w:rPr>
        <w:tab/>
        <w:t>Zdroje léčivých přípravků v životním prostředí</w:t>
      </w:r>
    </w:p>
    <w:p>
      <w:p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Největším zdrojem průniku léčivých přípravků do životního prostředí je jejich používání; cesty tohoto průniku se budou pravděpodobně lišit v závislosti na tom, zda se jedná o humánní nebo veterinární použití. </w:t>
      </w:r>
      <w:r>
        <w:rPr>
          <w:rFonts w:ascii="Times New Roman" w:hAnsi="Times New Roman"/>
          <w:noProof/>
          <w:sz w:val="24"/>
        </w:rPr>
        <w:t>Chemická a/nebo metabolická stabilita některých léčivých přípravků znamená, že až 90 % účinné složky se vyloučí (nebo vyplaví) v původní formě.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</w:rPr>
        <w:t>U čištění odpadních vod kolísá jeho schopnost eliminovat rezidua léčivých přípravků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 xml:space="preserve"> v závislosti na dané látce a na úrovni čištění;</w:t>
      </w:r>
      <w:r>
        <w:rPr>
          <w:rFonts w:ascii="Times New Roman" w:hAnsi="Times New Roman"/>
          <w:noProof/>
          <w:sz w:val="24"/>
          <w:szCs w:val="24"/>
        </w:rPr>
        <w:t xml:space="preserve"> v některých případech jsou odstraňována velká množství, v jiných případech jen malé procento; </w:t>
      </w:r>
      <w:r>
        <w:rPr>
          <w:rFonts w:ascii="Times New Roman" w:hAnsi="Times New Roman"/>
          <w:noProof/>
          <w:sz w:val="24"/>
        </w:rPr>
        <w:t>ale ani to nejlepší, nejdražší moderní čištění není 100% účinné. K uvolňování veterinárních léčiv do životního prostředí dochází zpravidla z neošetřených difúzních zdrojů, jako je například rozmetávání statkových hnojiv.</w:t>
      </w:r>
    </w:p>
    <w:p>
      <w:p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Léčivé přípravky pronikají do životního prostředí především prostřednictvím: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vypouštění splaškových vod z čistíren městských odpadních vod – tyto splaškové vody obsahují vyloučené léčivé přípravky a nepoužité léčivé přípravky, které byly navzdory existenci systémů sběru vyhozeny do dřezů a toalet, 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rozmetání živočišných hnojiv a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akvakultury, v níž se léčivé přípravky často podávají společně s krmivy.</w:t>
      </w:r>
    </w:p>
    <w:p>
      <w:p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Další zdroje představují: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vypouštění odpadních vod z výrobních závodů (zejména těch, které se nacházejí mimo Unii),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rozmetání kalů z čistíren odpadních vod, které obsahují léčivé přípravky odstraněné z odpadních vod,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pasoucí se hospodářská zvířata,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léčba domácích zvířat,</w:t>
      </w:r>
    </w:p>
    <w:p>
      <w:pPr>
        <w:numPr>
          <w:ilvl w:val="0"/>
          <w:numId w:val="27"/>
        </w:num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nevhodná likvidace nepoužitých léčiv a kontaminovaného odpadu vyhozením na skládku.</w:t>
      </w:r>
    </w:p>
    <w:p>
      <w:pPr>
        <w:spacing w:before="60" w:after="6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2.3</w:t>
      </w:r>
      <w:r>
        <w:rPr>
          <w:rFonts w:ascii="Times New Roman" w:hAnsi="Times New Roman"/>
          <w:b/>
          <w:noProof/>
          <w:sz w:val="24"/>
          <w:szCs w:val="24"/>
        </w:rPr>
        <w:tab/>
        <w:t>Účinky na životní prostředí</w:t>
      </w:r>
    </w:p>
    <w:p>
      <w:p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Většina léčivých přípravků je určena k tomu, aby působila v nízkých koncentracích, které je lidský nebo zvířecí organismus schopen tolerovat, a aby byla zároveň dostatečně trvanlivá na to, aby dosáhla požadovaného účinku. Léčivé přípravky, které přetrvávají v životním prostředí a šíří se vodou a půdou nebo se hromadí v rostlinách nebo ve volné přírodě, stejně jako léčivé přípravky, jejichž koncentrace v prostředí je stabilní vzhledem k jejich konstantnímu uvolňování, mohou představovat riziko z důvodu své toxicity nebo podobných vlastností. Ze studií vyplynulo, že některé léčivé přípravky mají přímé účinky na volně žijící živočichy i při nízkých koncentracích, v nichž se nacházejí ve vodě a půdě, nebo dokonce při koncentracích ještě nižších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7"/>
      </w:r>
      <w:r>
        <w:rPr>
          <w:rFonts w:ascii="Times New Roman" w:hAnsi="Times New Roman"/>
          <w:noProof/>
          <w:sz w:val="24"/>
          <w:szCs w:val="24"/>
        </w:rPr>
        <w:t>. Například při expozici takovým koncentracím hlavní složky antikoncepčních pilulek může docházet k feminizaci samečků ryb v důsledku jejích účinků na endokrinní systém, což ovlivní reprodukční schopnost dané populace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8"/>
      </w:r>
      <w:r>
        <w:rPr>
          <w:rFonts w:ascii="Times New Roman" w:hAnsi="Times New Roman"/>
          <w:noProof/>
          <w:sz w:val="24"/>
          <w:szCs w:val="24"/>
        </w:rPr>
        <w:t>. V jiných studiích bylo zjištěno, že ryby vystavené nízkým koncentracím některých antidepresiv mění své chování způsobem, který by mohl ovlivnit jejich přežití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9"/>
      </w:r>
      <w:r>
        <w:rPr>
          <w:rFonts w:ascii="Times New Roman" w:hAnsi="Times New Roman"/>
          <w:noProof/>
          <w:sz w:val="24"/>
          <w:szCs w:val="24"/>
        </w:rPr>
        <w:t>. Ve tkáních ryb a vyder byl zjištěn lék proti bolesti diclofenac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0"/>
      </w:r>
      <w:r>
        <w:rPr>
          <w:rFonts w:ascii="Times New Roman" w:hAnsi="Times New Roman"/>
          <w:noProof/>
          <w:sz w:val="24"/>
          <w:szCs w:val="24"/>
        </w:rPr>
        <w:t>. Před několika lety vznikl poplach kvůli neočekávaně smrtícímu účinku tohoto léčiva na supy v Asii, kteří byli vystaveni jeho působení prostřednictvím mrtvých těl dobytka, který jimi byl léčen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1"/>
      </w:r>
      <w:r>
        <w:rPr>
          <w:rFonts w:ascii="Times New Roman" w:hAnsi="Times New Roman"/>
          <w:noProof/>
          <w:sz w:val="24"/>
          <w:szCs w:val="24"/>
        </w:rPr>
        <w:t>. Panuje domněnka, že pokles populací vrubounů je přinejmenším zčásti způsoben používáním léčivých přípravků proti parazitům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2"/>
      </w:r>
      <w:r>
        <w:rPr>
          <w:rFonts w:ascii="Times New Roman" w:hAnsi="Times New Roman"/>
          <w:noProof/>
          <w:sz w:val="24"/>
          <w:szCs w:val="24"/>
        </w:rPr>
        <w:t>, například ivermectinu, u hospodářských zvířat. To má důsledky pro koloběh živin a může dojít i k dalším významným nepřímým účinkům na ekosystémy, včetně vzácných druhů netopýrů a ptáků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3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2.4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Dopady </w:t>
      </w:r>
      <w:r>
        <w:rPr>
          <w:rFonts w:ascii="Times New Roman" w:hAnsi="Times New Roman"/>
          <w:b/>
          <w:i/>
          <w:noProof/>
          <w:sz w:val="24"/>
          <w:szCs w:val="24"/>
        </w:rPr>
        <w:t>prostřednictvím</w:t>
      </w:r>
      <w:r>
        <w:rPr>
          <w:rFonts w:ascii="Times New Roman" w:hAnsi="Times New Roman"/>
          <w:b/>
          <w:noProof/>
          <w:sz w:val="24"/>
          <w:szCs w:val="24"/>
        </w:rPr>
        <w:t xml:space="preserve"> životního prostředí včetně antimikrobiální rezistence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Až doposud nebyla stanovena žádná jasná vazba mezi léčivými přípravky přítomnými v životním prostředí a přímými dopady na lidské zdraví. Světová zdravotnická organizace uvádí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4"/>
      </w:r>
      <w:r>
        <w:rPr>
          <w:rFonts w:ascii="Times New Roman" w:hAnsi="Times New Roman"/>
          <w:noProof/>
          <w:sz w:val="24"/>
          <w:szCs w:val="24"/>
        </w:rPr>
        <w:t>, že průkaznost důkazů z několika nedávných studií ukazuje na to, že je velmi nepravděpodobné, že by léčivé přípravky v pitné vodě představovaly ohrožení lidského zdraví, vzhledem k nízkým koncentracím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5"/>
      </w:r>
      <w:r>
        <w:rPr>
          <w:rFonts w:ascii="Times New Roman" w:hAnsi="Times New Roman"/>
          <w:noProof/>
          <w:sz w:val="24"/>
          <w:szCs w:val="24"/>
        </w:rPr>
        <w:t>, které v ní byly zjištěny. Konstatuje však, že problematiku reziduí léčivých přípravků nelze ignorovat, a odkazuje na svou dřívější zprávu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6"/>
      </w:r>
      <w:r>
        <w:rPr>
          <w:rFonts w:ascii="Times New Roman" w:hAnsi="Times New Roman"/>
          <w:noProof/>
          <w:sz w:val="24"/>
          <w:szCs w:val="24"/>
        </w:rPr>
        <w:t>, která se zmiňuje o možných účincích dlouhodobé expozice na zranitelné populace, z čehož vyplývá potřeba přijetí preventivního přístupu v souladu s návrhem Komise na zavedení příslušného parametru do směrnice o pitné vodě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7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spacing w:after="0" w:line="240" w:lineRule="auto"/>
        <w:jc w:val="both"/>
        <w:textAlignment w:val="bottom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Ve vodě a v půdě byla nalezena řada antimikrobiálních léčivých přípravků (antibiotik a antimykotik) pocházejících z léčby lidí a zvířat: jejich přítomnost může hrát roli při urychlení vývoje, udržování a šíření rezistentních bakterií a hub. Tuto skutečnost uznalo sdělení Komise o akčním plánu proti rostoucím hrozbám antimikrobiální rezistence (AMR)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8"/>
      </w:r>
      <w:r>
        <w:rPr>
          <w:rFonts w:ascii="Times New Roman" w:hAnsi="Times New Roman"/>
          <w:noProof/>
          <w:sz w:val="24"/>
          <w:szCs w:val="24"/>
        </w:rPr>
        <w:t xml:space="preserve"> z roku 2011. Počet důkazů dále narůstá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29"/>
      </w:r>
      <w:r>
        <w:rPr>
          <w:rFonts w:ascii="Times New Roman" w:hAnsi="Times New Roman"/>
          <w:noProof/>
          <w:sz w:val="24"/>
          <w:szCs w:val="24"/>
        </w:rPr>
        <w:t>, což se odráží v revidovaném akčním plánu zveřejněném v roce 2017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0"/>
      </w:r>
      <w:r>
        <w:rPr>
          <w:rFonts w:ascii="Times New Roman" w:hAnsi="Times New Roman"/>
          <w:noProof/>
          <w:sz w:val="24"/>
          <w:szCs w:val="24"/>
        </w:rPr>
        <w:t>. Přístup „Jedno zdraví“ uvedený v tomto akčním plánu, který již dříve zohledňoval vzájemné propojení zdraví lidí a zvířat, nyní zahrnuje také ekologický rozměr a uznává jej jako další spojitost mezi chorobami lidí a zvířat a jako potenciální zdroj nových rezistentních mikroorganismů. Kromě odkazu na tento strategický přístup obsahuje uvedený akční plán některá další opatření umožňující lépe řešit úlohu životního prostředí v AMR.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Obzvláště znepokojující jsou náznaky toho, že emise z některých závodů vyrábějících antimikrobiální látky ve třetích zemích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</w:rPr>
        <w:footnoteReference w:id="31"/>
      </w:r>
      <w:r>
        <w:rPr>
          <w:rFonts w:ascii="Times New Roman" w:hAnsi="Times New Roman"/>
          <w:noProof/>
          <w:sz w:val="24"/>
          <w:szCs w:val="24"/>
        </w:rPr>
        <w:t xml:space="preserve">, z nichž některé dodávají produkty i pro spotřebu v rámci Unie, by mohly přispívat k rozvoji a šíření antimikrobiální rezistence na celosvětové úrovni. 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2.5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Mezery ve znalostech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Rostoucí počet důkazů týkajících se léčivých přípravků v životním prostředí zahrnuje i výsledky několika projektů financovaných Unií</w:t>
      </w:r>
      <w:r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en-GB"/>
        </w:rPr>
        <w:footnoteReference w:id="32"/>
      </w:r>
      <w:r>
        <w:rPr>
          <w:rFonts w:ascii="Times New Roman" w:hAnsi="Times New Roman"/>
          <w:noProof/>
          <w:sz w:val="24"/>
          <w:szCs w:val="24"/>
        </w:rPr>
        <w:t>. Dosud nemáme k dispozici dostatek informací, který by nám umožňoval pochopit a posoudit koncentrace některých léčivých přípravků v životním prostředí a z nich vyplývající úrovně rizika. Jedním z důvodů je to, že u řady léčivých přípravků, které byly na trh uvedeny před několika lety, nebylo v rámci procesu schvalování provedeno hodnocení rizik pro životní prostředí. Dalším důvodem je skutečnost, že monitorování léčivých přípravků v životním prostředí je velmi omezené, přestože podle rámcové směrnice o vodě je prováděno monitorování vybraných látek v povrchových a podzemních vodách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3"/>
      </w:r>
      <w:r>
        <w:rPr>
          <w:rFonts w:ascii="Times New Roman" w:hAnsi="Times New Roman"/>
          <w:noProof/>
          <w:sz w:val="24"/>
          <w:szCs w:val="24"/>
          <w:vertAlign w:val="superscript"/>
        </w:rPr>
        <w:t>,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4"/>
      </w:r>
      <w:r>
        <w:rPr>
          <w:rFonts w:ascii="Times New Roman" w:hAnsi="Times New Roman"/>
          <w:noProof/>
          <w:sz w:val="24"/>
          <w:szCs w:val="24"/>
          <w:vertAlign w:val="superscript"/>
        </w:rPr>
        <w:t>,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5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Jen v omezené míře jsou rovněž monitorována kritická místa, tzv. „hotspoty“, například místa zasažená vypouštěním odpadních vod z nemocničních zařízení. Ještě méně informací máme o koncentracích v půdě a o přítomnosti mikroorganismů rezistentních vůči antimikrobiálním látkám a genů antimikrobiální rezistence. Kromě toho dosud dostatečně nerozumíme potenciálním „koktejlovým efektům“ vznikajícím v důsledku kombinace výskytu celé řady léčivých přípravků a dalších chemických látek v životním prostředí.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 důležité identifikovat léčivé přípravky, které představují riziko v důsledku svého individuálního výskytu v životním prostředí, aby bylo možné zacílit úsilí v oblasti řízení rizik. U léčivých přípravků, které jsou již na trhu a nebylo u nich provedeno hodnocení rizik pro životní prostředí, probíhá v současné době na popud příslušného odvětví pokus o predikci, které by měly být posouzeny jako první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6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Podařilo se dosáhnout pokroku, neboť v současné době se hodnocení rizik pro životní prostředí provádí povinně u všech léčivých přípravků. Dřívější dostupnost úplného hodnocení humánních léčivých přípravků by však mohla usnadnit včasné zavedení vhodných opatření pro řízení rizik.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2.6</w:t>
      </w:r>
      <w:r>
        <w:rPr>
          <w:rFonts w:ascii="Times New Roman" w:hAnsi="Times New Roman"/>
          <w:b/>
          <w:noProof/>
          <w:sz w:val="24"/>
          <w:szCs w:val="24"/>
        </w:rPr>
        <w:tab/>
        <w:t>Výhled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Množství léčivých přípravků prodaných na evropském trhu se během posledních tří desetiletí rychlým tempem zvyšuje, a to jak z hlediska objemu prodeje, tak i z hlediska počtu účinných složek léčivých přípravků. V současné době se na trhu nachází více než 3 000 účinných složek léčivých přípravků. 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Podle údajů farmaceutického průmyslu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7"/>
      </w:r>
      <w:r>
        <w:rPr>
          <w:rFonts w:ascii="Times New Roman" w:hAnsi="Times New Roman"/>
          <w:noProof/>
          <w:sz w:val="24"/>
          <w:szCs w:val="24"/>
        </w:rPr>
        <w:t xml:space="preserve"> se hodnota prodeje humánních léčivých přípravků v Unii od roku 1990 velmi výrazně zvýšila. Přestože je toto zvýšení z velké části důsledkem zvýšení cen těchto výrobků, je rovněž odrazem trvalého zvyšování jejich spotřeby na obyvatele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8"/>
      </w:r>
      <w:r>
        <w:rPr>
          <w:rFonts w:ascii="Times New Roman" w:hAnsi="Times New Roman"/>
          <w:noProof/>
          <w:sz w:val="24"/>
          <w:szCs w:val="24"/>
        </w:rPr>
        <w:t>. Koncentrace v životním prostředí se budou pravděpodobně zvyšovat úměrně stárnutí a nárůstu populace.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Pokud jde o prodej veterinárních léčivých přípravků, zaměřilo se shromažďování údajů na antimikrobiální látky používané v chovu hospodářských zvířat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39"/>
      </w:r>
      <w:r>
        <w:rPr>
          <w:rFonts w:ascii="Times New Roman" w:hAnsi="Times New Roman"/>
          <w:noProof/>
          <w:sz w:val="24"/>
          <w:szCs w:val="24"/>
        </w:rPr>
        <w:t xml:space="preserve"> z důvodu obav v oblasti antimikrobiální rezistence. Ze zpráv z devíti zemí za období od roku 2005 do roku 2009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40"/>
      </w:r>
      <w:r>
        <w:rPr>
          <w:rFonts w:ascii="Times New Roman" w:hAnsi="Times New Roman"/>
          <w:noProof/>
          <w:sz w:val="24"/>
          <w:szCs w:val="24"/>
        </w:rPr>
        <w:t xml:space="preserve"> a z 30 zemí za období od roku 2010 do roku 2016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41"/>
      </w:r>
      <w:r>
        <w:rPr>
          <w:rFonts w:ascii="Times New Roman" w:hAnsi="Times New Roman"/>
          <w:noProof/>
          <w:sz w:val="24"/>
          <w:szCs w:val="24"/>
        </w:rPr>
        <w:t xml:space="preserve"> vyplývá, že celkové množství použitých antimikrobiálních látek se snížilo, i když nikoli ve všech zemích. Ke zvýšení celkové hmotnosti by mohlo dojít v důsledku výrazného nárůstu počtu hospodářských zvířat, a to i v případě, že by se snížil objem jejich používání na dobytčí jednotku. Tyto údaje se nevztahují na jiné veterinární léčivé přípravky. </w:t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3.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Cíle strategického přístupu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Hlavní cíle jsou:</w:t>
      </w:r>
    </w:p>
    <w:p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identifikovat </w:t>
      </w:r>
      <w:r>
        <w:rPr>
          <w:rFonts w:ascii="Times New Roman" w:hAnsi="Times New Roman"/>
          <w:b/>
          <w:noProof/>
          <w:sz w:val="24"/>
          <w:szCs w:val="24"/>
        </w:rPr>
        <w:t>opatření, která mají být přijata nebo dále zkoumána</w:t>
      </w:r>
      <w:r>
        <w:rPr>
          <w:rFonts w:ascii="Times New Roman" w:hAnsi="Times New Roman"/>
          <w:noProof/>
          <w:sz w:val="24"/>
          <w:szCs w:val="24"/>
        </w:rPr>
        <w:t>, s cílem řešit potenciální rizika vyplývající z reziduí léčivých přípravků v životním prostředí, a tak v neposlední řadě přispět k činnosti Unie v boji proti antimikrobiální rezistenci,</w:t>
      </w:r>
    </w:p>
    <w:p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podporovat </w:t>
      </w:r>
      <w:r>
        <w:rPr>
          <w:rFonts w:ascii="Times New Roman" w:hAnsi="Times New Roman"/>
          <w:b/>
          <w:noProof/>
          <w:sz w:val="24"/>
          <w:szCs w:val="24"/>
        </w:rPr>
        <w:t>inovace</w:t>
      </w:r>
      <w:r>
        <w:rPr>
          <w:rFonts w:ascii="Times New Roman" w:hAnsi="Times New Roman"/>
          <w:noProof/>
          <w:sz w:val="24"/>
          <w:szCs w:val="24"/>
        </w:rPr>
        <w:t xml:space="preserve"> tam, kde mohou pomoci při řešení těchto rizik, a podporovat rovněž oběhové hospodářství usnadněním recyklace zdrojů, jako jsou voda, kaly z čistíren odpadních vod a statková hnojiva,</w:t>
      </w:r>
    </w:p>
    <w:p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identifikovat zbývající </w:t>
      </w:r>
      <w:r>
        <w:rPr>
          <w:rFonts w:ascii="Times New Roman" w:hAnsi="Times New Roman"/>
          <w:b/>
          <w:noProof/>
          <w:sz w:val="24"/>
          <w:szCs w:val="24"/>
        </w:rPr>
        <w:t>mezery ve znalostech</w:t>
      </w:r>
      <w:r>
        <w:rPr>
          <w:rFonts w:ascii="Times New Roman" w:hAnsi="Times New Roman"/>
          <w:noProof/>
          <w:sz w:val="24"/>
          <w:szCs w:val="24"/>
        </w:rPr>
        <w:t xml:space="preserve"> a předložit možná řešení k jejich odstranění,</w:t>
      </w:r>
    </w:p>
    <w:p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zajistit, aby opatření zaměřená na řešení daného rizika neohrozila </w:t>
      </w:r>
      <w:r>
        <w:rPr>
          <w:rFonts w:ascii="Times New Roman" w:hAnsi="Times New Roman"/>
          <w:b/>
          <w:noProof/>
          <w:sz w:val="24"/>
          <w:szCs w:val="24"/>
        </w:rPr>
        <w:t>přístup k bezpečným a účinným léčivým přípravkům</w:t>
      </w:r>
      <w:r>
        <w:rPr>
          <w:rFonts w:ascii="Times New Roman" w:hAnsi="Times New Roman"/>
          <w:noProof/>
          <w:sz w:val="24"/>
          <w:szCs w:val="24"/>
        </w:rPr>
        <w:t xml:space="preserve"> pro lidské a zvířecí pacienty. </w:t>
      </w:r>
    </w:p>
    <w:p>
      <w:pPr>
        <w:keepNext/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4.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Současná situace: Příslušná politika Unie a širší iniciativy</w:t>
      </w:r>
    </w:p>
    <w:p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bookmarkStart w:id="2" w:name="_Toc323228773"/>
      <w:r>
        <w:rPr>
          <w:rFonts w:ascii="Times New Roman" w:hAnsi="Times New Roman"/>
          <w:b/>
          <w:noProof/>
          <w:sz w:val="24"/>
          <w:szCs w:val="24"/>
        </w:rPr>
        <w:t>4.1</w:t>
      </w:r>
      <w:r>
        <w:rPr>
          <w:rFonts w:ascii="Times New Roman" w:hAnsi="Times New Roman"/>
          <w:b/>
          <w:noProof/>
          <w:sz w:val="24"/>
          <w:szCs w:val="24"/>
        </w:rPr>
        <w:tab/>
        <w:t>Politika Unie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Hlavním prostředkem zajištění kvality, bezpečnosti a účinnosti humánních i veterinárních léčivých přípravků a jejich bezpečnosti pro životní prostředí jsou právní předpisy Evropské unie o léčivých přípravcích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42"/>
      </w:r>
      <w:r>
        <w:rPr>
          <w:rFonts w:ascii="Times New Roman" w:hAnsi="Times New Roman"/>
          <w:noProof/>
          <w:sz w:val="24"/>
          <w:szCs w:val="24"/>
        </w:rPr>
        <w:t>. U všech žádostí o registraci humánních a veterinárních léčivých přípravků je v současné době povinné hodnocení rizik pro životní prostředí; u posledně jmenovaných přípravků je zohledňováno pro účely vyhodnocení přínosů a rizik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43"/>
      </w:r>
      <w:r>
        <w:rPr>
          <w:rFonts w:ascii="Times New Roman" w:hAnsi="Times New Roman"/>
          <w:noProof/>
          <w:sz w:val="24"/>
          <w:szCs w:val="24"/>
        </w:rPr>
        <w:t>. Na výrobu, používání nebo likvidaci léčivých přípravků a jejich bezpečnost pro životní prostředí se přímo či nepřímo vztahuje i celá řada dalších právních předpisů Unie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44"/>
      </w:r>
      <w:r>
        <w:rPr>
          <w:rFonts w:ascii="Times New Roman" w:hAnsi="Times New Roman"/>
          <w:noProof/>
          <w:sz w:val="24"/>
          <w:szCs w:val="24"/>
        </w:rPr>
        <w:t xml:space="preserve">. Navzdory těmto právním předpisům a částečně i proto, že některé z nich byly přijaty teprve nedávno, však zde i nadále přetrvávají rizika pro životní prostředí a prostřednictvím životního prostředí.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Tento strategický přístup doplňuje nedávno přijatou strategii pro endokrinní disruptory</w:t>
      </w:r>
      <w:r>
        <w:rPr>
          <w:rStyle w:val="FootnoteReference"/>
          <w:rFonts w:ascii="Times New Roman" w:hAnsi="Times New Roman"/>
          <w:iCs/>
          <w:noProof/>
          <w:sz w:val="24"/>
          <w:szCs w:val="24"/>
          <w:lang w:eastAsia="fr-FR"/>
        </w:rPr>
        <w:footnoteReference w:id="45"/>
      </w:r>
      <w:r>
        <w:rPr>
          <w:rFonts w:ascii="Times New Roman" w:hAnsi="Times New Roman"/>
          <w:noProof/>
          <w:sz w:val="24"/>
          <w:szCs w:val="24"/>
        </w:rPr>
        <w:t xml:space="preserve"> a je propojen s celou řadou dalších stávajících i nedávných iniciativ, například s hodnoceními směrnice o čištění městských odpadních vod a dalšími klíčovými předpisy vodohospodářského práva Unie, s návrhy nařízení o opětovném využívání vody a přepracování směrnice o pitné vodě, jakož i s hodnocením právních předpisů o chemických látkách.</w:t>
      </w:r>
    </w:p>
    <w:p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Je třeba konstatovat, že léčivé přípravky jako výrobky jsou osvobozeny od většiny ustanovení všeobecných právních předpisů Unie o chemických látkách</w:t>
      </w:r>
      <w:r>
        <w:rPr>
          <w:rStyle w:val="FootnoteReference"/>
          <w:rFonts w:ascii="Times New Roman" w:eastAsia="Times New Roman" w:hAnsi="Times New Roman"/>
          <w:iCs/>
          <w:noProof/>
          <w:sz w:val="24"/>
          <w:szCs w:val="24"/>
          <w:lang w:eastAsia="fr-FR"/>
        </w:rPr>
        <w:footnoteReference w:id="46"/>
      </w:r>
      <w:r>
        <w:rPr>
          <w:rFonts w:ascii="Times New Roman" w:hAnsi="Times New Roman"/>
          <w:iCs/>
          <w:noProof/>
          <w:sz w:val="24"/>
          <w:szCs w:val="24"/>
        </w:rPr>
        <w:t>, avšak nikoli od omezujících ustanovení</w:t>
      </w:r>
      <w:r>
        <w:rPr>
          <w:rStyle w:val="FootnoteReference"/>
          <w:rFonts w:ascii="Times New Roman" w:eastAsia="Times New Roman" w:hAnsi="Times New Roman"/>
          <w:iCs/>
          <w:noProof/>
          <w:sz w:val="24"/>
          <w:szCs w:val="24"/>
          <w:lang w:eastAsia="fr-FR"/>
        </w:rPr>
        <w:footnoteReference w:id="47"/>
      </w:r>
      <w:r>
        <w:rPr>
          <w:rFonts w:ascii="Times New Roman" w:hAnsi="Times New Roman"/>
          <w:iCs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Látky používané při výrobě léčivých přípravků jsou rovněž osvobozeny, pokud jsou přítomny v konečném výrobku. Látky, které byly použity, ale v konečném výrobku přítomny nejsou, podléhají ustanovením o registraci a hodnocení podle nařízení REACH a mohou se na ně vztahovat povolení a omezení</w:t>
      </w:r>
      <w:r>
        <w:rPr>
          <w:rStyle w:val="FootnoteReference"/>
          <w:rFonts w:ascii="Times New Roman" w:hAnsi="Times New Roman"/>
          <w:noProof/>
          <w:sz w:val="24"/>
          <w:szCs w:val="24"/>
          <w:lang w:eastAsia="fr-FR"/>
        </w:rPr>
        <w:footnoteReference w:id="48"/>
      </w:r>
      <w:r>
        <w:rPr>
          <w:rFonts w:ascii="Times New Roman" w:hAnsi="Times New Roman"/>
          <w:noProof/>
          <w:sz w:val="24"/>
          <w:szCs w:val="24"/>
        </w:rPr>
        <w:t>. Byla vypracována studie</w:t>
      </w:r>
      <w:r>
        <w:rPr>
          <w:rStyle w:val="FootnoteReference"/>
          <w:rFonts w:ascii="Times New Roman" w:eastAsia="Times New Roman" w:hAnsi="Times New Roman"/>
          <w:iCs/>
          <w:noProof/>
          <w:sz w:val="24"/>
          <w:szCs w:val="24"/>
          <w:lang w:eastAsia="fr-FR"/>
        </w:rPr>
        <w:footnoteReference w:id="49"/>
      </w:r>
      <w:r>
        <w:rPr>
          <w:rFonts w:ascii="Times New Roman" w:hAnsi="Times New Roman"/>
          <w:noProof/>
          <w:sz w:val="24"/>
          <w:szCs w:val="24"/>
        </w:rPr>
        <w:t>, která vznáší otázky týkající se vazeb mezi právními předpisy v oblasti chemických látek a léčivých přípravků v souvislosti s ochranou životního prostředí.</w:t>
      </w:r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fr-FR"/>
        </w:rPr>
      </w:pPr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4.2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 Další iniciativy</w:t>
      </w:r>
    </w:p>
    <w:p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Některé členské státy (např. Nizozemsko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50"/>
      </w:r>
      <w:r>
        <w:rPr>
          <w:rFonts w:ascii="Times New Roman" w:hAnsi="Times New Roman"/>
          <w:noProof/>
          <w:sz w:val="24"/>
          <w:szCs w:val="24"/>
        </w:rPr>
        <w:t xml:space="preserve"> a Švédsko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51"/>
      </w:r>
      <w:r>
        <w:rPr>
          <w:rFonts w:ascii="Times New Roman" w:hAnsi="Times New Roman"/>
          <w:noProof/>
          <w:sz w:val="24"/>
          <w:szCs w:val="24"/>
        </w:rPr>
        <w:t>), Evropský parlament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52"/>
      </w:r>
      <w:r>
        <w:rPr>
          <w:rFonts w:ascii="Times New Roman" w:hAnsi="Times New Roman"/>
          <w:noProof/>
          <w:sz w:val="24"/>
          <w:szCs w:val="24"/>
        </w:rPr>
        <w:t>, třetí země (např. Švýcarsko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53"/>
      </w:r>
      <w:r>
        <w:rPr>
          <w:rFonts w:ascii="Times New Roman" w:hAnsi="Times New Roman"/>
          <w:noProof/>
          <w:sz w:val="24"/>
          <w:szCs w:val="24"/>
        </w:rPr>
        <w:t>), mezinárodní organizace (např. Organizace spojených národů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54"/>
      </w:r>
      <w:r>
        <w:rPr>
          <w:rFonts w:ascii="Times New Roman" w:hAnsi="Times New Roman"/>
          <w:noProof/>
          <w:sz w:val="24"/>
          <w:szCs w:val="24"/>
        </w:rPr>
        <w:t>, HELCOM</w:t>
      </w:r>
      <w:r>
        <w:rPr>
          <w:rStyle w:val="FootnoteReference"/>
          <w:rFonts w:ascii="Times New Roman" w:eastAsia="Times New Roman" w:hAnsi="Times New Roman"/>
          <w:iCs/>
          <w:noProof/>
          <w:sz w:val="24"/>
          <w:szCs w:val="24"/>
          <w:lang w:eastAsia="fr-FR"/>
        </w:rPr>
        <w:footnoteReference w:id="55"/>
      </w:r>
      <w:r>
        <w:rPr>
          <w:rFonts w:ascii="Times New Roman" w:hAnsi="Times New Roman"/>
          <w:noProof/>
          <w:sz w:val="24"/>
          <w:szCs w:val="24"/>
        </w:rPr>
        <w:t>, Organizace pro hospodářskou spolupráci a rozvoj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56"/>
      </w:r>
      <w:r>
        <w:rPr>
          <w:rFonts w:ascii="Times New Roman" w:hAnsi="Times New Roman"/>
          <w:noProof/>
          <w:sz w:val="24"/>
          <w:szCs w:val="24"/>
        </w:rPr>
        <w:t>), odvětvová sdružení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57"/>
      </w:r>
      <w:r>
        <w:rPr>
          <w:rFonts w:ascii="Times New Roman" w:hAnsi="Times New Roman"/>
          <w:noProof/>
          <w:sz w:val="24"/>
          <w:szCs w:val="24"/>
        </w:rPr>
        <w:t xml:space="preserve"> a nevládní organizace vyjádřily své obavy a přijaly opatření za účelem řešení zvyšujícího se výskytu léčivých přípravků v životním prostředí. Na mezinárodní úrovni představuje jak Agenda OSN 2030, a zejména šestý cíl udržitelného rozvoje, tak prohlášení ministrů Environmentálního shromáždění OSN z roku 2017 závazky jednat v této oblasti a země G7/G20 a Světová zdravotnická organizace odsouhlasily opatření týkající se antimikrobiální rezistence.</w:t>
      </w:r>
    </w:p>
    <w:bookmarkEnd w:id="2"/>
    <w:p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5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Opatření</w:t>
      </w:r>
    </w:p>
    <w:p>
      <w:pPr>
        <w:pStyle w:val="CommentText"/>
        <w:rPr>
          <w:noProof/>
          <w:sz w:val="24"/>
        </w:rPr>
      </w:pPr>
      <w:r>
        <w:rPr>
          <w:noProof/>
          <w:sz w:val="24"/>
        </w:rPr>
        <w:t>Jak požaduje článek 8c směrnice o prioritních látkách, měly by na tento strategický přístup případně navazovat návrhy opatření určených k přijetí na úrovni Unie a/nebo členských států, které budou řešit možné dopady farmaceutických látek na životní prostředí, a to s cílem omezit vypouštění, emise a úniky těchto látek do vodního prostředí, přičemž zohlední potřeby v oblasti veřejného zdraví a nákladovou efektivnost navrhovaných opatření. Aby byla opatření účinná a zajišťovala rovnoměrné rozložení úsilí, neměla by zahrnovat pouze kontroly na konci procesu (např. zlepšení čištění odpadních vod), ale měla by řešit i původní zdroje emisí (např. výrobu a používání) a zohledňovat jak půdní, tak vodní ekosystém. Toto sdělení stanoví šest oblastí činnosti a několik konkrétních akcí týkajících se možných opatření.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>
      <w:pPr>
        <w:keepNext/>
        <w:tabs>
          <w:tab w:val="left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5.1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Zvyšovat informovanost a podporovat uvážlivé používání léčivých přípravků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Podpora uvážlivého používání léčivých přípravků, které představují riziko pro životní prostředí nebo prostřednictvím životního prostředí, včetně antimikrobiálních látek, by mohla tento problém významně omezit již u zdroje. V této souvislosti mají zásadní úlohu členské státy a lékařští odborníci, ale určitou roli může sehrát i Komise tím, že sdruží příslušné odborníky, přispěje k financování některých vzdělávacích programů, zajistí přijetí, provádění a prosazování příslušných právních předpisů a uzavře partnerství s mezinárodními organizacemi.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Komise:</w:t>
      </w:r>
    </w:p>
    <w:tbl>
      <w:tblPr>
        <w:tblW w:w="909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4"/>
      </w:tblGrid>
      <w:tr>
        <w:trPr>
          <w:trHeight w:val="416"/>
        </w:trPr>
        <w:tc>
          <w:tcPr>
            <w:tcW w:w="9094" w:type="dxa"/>
            <w:vAlign w:val="center"/>
          </w:tcPr>
          <w:p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bude podporovat vypracovávání pokynů pro zdravotnické pracovníky ohledně uvážlivého používání léčivých přípravků, které představují riziko pro životní prostředí nebo jeho prostřednictvím,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ve spolupráci s příslušnými zúčastněnými stranami bude zkoumat možnosti začlenění environmentálních aspektů do programů lékařské odborné přípravy a odborného rozvoje,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zaměří se na omezení preventivního používání veterinárních antimikrobik tím, že zajistí správné provedení nově přijatého nařízení o veterinárních léčivých přípravcích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4"/>
              </w:rPr>
              <w:footnoteReference w:id="58"/>
            </w:r>
            <w:r>
              <w:rPr>
                <w:rFonts w:ascii="Times New Roman" w:hAnsi="Times New Roman"/>
                <w:b/>
                <w:noProof/>
                <w:sz w:val="24"/>
              </w:rPr>
              <w:t>,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bude podporovat výměnu osvědčených postupů mezi členskými státy týkajících se způsobu zohledňování environmentálních hledisek v reklamě na léčivé přípravky a při jejich předpisování a tam, kde je to vhodné, i obecněji při volbě způsobu léčby, 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posílí spolupráci se Světovou zdravotnickou organizací a s dalšími klíčovými mezinárodními organizacemi v oblasti aktivit zaměřených na zvyšování povědomí o této problematice a nalézání řešení, a to i prostřednictvím sdílení osvědčených postupů.</w:t>
            </w:r>
          </w:p>
        </w:tc>
      </w:tr>
    </w:tbl>
    <w:p>
      <w:pPr>
        <w:keepNext/>
        <w:tabs>
          <w:tab w:val="left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/>
          <w:b/>
          <w:noProof/>
          <w:sz w:val="24"/>
          <w:szCs w:val="24"/>
        </w:rPr>
      </w:pPr>
    </w:p>
    <w:p>
      <w:pPr>
        <w:keepNext/>
        <w:tabs>
          <w:tab w:val="left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5.2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</w:rPr>
        <w:t>Podporovat vývoj léčivých přípravků, které jsou ze své podstaty méně škodlivé pro životní prostředí, a ekologičtější výrobu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Je třeba povzbuzovat farmaceutický průmysl k tomu, aby v celém průběhu fází navrhování a výroby více zohledňoval životní prostředí z hlediska životního cyklu. Vzhledem k tomu, že toto odvětví působí na globální úrovni a jeho činnost může mít celosvětový dosah, má pro Unii smysl zajistit rovné podmínky v oblasti ochrany životního prostředí a zdraví v celé Unii a povzbuzovat odpovědné chování i mimo Unii.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Komise:</w:t>
      </w:r>
    </w:p>
    <w:tbl>
      <w:tblPr>
        <w:tblW w:w="909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4"/>
      </w:tblGrid>
      <w:tr>
        <w:trPr>
          <w:trHeight w:val="416"/>
        </w:trPr>
        <w:tc>
          <w:tcPr>
            <w:tcW w:w="9094" w:type="dxa"/>
            <w:vAlign w:val="center"/>
          </w:tcPr>
          <w:p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bude pod podmínkou přiměřené dostupnosti finančních prostředků v závislosti na konečné dohodě se společnými normotvůrci ohledně příštího víceletého finančního rámce financovat výzkum a inovace s cílem podpořit vývoj „ekologičtějších“ léčivých přípravků, které se v čistírnách odpadních vod a v životním prostředí rychleji rozkládají na neškodné látky,</w:t>
            </w:r>
          </w:p>
          <w:p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bude přímo spolupracovat s farmaceutickým průmyslem na jeho potenciálním přínosu k plnění cílů tohoto přístupu, mezi něž mimo jiné patří prozkoumat, jakou roli by mohla sehrát rozšířená odpovědnost výrobce při podpoře opatření ke zlepšení účinnosti úpravy vody,</w:t>
            </w:r>
          </w:p>
          <w:p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podle rámcové směrnice o vodě zohlední určité léčivé přípravky a skupiny léčivých přípravků s podobnými účinky při práci na pravidelném přezkumu seznamu látek, které představují riziko na úrovni Unie, a bude spolupracovat s členskými státy v oblasti norem kvality životního prostředí pro léčivé přípravky, které představují riziko na úrovni Unie, </w:t>
            </w:r>
          </w:p>
          <w:p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zajistí, aby emise léčivých přípravků do vody byly považovány za možný klíčový problém z hlediska životního prostředí při přezkumu referenčních dokumentů o nejlepších dostupných technikách podle směrnice o průmyslových emisích pro příslušná odvětví,</w:t>
            </w:r>
          </w:p>
          <w:p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bude jednat s příslušnými orgány členských států o možnosti využití politiky v oblasti zadávání veřejných zakázek při podpoře ekologičtějšího farmaceutického navrhování a výroby,</w:t>
            </w:r>
          </w:p>
          <w:p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prostřednictvím dialogu a spolupráce bude v rámci vnějších politik Unie podporovat opatření ve třetích zemích, kde existuje podezření, že farmaceutické emise z výrobních a jiných zdrojů přispívají k celosvětovému šíření AMR.</w:t>
            </w:r>
          </w:p>
        </w:tc>
      </w:tr>
    </w:tbl>
    <w:p>
      <w:pPr>
        <w:keepNext/>
        <w:tabs>
          <w:tab w:val="left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/>
          <w:b/>
          <w:noProof/>
          <w:sz w:val="24"/>
          <w:szCs w:val="24"/>
        </w:rPr>
      </w:pPr>
    </w:p>
    <w:p>
      <w:pPr>
        <w:keepNext/>
        <w:tabs>
          <w:tab w:val="left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5.3</w:t>
      </w:r>
      <w:r>
        <w:rPr>
          <w:rFonts w:ascii="Times New Roman" w:hAnsi="Times New Roman"/>
          <w:b/>
          <w:noProof/>
          <w:sz w:val="24"/>
          <w:szCs w:val="24"/>
        </w:rPr>
        <w:tab/>
        <w:t>Zkvalitnit hodnocení rizik pro životní prostředí a jeho přezkum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 důležité, aby hodnocení rizik a vytváření pokynů byly vzájemně koordinovány a aby zahrnovaly veškeré příslušné odborné znalosti. Sdílení údajů a lepší přístup k údajům by mohly umožnit lepší řízení rizik, stejně jako retrospektivní hodnocení rizik pro životní prostředí u několika produktů, které již jsou na trhu, a dřívější dostupnost údajů o hodnocení rizik u humánních léčivých přípravků. Iniciativu ve všech těchto oblastech lze nejlépe realizovat na úrovni Unie.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Komise:</w:t>
      </w:r>
    </w:p>
    <w:tbl>
      <w:tblPr>
        <w:tblW w:w="909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4"/>
      </w:tblGrid>
      <w:tr>
        <w:trPr>
          <w:trHeight w:val="416"/>
        </w:trPr>
        <w:tc>
          <w:tcPr>
            <w:tcW w:w="9094" w:type="dxa"/>
            <w:vAlign w:val="center"/>
          </w:tcPr>
          <w:p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ve spolupráci s Evropskou agenturou pro léčivé přípravky a členskými státy:</w:t>
            </w:r>
          </w:p>
          <w:p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bude usilovat o zlepšení úrovně odborných znalostí v oblasti životního prostředí ve výborech a sítích zapojených do hodnocení rizik léčivých přípravků pro životní prostředí,</w:t>
            </w:r>
          </w:p>
          <w:p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zváží vypracování pokynů týkajících se hodnocení rizik pro životní prostředí u léčivých přípravků pro použití v akvakultuře, včetně případných doporučení v oblasti opatření k řízení rizik,</w:t>
            </w:r>
          </w:p>
          <w:p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prozkoumá možnosti zlepšení přístupu veřejnosti k hlavním výsledkům hodnocení rizik pro životní prostředí a k příslušným toxikologickým prahovým hodnotám pro léčivé přípravky při současném dodržování pravidel pro ochranu údajů,</w:t>
            </w:r>
          </w:p>
          <w:p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bude žadatelům zdůrazňovat, jak je důležité předložit dokončené hodnocení do doby, než bude uděleno povolení pro uvádění humánních léčivých přípravků na trh, aby tak bylo možné stanovit a zveřejnit odpovídající opatření k řízení rizik,</w:t>
            </w:r>
          </w:p>
          <w:p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v souladu s nově přijatým nařízením o veterinárních léčivých přípravcích podá zprávu o proveditelnosti zavedení celoevropského systému přezkumu založeného na účinných farmaceutických složkách nebo na obdobném principu s cílem podpořit hodnocení rizik pro životní prostředí na úrovni Unie, </w:t>
            </w:r>
          </w:p>
          <w:p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zahájí systematický postup registrace veterinárních léčivých přípravků bez (náležitého) hodnocení rizik pro životní prostředí, jak je stanoveno v nařízení o veterinárních léčivých přípravcích, a zhodnotí výsledky výzkumu provedeného v rámci iniciativy pro inovativní léčiva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4"/>
              </w:rPr>
              <w:footnoteReference w:id="59"/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ve vztahu k humánním léčivým přípravkům,</w:t>
            </w:r>
          </w:p>
          <w:p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posoudí zjištění nedávných hodnocení nařízení REACH a probíhající kontroly účelnosti jiných právních předpisů Unie v oblasti chemických látek, pokud jde o vazby na právní předpisy týkající se léčivých přípravků v souvislosti s ochranou životního prostředí.</w:t>
            </w:r>
          </w:p>
        </w:tc>
      </w:tr>
    </w:tbl>
    <w:p>
      <w:pPr>
        <w:keepNext/>
        <w:tabs>
          <w:tab w:val="left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/>
          <w:b/>
          <w:noProof/>
          <w:sz w:val="24"/>
          <w:szCs w:val="24"/>
        </w:rPr>
      </w:pPr>
    </w:p>
    <w:p>
      <w:pPr>
        <w:keepNext/>
        <w:tabs>
          <w:tab w:val="left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5.4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Omezit plýtvání a zlepšit nakládání s odpady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Omezení plýtvání s léčivými přípravky a jejich řádná likvidace by znamenaly snížení rizika pro životní prostředí. V některých lokalitách může být vhodné zavést vyspělejší technologii čištění odpadních vod. Jako obzvláště potřebná se jeví kontrola zdrojů rozptýlených emisí z chovu hospodářských zvířat.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Komise:</w:t>
      </w:r>
    </w:p>
    <w:tbl>
      <w:tblPr>
        <w:tblW w:w="909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4"/>
      </w:tblGrid>
      <w:tr>
        <w:trPr>
          <w:trHeight w:val="416"/>
        </w:trPr>
        <w:tc>
          <w:tcPr>
            <w:tcW w:w="9094" w:type="dxa"/>
            <w:vAlign w:val="center"/>
          </w:tcPr>
          <w:p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ve spolupráci s členskými státy a s Evropskou agenturou pro léčivé přípravky: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prozkoumá možnost snižování množství odpadů na základě optimalizace velikosti balení léčivých přípravků, aby bylo možné vydávat léky v množstvích lépe odpovídajících potřebám, a bezpečného prodloužení data použitelnosti (data ukončení použitelnosti), aby se nevyhazovalo tolik stále ještě použitelných léků,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bude usnadňovat výměnu osvědčených postupů mezi zdravotnickými pracovníky v oblasti environmentálně bezpečné likvidace léčivých přípravků a klinického odpadu, a případně i sběru reziduí léčivých přípravků, </w:t>
            </w:r>
          </w:p>
          <w:p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posoudí provoz systémů sběru nevyužitých léčivých přípravků a zváží možnosti zlepšení jejich dostupnosti a fungování, možnosti zvyšování povědomí veřejnosti o důležitosti jejich používání a způsob, jakým by rozšířená odpovědnost výrobce mohla sehrát roli při omezování nevhodné likvidace,</w:t>
            </w:r>
          </w:p>
          <w:p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Pokud jde o čištění městských odpadních vod: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bude využívat programy Unie k investicím do technologií umožňujících zlepšit účinnost odstraňování léčivých přípravků (a genů antimikrobiální rezistence),</w:t>
            </w:r>
          </w:p>
          <w:p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v rámci studie podporující hodnocení stávajících právních předpisů o čištění městských odpadních vod posoudí, zda v dostatečné míře kontroluje emise léčivých přípravků, a prozkoumá proveditelnost modernizace vybraných čistíren městských odpadních vod zavedením vyspělejších technologií čištění, </w:t>
            </w:r>
          </w:p>
          <w:p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posoudí možnost spolupráce s členskými státy při zlepšování jejich zásad správné zemědělské praxe tak, aby zahrnovaly také postupy nakládání se znečišťujícími látkami včetně léčivých přípravků ve statkových hnojivech,</w:t>
            </w:r>
          </w:p>
          <w:p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při příštím hodnocení směrnice o průmyslových emisích posoudí, zda by měla řešit i intenzivní chov mléčného skotu</w:t>
            </w:r>
            <w:r>
              <w:rPr>
                <w:rStyle w:val="FootnoteReference"/>
                <w:rFonts w:ascii="Times New Roman" w:eastAsia="Times New Roman" w:hAnsi="Times New Roman"/>
                <w:b/>
                <w:noProof/>
                <w:sz w:val="24"/>
                <w:szCs w:val="24"/>
              </w:rPr>
              <w:footnoteReference w:id="60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5.5</w:t>
      </w:r>
      <w:r>
        <w:rPr>
          <w:rFonts w:ascii="Times New Roman" w:hAnsi="Times New Roman"/>
          <w:b/>
          <w:noProof/>
          <w:sz w:val="24"/>
          <w:szCs w:val="24"/>
        </w:rPr>
        <w:tab/>
        <w:t>Rozšířit monitorování životního prostředí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Sběr a správa údajů o životním prostředí jsou do značné míry založeny na právních předpisech Unie a/nebo podporovány z prostředků Unie. Větší informovanost o koncentracích léčivých přípravků v životním prostředí by umožnila zlepšit hodnocení rizik pro životní prostředí a zavést cílenější opatření, zejména pokud by bylo možné toto monitorování rozšířit tak, aby lépe pokrývalo určité součásti životního prostředí a v případě potřeby zahrnovalo i spolupráci se zúčastněnými stranami.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>
        <w:trPr>
          <w:trHeight w:val="699"/>
        </w:trPr>
        <w:tc>
          <w:tcPr>
            <w:tcW w:w="9072" w:type="dxa"/>
            <w:shd w:val="clear" w:color="auto" w:fill="auto"/>
            <w:vAlign w:val="center"/>
          </w:tcPr>
          <w:p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zohlední další potenciálně relevantní léčivé přípravky, jako jsou například cytotoxické léčivé přípravky a rentgenové kontrastní látky, při práci podporující přezkum seznamu sledovaných látek v povrchových vodách podle rámcové směrnice o vodě, jakož i proveditelnost monitorování mikroorganismů rezistentních vůči antimikrobiálním látkám a genů antimikrobiální rezistence,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bude podporovat výzkum monitorování jednotlivých látek a směsí látek ve sladké i mořské vodě, v půdě, usazeninách a v tkáních volně žijících živočichů s využitím konvenčních analytických a doplňkových technik,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společně se zúčastněnými stranami včetně společností/úřadů pro úpravu odpadních vod bude zkoumat sběr relevantních údajů týkajících se vypouštění odpadních vod z potenciálních kritických míst, rozvoj online monitorování a sdílení údajů prostřednictvím informační platformy pro chemické monitorování</w:t>
            </w:r>
            <w:r>
              <w:rPr>
                <w:rStyle w:val="FootnoteReference"/>
                <w:rFonts w:ascii="Times New Roman" w:eastAsia="Times New Roman" w:hAnsi="Times New Roman"/>
                <w:b/>
                <w:noProof/>
                <w:sz w:val="24"/>
                <w:szCs w:val="24"/>
              </w:rPr>
              <w:footnoteReference w:id="61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s cílem získat informace pro analýzy zdrojů a potenciální expozice,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zahrne antimikrobiální látky a případně i geny antimikrobiální rezistence do příští fáze průzkumu půdy Evropské komise nazvaného LUCAS</w:t>
            </w:r>
            <w:r>
              <w:rPr>
                <w:rStyle w:val="FootnoteReference"/>
                <w:rFonts w:ascii="Times New Roman" w:eastAsia="Times New Roman" w:hAnsi="Times New Roman"/>
                <w:b/>
                <w:noProof/>
                <w:sz w:val="24"/>
                <w:szCs w:val="24"/>
              </w:rPr>
              <w:footnoteReference w:id="62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5.6</w:t>
      </w:r>
      <w:r>
        <w:rPr>
          <w:rFonts w:ascii="Times New Roman" w:hAnsi="Times New Roman"/>
          <w:b/>
          <w:noProof/>
          <w:sz w:val="24"/>
          <w:szCs w:val="24"/>
        </w:rPr>
        <w:tab/>
        <w:t>Odstranit další mezery ve znalostech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 když výše uvedená opatření zahrnují určitý podíl výzkumu, přínosem pro naši schopnost řídit rizika by mohl být i výzkum v jiných oblastech.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Komise proto zváží podporu dalšího výzkumu, a to i v rámci příštího víceletého finančního rámce Unie, v následujících oblastech: </w:t>
      </w:r>
    </w:p>
    <w:tbl>
      <w:tblPr>
        <w:tblW w:w="909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4"/>
      </w:tblGrid>
      <w:tr>
        <w:trPr>
          <w:trHeight w:val="416"/>
        </w:trPr>
        <w:tc>
          <w:tcPr>
            <w:tcW w:w="9094" w:type="dxa"/>
            <w:vAlign w:val="center"/>
          </w:tcPr>
          <w:p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ekotoxicita léčivých přípravků a jejich chování v životním prostředí, zejména těch přípravků, u nichž dosud nebylo provedeno hodnocení rizik pro životní prostředí,</w:t>
            </w:r>
          </w:p>
          <w:p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souvislosti mezi přítomností antimikrobiálních látek v životním prostředí (pokud možno také průnikem a přirozenou přítomností genů antimikrobiální rezistence) a vývojem a šířením antimikrobiální rezistence, </w:t>
            </w:r>
          </w:p>
          <w:p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možné účinky (chronické) expozice lidí nízkým hladinám léčivých přípravků prostřednictvím životního prostředí se zohledněním potenciálu kombinovaných účinků více látek a s přihlédnutím ke zranitelným skupinám obyvatelstva, </w:t>
            </w:r>
          </w:p>
          <w:p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nákladově efektivní metody snižování přítomnosti léčivých přípravků včetně antimikrobiálních látek v kejdě, statkových hnojivech a kalech z čistíren odpadních vod, které umožní jejich využití v oběhovém hospodářství.</w:t>
            </w:r>
          </w:p>
        </w:tc>
      </w:tr>
    </w:tbl>
    <w:p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/>
          <w:b/>
          <w:smallCaps/>
          <w:noProof/>
          <w:sz w:val="24"/>
          <w:szCs w:val="24"/>
        </w:rPr>
      </w:pPr>
    </w:p>
    <w:p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6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Závěry</w:t>
      </w:r>
    </w:p>
    <w:p>
      <w:pPr>
        <w:spacing w:before="120" w:after="120" w:line="240" w:lineRule="auto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Toto sdělení stanoví strategický přístup k rizikům spojeným s léčivými přípravky v životním prostředí, a tak splňuje zákonem stanovenou povinnost navrhnout přístup řešení znečištění vody léčivými přípravky. Přispívá rovněž k řešení problému antimikrobiální rezistence a plní závazky přijaté na mezinárodní úrovni, kde může Unie jako silný globální aktér podporovat širokou spolupráci.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I když je zřejmé, že léčba mnoha chorob u zvířat i lidí je závislá na účinných léčivých přípravcích a že dosud nebyly odstraněny některé podstatné mezery ve znalostech, je dostatečně prokázáno, že je nutné přijmout opatření ke snížení rizika plynoucího z přítomnosti léčivých přípravků v životním prostředí. To vyžaduje zapojení všech příslušných zúčastněných stran v průběhu celého životního cyklu, a to včetně příslušných orgánů členských států, farmaceutického průmyslu, zdravotnických a veterinárních odborníků, pacientů, zemědělců a zástupců vodního hospodářství, se společným cílem, kterým je vybudovat udržitelnější oběhové hospodářství založené na účinnějším využívání zdrojů.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Kromě toho, že bude vést realizaci opatření v oblasti své působnosti, bude Komise rovněž podporovat i ostatní subjekty, aby aktivně podnikaly opatření, přičemž bude mimo jiné usnadňovat výměnu osvědčených postupů.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Komise se zaměřuje na opatření, která začínají, budou zahájena a v některých případech i dokončena do roku 2020. </w:t>
      </w:r>
    </w:p>
    <w:p>
      <w:pPr>
        <w:spacing w:before="120"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t>Poté Komise zhodnotí dosažený pokrok a rozhodne o dalších krocích, přičemž zohlední výsledky průběžných hodnocení právních předpisů o vodě a příslušného výzkumu.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Termín „léčivé přípravky“ se zde používá k označení humánních nebo veterinárních léčivých přípravků. Sledovanými látkami jsou zpravidla účinné složky léčivých přípravků, ale relevantní mohou být i jejich metabolity a produkty jejich rozkladu, jakož i některé složky (pomocné látky) jiné než účinná látka a obalový materiál. </w:t>
      </w:r>
    </w:p>
  </w:footnote>
  <w:footnote w:id="3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KOM(2008) 666 v konečném znění: Sdělení komise Evropskému parlamentu, Radě, Evropskému hospodářskému a sociálnímu výboru a Výboru regionů – Bezpečná, inovativní a dostupná léčiva: obnovená vize pro farmaceutické odvětví.</w:t>
      </w:r>
    </w:p>
  </w:footnote>
  <w:footnote w:id="4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Nařízení Evropského parlamentu a Rady (EU) č. 1235/2010 ze dne 15. prosince 2010, kterým se mění, pokud jde o farmakovigilanci humánních léčivých přípravků, nařízení (ES) č. 726/2004, kterým se stanoví postupy Společenství pro registraci humánních a veterinárních léčivých přípravků a dozor nad nimi a kterým se zřizuje Evropská agentura pro léčivé přípravky, a nařízení (ES) č. 1394/2007 o léčivých přípravcích pro moderní terapii, </w:t>
      </w:r>
      <w:r>
        <w:rPr>
          <w:rFonts w:ascii="Times New Roman" w:hAnsi="Times New Roman"/>
          <w:iCs/>
          <w:color w:val="444444"/>
          <w:sz w:val="16"/>
          <w:szCs w:val="16"/>
        </w:rPr>
        <w:t>Úř. věst. L 348, 31.12.2010, s. 1;</w:t>
      </w:r>
      <w:r>
        <w:rPr>
          <w:rFonts w:ascii="Times New Roman" w:hAnsi="Times New Roman"/>
          <w:sz w:val="16"/>
          <w:szCs w:val="16"/>
        </w:rPr>
        <w:t xml:space="preserve"> směrnice Evropského parlamentu a Rady 2010/84/EU ze dne 15. prosince 2010, kterou se mění směrnice 2001/83/ES o kodexu Společenství týkajícím se humánních léčivých přípravků, pokud jde o farmakovigilanci, Úř. věst. L 348, 31.12.2010, s. 74. </w:t>
      </w:r>
    </w:p>
  </w:footnote>
  <w:footnote w:id="5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https://ec.europa.eu/health/sites/health/files/scientific_committees/scheer/docs/scheer_s_002.pdf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Směrnice 2008/105/ES, Úř. věst. L 348, 24.12.2008, s. 84. </w:t>
      </w:r>
    </w:p>
  </w:footnote>
  <w:footnote w:id="7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Směrnice 2013/39/EU, Úř. věst. L 226, 24.8.2013, s. 1. </w:t>
      </w:r>
    </w:p>
  </w:footnote>
  <w:footnote w:id="8">
    <w:p>
      <w:pPr>
        <w:pStyle w:val="Default"/>
        <w:spacing w:line="276" w:lineRule="auto"/>
        <w:ind w:left="130" w:hanging="130"/>
        <w:jc w:val="both"/>
      </w:pPr>
      <w:r>
        <w:rPr>
          <w:rStyle w:val="FootnoteReference"/>
          <w:sz w:val="16"/>
          <w:szCs w:val="16"/>
        </w:rPr>
        <w:footnoteRef/>
      </w:r>
      <w:r>
        <w:rPr>
          <w:bCs/>
          <w:sz w:val="16"/>
          <w:szCs w:val="16"/>
        </w:rPr>
        <w:t xml:space="preserve"> </w:t>
      </w:r>
      <w:r>
        <w:rPr>
          <w:sz w:val="16"/>
        </w:rPr>
        <w:t>6. bod odůvodnění směrnice 2010/84/EU, Úř. věst. L 348, 31.12.2010, s. 74.</w:t>
      </w:r>
    </w:p>
  </w:footnote>
  <w:footnote w:id="9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http://europa.eu/rapid/press-release_IP-16-3500_cs.htm</w:t>
      </w:r>
    </w:p>
  </w:footnote>
  <w:footnote w:id="10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https://ec.europa.eu/commission/publications/reflection-paper-towards-sustainable-europe-2030_cs</w:t>
      </w:r>
    </w:p>
  </w:footnote>
  <w:footnote w:id="11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444444"/>
          <w:sz w:val="16"/>
          <w:szCs w:val="16"/>
        </w:rPr>
        <w:t>COM/2017/0339 final: Sdělení Komise Radě a Evropskému parlamentu:</w:t>
      </w:r>
      <w:r>
        <w:rPr>
          <w:rFonts w:ascii="Segoe UI" w:hAnsi="Segoe UI"/>
          <w:color w:val="444444"/>
          <w:sz w:val="21"/>
        </w:rPr>
        <w:t xml:space="preserve"> </w:t>
      </w:r>
      <w:r>
        <w:rPr>
          <w:rFonts w:ascii="Times New Roman" w:hAnsi="Times New Roman"/>
          <w:sz w:val="16"/>
          <w:szCs w:val="16"/>
        </w:rPr>
        <w:t>Evropský akční plán „Jedno zdraví“ proti antimikrobiální rezistenci (AMR)</w:t>
      </w:r>
      <w:r>
        <w:t xml:space="preserve"> </w:t>
      </w:r>
      <w:hyperlink r:id="rId2" w:history="1">
        <w:r>
          <w:rPr>
            <w:rStyle w:val="Hyperlink"/>
            <w:rFonts w:ascii="Times New Roman" w:hAnsi="Times New Roman"/>
            <w:sz w:val="16"/>
            <w:szCs w:val="16"/>
          </w:rPr>
          <w:t>https://eur-lex.europa.eu/legal-content/CS/TXT/?uri=CELEX:52017DC0339</w:t>
        </w:r>
      </w:hyperlink>
      <w:r>
        <w:t>.</w:t>
      </w:r>
      <w:r>
        <w:rPr>
          <w:rStyle w:val="Hyperlink"/>
          <w:rFonts w:ascii="Times New Roman" w:hAnsi="Times New Roman"/>
          <w:sz w:val="16"/>
          <w:szCs w:val="16"/>
        </w:rPr>
        <w:t xml:space="preserve"> </w:t>
      </w:r>
    </w:p>
  </w:footnote>
  <w:footnote w:id="12">
    <w:p>
      <w:pPr>
        <w:pStyle w:val="FootnoteText"/>
        <w:spacing w:after="0"/>
        <w:ind w:left="130" w:hanging="130"/>
        <w:jc w:val="both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  <w:szCs w:val="16"/>
        </w:rPr>
        <w:t>Studie společnosti BIO Intelligence Service z roku 2013 o rizicích léčivých přípravků pro životní prostředí.</w:t>
      </w:r>
      <w:r>
        <w:t xml:space="preserve"> </w:t>
      </w:r>
      <w:r>
        <w:rPr>
          <w:rStyle w:val="Hyperlink"/>
          <w:rFonts w:ascii="Times New Roman" w:hAnsi="Times New Roman"/>
          <w:sz w:val="16"/>
          <w:szCs w:val="16"/>
        </w:rPr>
        <w:t>https://ec.europa.eu/health/sites/health/files/files/environment/study_environment.pdf</w:t>
      </w:r>
      <w:r>
        <w:rPr>
          <w:rFonts w:ascii="Times New Roman" w:hAnsi="Times New Roman"/>
          <w:sz w:val="16"/>
          <w:szCs w:val="16"/>
        </w:rPr>
        <w:t xml:space="preserve">; zpráva z pracovního setkání Komise z roku 2014 o léčivých přípravcích v životním prostředí </w:t>
      </w:r>
      <w:hyperlink r:id="rId3" w:history="1">
        <w:r>
          <w:rPr>
            <w:rStyle w:val="Hyperlink"/>
            <w:rFonts w:ascii="Times New Roman" w:hAnsi="Times New Roman"/>
            <w:sz w:val="16"/>
            <w:szCs w:val="16"/>
          </w:rPr>
          <w:t>https://circabc.europa.eu/w/browse/5d532921-1e1f-48f5-b0e0-3057798423ca</w:t>
        </w:r>
      </w:hyperlink>
      <w:r>
        <w:rPr>
          <w:rStyle w:val="Hyperlink"/>
          <w:rFonts w:ascii="Times New Roman" w:hAnsi="Times New Roman"/>
          <w:sz w:val="16"/>
          <w:szCs w:val="16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 xml:space="preserve">a </w:t>
      </w:r>
      <w:hyperlink r:id="rId4" w:anchor="strategic" w:history="1">
        <w:r>
          <w:rPr>
            <w:rStyle w:val="Hyperlink"/>
            <w:rFonts w:ascii="Times New Roman" w:hAnsi="Times New Roman"/>
            <w:sz w:val="16"/>
            <w:szCs w:val="16"/>
          </w:rPr>
          <w:t>http://ec.europa.eu/environment/water/water-dangersub/index.htm#strategic</w:t>
        </w:r>
      </w:hyperlink>
      <w:r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.</w:t>
      </w:r>
    </w:p>
  </w:footnote>
  <w:footnote w:id="13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5" w:anchor="strategic" w:history="1">
        <w:r>
          <w:rPr>
            <w:rStyle w:val="Hyperlink"/>
            <w:rFonts w:ascii="Times New Roman" w:hAnsi="Times New Roman"/>
            <w:sz w:val="16"/>
            <w:szCs w:val="16"/>
          </w:rPr>
          <w:t>http://ec.europa.eu/environment/water/water-dangersub/index.htm#strategic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14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6" w:anchor="strategic" w:history="1">
        <w:r>
          <w:rPr>
            <w:rStyle w:val="Hyperlink"/>
            <w:rFonts w:ascii="Times New Roman" w:hAnsi="Times New Roman"/>
            <w:sz w:val="16"/>
          </w:rPr>
          <w:t>http://ec.europa.eu/environment/water/water-dangersub/index.htm#strategic</w:t>
        </w:r>
      </w:hyperlink>
      <w:r>
        <w:rPr>
          <w:rFonts w:ascii="Times New Roman" w:hAnsi="Times New Roman"/>
          <w:sz w:val="16"/>
        </w:rPr>
        <w:t xml:space="preserve"> </w:t>
      </w:r>
    </w:p>
  </w:footnote>
  <w:footnote w:id="15">
    <w:p>
      <w:pPr>
        <w:pStyle w:val="FootnoteText"/>
        <w:spacing w:after="0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sz w:val="16"/>
            <w:szCs w:val="16"/>
          </w:rPr>
          <w:t>http://ec.europa.eu/environment/water/water-drink/pdf/20171215_EC_project_report_final_corrected.pdf</w:t>
        </w:r>
      </w:hyperlink>
      <w:r>
        <w:t xml:space="preserve"> </w:t>
      </w:r>
    </w:p>
  </w:footnote>
  <w:footnote w:id="16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Metabolity (produkty přeměny) mohou mít nižší biologickou aktivitu (viz případové studie na adrese </w:t>
      </w:r>
      <w:hyperlink r:id="rId8" w:history="1">
        <w:r>
          <w:rPr>
            <w:rStyle w:val="Hyperlink"/>
            <w:rFonts w:ascii="Times New Roman" w:hAnsi="Times New Roman"/>
            <w:sz w:val="16"/>
            <w:szCs w:val="16"/>
          </w:rPr>
          <w:t>http://ec.europa.eu/health/human-use/environment-medicines/index_en.htm</w:t>
        </w:r>
      </w:hyperlink>
      <w:r>
        <w:rPr>
          <w:rFonts w:ascii="Times New Roman" w:hAnsi="Times New Roman"/>
          <w:sz w:val="16"/>
          <w:szCs w:val="16"/>
        </w:rPr>
        <w:t>), ale například konjugací mohou být během čištění odpadních vod přeměněny zpět na původní léčivou látku nebo mohou vykazovat podobnou biologickou aktivitu.</w:t>
      </w:r>
    </w:p>
  </w:footnote>
  <w:footnote w:id="17">
    <w:p>
      <w:pPr>
        <w:pStyle w:val="FootnoteText"/>
        <w:spacing w:after="0"/>
        <w:jc w:val="both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Niemuth NJ a Klaper RD 2015. Chemosphere 135: 38–45 Fent K 2015. Environ Int 84:115–30; Matthiessen P a Sumpter JP 1998. </w:t>
      </w:r>
      <w:r>
        <w:rPr>
          <w:rFonts w:ascii="Times New Roman" w:hAnsi="Times New Roman"/>
          <w:sz w:val="16"/>
        </w:rPr>
        <w:t>EXS. 86:319–35.</w:t>
      </w:r>
    </w:p>
  </w:footnote>
  <w:footnote w:id="18">
    <w:p>
      <w:pPr>
        <w:pStyle w:val="FootnoteText"/>
        <w:spacing w:after="0"/>
        <w:jc w:val="both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Kidd KA et al 2007. PNAS 104(21): 8897–8901.</w:t>
      </w:r>
    </w:p>
  </w:footnote>
  <w:footnote w:id="19">
    <w:p>
      <w:pPr>
        <w:pStyle w:val="FootnoteText"/>
        <w:spacing w:after="0"/>
        <w:jc w:val="both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Dzieweczynski, TL et al. 2016. J Exp Biol. 219: 797–804.</w:t>
      </w:r>
    </w:p>
  </w:footnote>
  <w:footnote w:id="20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Richards NL et al. 2011. Eur J Wild Res 57(5): 1107–1114.</w:t>
      </w:r>
    </w:p>
  </w:footnote>
  <w:footnote w:id="21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Naidoo V et al. 2009. Regul Toxicol Pharmacol 53(3): 205–8.</w:t>
      </w:r>
    </w:p>
  </w:footnote>
  <w:footnote w:id="22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Verdú JR et al. 2015. Scientific Reports 5: 13912.</w:t>
      </w:r>
    </w:p>
  </w:footnote>
  <w:footnote w:id="23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LIFE11 NAT/BE/001060,</w:t>
      </w:r>
      <w:hyperlink r:id="rId9" w:history="1">
        <w:r>
          <w:rPr>
            <w:rStyle w:val="Hyperlink"/>
            <w:rFonts w:ascii="Times New Roman" w:hAnsi="Times New Roman"/>
            <w:sz w:val="16"/>
            <w:szCs w:val="16"/>
          </w:rPr>
          <w:t>http://www.lifeprairiesbocageres.eu/fileadmin/Life/Prairies_bocageres/brochure_LPB_antiparasitaires_final.pdf</w:t>
        </w:r>
      </w:hyperlink>
      <w:r>
        <w:t>.</w:t>
      </w:r>
    </w:p>
  </w:footnote>
  <w:footnote w:id="24">
    <w:p>
      <w:pPr>
        <w:pStyle w:val="FootnoteText"/>
        <w:spacing w:after="0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t xml:space="preserve"> </w:t>
      </w:r>
      <w:hyperlink r:id="rId10" w:history="1">
        <w:r>
          <w:rPr>
            <w:rStyle w:val="Hyperlink"/>
            <w:rFonts w:ascii="Times New Roman" w:hAnsi="Times New Roman"/>
            <w:sz w:val="16"/>
            <w:szCs w:val="16"/>
          </w:rPr>
          <w:t>http://ec.europa.eu/environment/water/water-drink/pdf/20171215_EC_project_report_final_corrected.pdf</w:t>
        </w:r>
      </w:hyperlink>
      <w:r>
        <w:t xml:space="preserve"> </w:t>
      </w:r>
    </w:p>
  </w:footnote>
  <w:footnote w:id="25">
    <w:p>
      <w:pPr>
        <w:pStyle w:val="FootnoteText"/>
        <w:spacing w:after="0"/>
      </w:pPr>
      <w:r>
        <w:rPr>
          <w:rStyle w:val="FootnoteReference"/>
          <w:rFonts w:ascii="Times New Roman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Koncentrace obvykle o několik řádů nižší než minimální léčebná dávka.</w:t>
      </w:r>
    </w:p>
  </w:footnote>
  <w:footnote w:id="26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sz w:val="16"/>
            <w:szCs w:val="16"/>
          </w:rPr>
          <w:t>http://apps.who.int/iris/bitstream/10665/44630/1/9789241502085_eng.pdf?ua=1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27">
    <w:p>
      <w:pPr>
        <w:pStyle w:val="FootnoteText"/>
        <w:spacing w:after="0"/>
      </w:pPr>
      <w:r>
        <w:rPr>
          <w:rStyle w:val="FootnoteReference"/>
          <w:rFonts w:ascii="Times New Roman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COM(2017) 753 final: Návrh směrnice Evropského parlamentu a Rady o jakosti vody určené k lidské spotřebě (přepracované znění).</w:t>
      </w:r>
    </w:p>
  </w:footnote>
  <w:footnote w:id="28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KOM(2011) 748 </w:t>
      </w:r>
      <w:r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v konečném znění: Sdělení Komise Evropskému parlamentu a Radě – Akční plán proti rostoucím hrozbám antimikrobiální rezistence.</w:t>
      </w:r>
    </w:p>
  </w:footnote>
  <w:footnote w:id="29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např. ECDC/EFSA/EMA, 2015. EFSA Journal 2015;13(1):4006, 114 s. doi:10.2903/j.efsa.2015.4006;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Finley RL et al. 2013. Clinical Infectious Diseases 57(5): 704–710.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</w:footnote>
  <w:footnote w:id="30">
    <w:p>
      <w:pPr>
        <w:pStyle w:val="FootnoteText"/>
        <w:spacing w:after="0"/>
        <w:ind w:left="14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16"/>
            <w:szCs w:val="16"/>
          </w:rPr>
          <w:t>Viz</w:t>
        </w:r>
      </w:hyperlink>
      <w:r>
        <w:rPr>
          <w:rFonts w:ascii="Times New Roman" w:hAnsi="Times New Roman"/>
          <w:color w:val="444444"/>
          <w:sz w:val="16"/>
          <w:szCs w:val="16"/>
        </w:rPr>
        <w:t xml:space="preserve"> poznámka pod čarou č. 10.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31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Lubbert C et al. 2018. Scientific Reports 45: 479. </w:t>
      </w:r>
    </w:p>
  </w:footnote>
  <w:footnote w:id="32">
    <w:p>
      <w:pPr>
        <w:pStyle w:val="FootnoteText"/>
        <w:spacing w:after="0"/>
        <w:rPr>
          <w:rFonts w:ascii="Times New Roman" w:hAnsi="Times New Roman"/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>Knappe, Poseidon, Endetech, Pharmas, Cytothreat, Radar, Demeau, DePharm, Pharm AD, Solutions</w:t>
      </w:r>
    </w:p>
    <w:p>
      <w:pPr>
        <w:pStyle w:val="FootnoteText"/>
        <w:spacing w:after="0"/>
      </w:pPr>
      <w:hyperlink r:id="rId13" w:history="1">
        <w:r>
          <w:rPr>
            <w:rStyle w:val="Hyperlink"/>
            <w:rFonts w:ascii="Times New Roman" w:hAnsi="Times New Roman"/>
            <w:sz w:val="16"/>
          </w:rPr>
          <w:t>https://cordis.europa.eu/projects/home_en.html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33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Směrnice Evropského parlamentu a Rady 2000/60/ES ze dne 23. října 2000, kterou se stanoví rámec pro činnost Společenství v oblasti vodní politiky, Úř. věst. L 327, 22.12.2000, s. 1.</w:t>
      </w:r>
    </w:p>
  </w:footnote>
  <w:footnote w:id="34">
    <w:p>
      <w:pPr>
        <w:pStyle w:val="FootnoteText"/>
        <w:spacing w:after="60"/>
        <w:ind w:left="140" w:hanging="14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Prováděcí rozhodnutí Komise (EU) 2018/840 ze dne 5. června 2018, kterým se stanoví seznam sledovaných látek pro monitorování v rámci celé Unie v oblasti vodní politiky podle směrnice Evropského parlamentu a Rady 2008/105/ES a zrušuje prováděcí rozhodnutí Komise (EU) 2015/495, Úř. věst. L 141, 7.6.2018, s. 9.</w:t>
      </w:r>
    </w:p>
  </w:footnote>
  <w:footnote w:id="35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„Groundwater Watch List“ (seznam sledovaných látek v podzemních vodách): „Pharmaceuticals Pilot Study 2016“ (pilotní studie o léčivých přípravcích z roku 2016). </w:t>
      </w:r>
      <w:hyperlink r:id="rId14" w:history="1">
        <w:r>
          <w:rPr>
            <w:rStyle w:val="Hyperlink"/>
            <w:rFonts w:ascii="Times New Roman" w:hAnsi="Times New Roman"/>
            <w:sz w:val="16"/>
            <w:szCs w:val="16"/>
          </w:rPr>
          <w:t>https://circabc.europa.eu/w/browse/a1e23792-6ecd-4b34-b86c-dcb6f1c7ad1c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36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5" w:history="1">
        <w:r>
          <w:rPr>
            <w:rStyle w:val="Hyperlink"/>
            <w:rFonts w:ascii="Times New Roman" w:hAnsi="Times New Roman"/>
            <w:sz w:val="16"/>
            <w:szCs w:val="16"/>
          </w:rPr>
          <w:t>http://i-pie.org/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37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6" w:history="1">
        <w:r>
          <w:rPr>
            <w:rStyle w:val="Hyperlink"/>
            <w:rFonts w:ascii="Times New Roman" w:hAnsi="Times New Roman"/>
            <w:sz w:val="16"/>
            <w:szCs w:val="16"/>
          </w:rPr>
          <w:t>https://www.phar-in.eu/wp-content/uploads/2014/05/Figures_2014_Final.pdf</w:t>
        </w:r>
      </w:hyperlink>
      <w:r>
        <w:rPr>
          <w:rFonts w:ascii="Times New Roman" w:hAnsi="Times New Roman"/>
          <w:sz w:val="16"/>
          <w:szCs w:val="16"/>
        </w:rPr>
        <w:t xml:space="preserve">; </w:t>
      </w:r>
      <w:hyperlink r:id="rId17" w:history="1">
        <w:r>
          <w:rPr>
            <w:rStyle w:val="Hyperlink"/>
            <w:rFonts w:ascii="Times New Roman" w:hAnsi="Times New Roman"/>
            <w:sz w:val="16"/>
            <w:szCs w:val="16"/>
          </w:rPr>
          <w:t>https://www.efpia.eu/media/361960/efpia-pharmafigures2018_v07-hq.pdf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38">
    <w:p>
      <w:pPr>
        <w:pStyle w:val="GridTable21"/>
        <w:spacing w:before="0" w:after="0" w:line="276" w:lineRule="auto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color w:val="auto"/>
          <w:sz w:val="16"/>
        </w:rPr>
        <w:t xml:space="preserve">OECD (2019), „Pharmaceutical market“ (Trh s léčivými přípravky), </w:t>
      </w:r>
      <w:r>
        <w:rPr>
          <w:rFonts w:ascii="Times New Roman" w:hAnsi="Times New Roman"/>
          <w:i/>
          <w:iCs/>
          <w:color w:val="auto"/>
          <w:sz w:val="16"/>
        </w:rPr>
        <w:t>OECD Health Statistics</w:t>
      </w:r>
      <w:r>
        <w:rPr>
          <w:rFonts w:ascii="Times New Roman" w:hAnsi="Times New Roman"/>
          <w:color w:val="auto"/>
          <w:sz w:val="16"/>
        </w:rPr>
        <w:t xml:space="preserve"> (databáze),</w:t>
      </w:r>
      <w:r>
        <w:rPr>
          <w:rFonts w:ascii="Times New Roman" w:hAnsi="Times New Roman"/>
          <w:sz w:val="16"/>
        </w:rPr>
        <w:t xml:space="preserve"> </w:t>
      </w:r>
      <w:hyperlink r:id="rId18" w:history="1">
        <w:r>
          <w:rPr>
            <w:rFonts w:ascii="Times New Roman" w:hAnsi="Times New Roman"/>
            <w:color w:val="0000FF"/>
            <w:sz w:val="16"/>
            <w:u w:val="single"/>
          </w:rPr>
          <w:t>https://doi.org/10.1787/data-00545-en</w:t>
        </w:r>
      </w:hyperlink>
      <w:r>
        <w:rPr>
          <w:rFonts w:ascii="Times New Roman" w:hAnsi="Times New Roman"/>
          <w:color w:val="auto"/>
          <w:sz w:val="16"/>
        </w:rPr>
        <w:t xml:space="preserve"> (údaje ze 7. ledna 2019).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</w:footnote>
  <w:footnote w:id="39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9" w:history="1">
        <w:r>
          <w:rPr>
            <w:rStyle w:val="Hyperlink"/>
            <w:rFonts w:ascii="Times New Roman" w:hAnsi="Times New Roman"/>
            <w:sz w:val="16"/>
            <w:szCs w:val="16"/>
          </w:rPr>
          <w:t>https://www.ema.europa.eu/en/veterinary-regulatory/overview/antimicrobial-resistance-veterinary-medicine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40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20" w:history="1">
        <w:r>
          <w:rPr>
            <w:rStyle w:val="Hyperlink"/>
            <w:rFonts w:ascii="Times New Roman" w:hAnsi="Times New Roman"/>
            <w:sz w:val="16"/>
            <w:szCs w:val="16"/>
          </w:rPr>
          <w:t>https://www.ema.europa.eu/documents/report/trends-sales-veterinary-antimicrobial-agents-nine-european-countries_en.pdf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41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21" w:history="1">
        <w:r>
          <w:rPr>
            <w:rStyle w:val="Hyperlink"/>
            <w:rFonts w:ascii="Times New Roman" w:hAnsi="Times New Roman"/>
            <w:sz w:val="16"/>
            <w:szCs w:val="16"/>
          </w:rPr>
          <w:t>https://www.ema.europa.eu/documents/report/sales-veterinary-antimicrobial-agents-30-european-countries-2016-trends-2010-2016-eighth-esvac_en.pdf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42">
    <w:p>
      <w:pPr>
        <w:pStyle w:val="FootnoteText"/>
        <w:spacing w:after="0"/>
        <w:ind w:left="130" w:hanging="130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hyperlink r:id="rId22" w:history="1">
        <w:r>
          <w:rPr>
            <w:rFonts w:ascii="Times New Roman" w:hAnsi="Times New Roman"/>
            <w:bCs/>
            <w:color w:val="000000"/>
            <w:sz w:val="16"/>
            <w:szCs w:val="16"/>
          </w:rPr>
          <w:t>Nařízení Evropského parlamentu a Rady (EU) 2019/6 ze dne 11. prosince 2018 o veterinárních léčivých přípravcích a o zrušení směrnice 2001/82/ES</w:t>
        </w:r>
      </w:hyperlink>
      <w:r>
        <w:rPr>
          <w:rFonts w:ascii="Times New Roman" w:hAnsi="Times New Roman"/>
          <w:sz w:val="16"/>
        </w:rPr>
        <w:t>, Úř. věst. L 4, 7.1.2019, s. 43, a směrnice Evropského parlamentu a Rady 2001/83/ES</w:t>
      </w:r>
      <w:r>
        <w:rPr>
          <w:rFonts w:ascii="Times New Roman" w:hAnsi="Times New Roman"/>
          <w:color w:val="444444"/>
          <w:sz w:val="16"/>
        </w:rPr>
        <w:t xml:space="preserve"> ze dne 6. listopadu 2001 o kodexu Společenství týkajícím se humánních léčivých přípravků</w:t>
      </w:r>
      <w:r>
        <w:rPr>
          <w:rFonts w:ascii="Times New Roman" w:hAnsi="Times New Roman"/>
          <w:sz w:val="16"/>
        </w:rPr>
        <w:t>, Úř. věst. L 311, 28.11.2001, s. 67, ve znění pozdějších předpisů.</w:t>
      </w:r>
    </w:p>
  </w:footnote>
  <w:footnote w:id="43">
    <w:p>
      <w:pPr>
        <w:pStyle w:val="FootnoteText"/>
        <w:spacing w:after="0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hyperlink r:id="rId23" w:history="1">
        <w:r>
          <w:rPr>
            <w:rFonts w:ascii="Times New Roman" w:hAnsi="Times New Roman"/>
            <w:bCs/>
            <w:color w:val="000000"/>
            <w:sz w:val="16"/>
            <w:szCs w:val="16"/>
          </w:rPr>
          <w:t>Nařízení (EU) 2019/6 jako</w:t>
        </w:r>
      </w:hyperlink>
      <w:r>
        <w:rPr>
          <w:rFonts w:ascii="Times New Roman" w:hAnsi="Times New Roman"/>
          <w:bCs/>
          <w:color w:val="000000"/>
          <w:sz w:val="16"/>
          <w:szCs w:val="16"/>
        </w:rPr>
        <w:t xml:space="preserve"> v předchozí poznámce pod čarou. </w:t>
      </w:r>
    </w:p>
  </w:footnote>
  <w:footnote w:id="44">
    <w:p>
      <w:pPr>
        <w:pStyle w:val="FootnoteText"/>
        <w:spacing w:after="0"/>
        <w:ind w:left="130" w:hanging="130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Studie společnosti BIO Intelligence Service z roku 2013 (viz poznámka pod čarou 11): kapitola 8.</w:t>
      </w:r>
      <w:r>
        <w:rPr>
          <w:rFonts w:ascii="Times New Roman" w:hAnsi="Times New Roman"/>
          <w:color w:val="1F497D"/>
          <w:sz w:val="16"/>
          <w:szCs w:val="16"/>
        </w:rPr>
        <w:t xml:space="preserve"> </w:t>
      </w:r>
    </w:p>
  </w:footnote>
  <w:footnote w:id="45">
    <w:p>
      <w:pPr>
        <w:pStyle w:val="FootnoteText"/>
        <w:spacing w:after="0"/>
        <w:ind w:left="153" w:hanging="153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COM(2018) 734 final: Sdělení Komise Evropskému parlamentu, Radě, Evropskému hospodářskému a sociálnímu výboru a Výboru regionů: „Vytváření uceleného rámce Evropské unie pro endokrinní disruptory“.</w:t>
      </w:r>
    </w:p>
  </w:footnote>
  <w:footnote w:id="46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Style w:val="Strong"/>
          <w:rFonts w:ascii="Times New Roman" w:hAnsi="Times New Roman"/>
          <w:b w:val="0"/>
          <w:color w:val="444444"/>
          <w:sz w:val="16"/>
          <w:szCs w:val="16"/>
        </w:rPr>
        <w:t>Nařízení Evropského parlamentu a Rady (ES) č. 1272/2008</w:t>
      </w:r>
      <w:r>
        <w:rPr>
          <w:rFonts w:ascii="Roboto" w:hAnsi="Roboto"/>
          <w:color w:val="444444"/>
          <w:sz w:val="21"/>
          <w:szCs w:val="21"/>
        </w:rPr>
        <w:t xml:space="preserve"> </w:t>
      </w:r>
      <w:r>
        <w:rPr>
          <w:rFonts w:ascii="Times New Roman" w:hAnsi="Times New Roman"/>
          <w:color w:val="444444"/>
          <w:sz w:val="16"/>
          <w:szCs w:val="16"/>
        </w:rPr>
        <w:t>ze dne 16. prosince 2008 o klasifikaci, označování a balení látek a směsí, o změně a zrušení směrnic 67/548/EHS a 1999/45/ES a o změně nařízení (ES) č. 1907/2006</w:t>
      </w:r>
      <w:r>
        <w:rPr>
          <w:rStyle w:val="Strong"/>
          <w:rFonts w:ascii="Times New Roman" w:hAnsi="Times New Roman"/>
          <w:b w:val="0"/>
          <w:color w:val="444444"/>
          <w:sz w:val="16"/>
          <w:szCs w:val="16"/>
        </w:rPr>
        <w:t xml:space="preserve">, Úř. věst. L 353, 31.12.2008, s. 1; </w:t>
      </w:r>
      <w:r>
        <w:rPr>
          <w:rFonts w:ascii="Times New Roman" w:hAnsi="Times New Roman"/>
          <w:sz w:val="16"/>
        </w:rPr>
        <w:t xml:space="preserve">nařízení Evropského parlamentu a Rady (ES) č. 1907/2006 </w:t>
      </w:r>
      <w:r>
        <w:rPr>
          <w:rFonts w:ascii="Times New Roman" w:hAnsi="Times New Roman"/>
          <w:color w:val="444444"/>
          <w:sz w:val="16"/>
        </w:rPr>
        <w:t>ze dne 18. prosince 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>
        <w:rPr>
          <w:rFonts w:ascii="Times New Roman" w:hAnsi="Times New Roman"/>
          <w:sz w:val="16"/>
        </w:rPr>
        <w:t>, Úř. věst. L 396, 30.12.2006, s. 1.</w:t>
      </w:r>
    </w:p>
  </w:footnote>
  <w:footnote w:id="47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Ustanovení o omezování v nařízení REACH jsou ustanovení umožňující, aby výroba látek, jejich uvádění na trh nebo jejich používání podléhaly určitým podmínkám, případně byly zakázány s cílem řešit zjištěná rizika, která nejsou náležitě kontrolována; v praxi nejsou tato ustanovení ve vztahu k léčivým přípravkům uplatňována.</w:t>
      </w:r>
    </w:p>
  </w:footnote>
  <w:footnote w:id="48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Byla udělena některá povolení.</w:t>
      </w:r>
    </w:p>
  </w:footnote>
  <w:footnote w:id="49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24" w:history="1">
        <w:r>
          <w:rPr>
            <w:rStyle w:val="Hyperlink"/>
            <w:rFonts w:ascii="Times New Roman" w:hAnsi="Times New Roman"/>
            <w:sz w:val="16"/>
            <w:szCs w:val="16"/>
          </w:rPr>
          <w:t>http://ec.europa.eu/environment/chemicals/reach/pdf/studies_review2012/report_study8.pdf</w:t>
        </w:r>
      </w:hyperlink>
    </w:p>
  </w:footnote>
  <w:footnote w:id="50">
    <w:p>
      <w:pPr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„The Netherlands Chain approach to reduce pharmaceutical residues in water“ (Přístup nizozemského řetězce k omezení reziduí léčivých přípravků ve vodě). 2018. Abstrakt pro pracovní seminář OECD o kontaminujících látkách. </w:t>
      </w:r>
    </w:p>
  </w:footnote>
  <w:footnote w:id="51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25" w:history="1">
        <w:r>
          <w:rPr>
            <w:rStyle w:val="Hyperlink"/>
            <w:rFonts w:ascii="Times New Roman" w:hAnsi="Times New Roman"/>
            <w:sz w:val="16"/>
            <w:szCs w:val="16"/>
          </w:rPr>
          <w:t>https://www.fass.se/LIF/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52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Např. akce meziskupiny Evropského parlamentu pro změnu klimatu, biologickou rozmanitost a udržitelný rozvoj ze dne 29. listopadu 2017 </w:t>
      </w:r>
      <w:hyperlink r:id="rId26" w:history="1">
        <w:r>
          <w:rPr>
            <w:rStyle w:val="Hyperlink"/>
            <w:rFonts w:ascii="Times New Roman" w:hAnsi="Times New Roman"/>
            <w:sz w:val="16"/>
            <w:szCs w:val="16"/>
          </w:rPr>
          <w:t>http://ebcd.org/event/pharmaceuticals-in-the-environment/</w:t>
        </w:r>
      </w:hyperlink>
      <w:r>
        <w:t>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53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27" w:history="1">
        <w:r>
          <w:rPr>
            <w:rStyle w:val="Hyperlink"/>
            <w:rFonts w:ascii="Times New Roman" w:hAnsi="Times New Roman"/>
            <w:sz w:val="16"/>
            <w:szCs w:val="16"/>
          </w:rPr>
          <w:t>https://www.parlament.ch/centers/eparl/curia/2012/20123090/Bericht%20BR%20D.pdf</w:t>
        </w:r>
      </w:hyperlink>
    </w:p>
  </w:footnote>
  <w:footnote w:id="54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SAICM </w:t>
      </w:r>
      <w:hyperlink r:id="rId28" w:history="1">
        <w:r>
          <w:rPr>
            <w:rStyle w:val="Hyperlink"/>
            <w:rFonts w:ascii="Times New Roman" w:hAnsi="Times New Roman"/>
            <w:sz w:val="16"/>
            <w:szCs w:val="16"/>
          </w:rPr>
          <w:t>http://www.saicm.org/EmergingPolicyIssues/Pharmaceuticalnbsp;Pollutants/tabid/5477/language/en-US/Default.aspx</w:t>
        </w:r>
      </w:hyperlink>
      <w:r>
        <w:t>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55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>Komise na ochranu Baltského mořského prostředí:</w:t>
      </w:r>
      <w:r>
        <w:t xml:space="preserve"> </w:t>
      </w:r>
      <w:hyperlink r:id="rId29" w:history="1">
        <w:r>
          <w:rPr>
            <w:rStyle w:val="Hyperlink"/>
            <w:rFonts w:ascii="Times New Roman" w:hAnsi="Times New Roman"/>
            <w:sz w:val="16"/>
            <w:szCs w:val="16"/>
          </w:rPr>
          <w:t>http://www.helcom.fi/news/Pages/Pharmaceuticals-in-Baltic-waters--new-status-report-by-UNESCO-and-HELCOM.aspx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56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hyperlink r:id="rId30" w:history="1">
        <w:r>
          <w:rPr>
            <w:rStyle w:val="Hyperlink"/>
            <w:rFonts w:ascii="Times New Roman" w:hAnsi="Times New Roman"/>
            <w:sz w:val="16"/>
            <w:szCs w:val="16"/>
          </w:rPr>
          <w:t>http://www.oecd.org/water/oecdworkshoponmanagingcontaminantsofemergingconcerninsurfacewaters.htm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57">
    <w:p>
      <w:pPr>
        <w:pStyle w:val="FootnoteText"/>
        <w:spacing w:after="0"/>
        <w:ind w:left="130" w:hanging="13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Dohled nad otázkami životního prostředí a farmakologie </w:t>
      </w:r>
      <w:hyperlink r:id="rId31" w:history="1">
        <w:r>
          <w:rPr>
            <w:rStyle w:val="Hyperlink"/>
            <w:rFonts w:ascii="Times New Roman" w:hAnsi="Times New Roman"/>
            <w:sz w:val="16"/>
            <w:szCs w:val="16"/>
          </w:rPr>
          <w:t>https://www.efpia.eu/media/25628/eps-a-holistic-environmental-risk-management-program.pdf</w:t>
        </w:r>
      </w:hyperlink>
      <w:r>
        <w:rPr>
          <w:rFonts w:ascii="Times New Roman" w:hAnsi="Times New Roman"/>
          <w:sz w:val="16"/>
          <w:szCs w:val="16"/>
        </w:rPr>
        <w:t xml:space="preserve"> a </w:t>
      </w:r>
      <w:hyperlink r:id="rId32" w:history="1">
        <w:r>
          <w:rPr>
            <w:rStyle w:val="Hyperlink"/>
            <w:rFonts w:ascii="Times New Roman" w:hAnsi="Times New Roman"/>
            <w:sz w:val="16"/>
            <w:szCs w:val="16"/>
          </w:rPr>
          <w:t>https://www.efpia.eu/media/288586/pie-brochure.pdf</w:t>
        </w:r>
      </w:hyperlink>
      <w:r>
        <w:t>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58"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926"/>
      </w:tblGrid>
      <w:tr>
        <w:tc>
          <w:tcPr>
            <w:tcW w:w="0" w:type="auto"/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444444"/>
                <w:sz w:val="16"/>
                <w:szCs w:val="16"/>
              </w:rPr>
              <w:t xml:space="preserve"> </w:t>
            </w:r>
            <w:hyperlink r:id="rId33" w:history="1">
              <w:r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Nařízení Evropského parlamentu a Rady (EU) 2019/6 ze dne 11. prosince 2018 o veterinárních léčivých přípravcích a o zrušení směrnice 2001/82/ES</w:t>
              </w:r>
            </w:hyperlink>
            <w:r>
              <w:rPr>
                <w:rFonts w:ascii="Times New Roman" w:hAnsi="Times New Roman"/>
                <w:sz w:val="16"/>
              </w:rPr>
              <w:t>, Úř. věst. L 4, 7.1.2019, s. 43.</w:t>
            </w:r>
          </w:p>
        </w:tc>
      </w:tr>
    </w:tbl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</w:p>
  </w:footnote>
  <w:footnote w:id="59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Například pokud jde o potenciální uplatnění příslušných zásad stanovení priorit identifikovaných v probíhajícím projektu iniciativy pro inovativní léčiva, který se týká posuzování léčivých přípravků v životním prostředí na základě informačních hlášení (</w:t>
      </w:r>
      <w:hyperlink r:id="rId34" w:history="1">
        <w:r>
          <w:rPr>
            <w:rStyle w:val="Hyperlink"/>
            <w:rFonts w:ascii="Times New Roman" w:hAnsi="Times New Roman"/>
            <w:sz w:val="16"/>
            <w:szCs w:val="16"/>
          </w:rPr>
          <w:t>http://i-pie.org/</w:t>
        </w:r>
      </w:hyperlink>
      <w:r>
        <w:rPr>
          <w:rFonts w:ascii="Times New Roman" w:hAnsi="Times New Roman"/>
          <w:sz w:val="16"/>
          <w:szCs w:val="16"/>
        </w:rPr>
        <w:t>) a má být dokončen do konce roku 2019.</w:t>
      </w:r>
    </w:p>
  </w:footnote>
  <w:footnote w:id="60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V současné době se zabývá pouze intenzivním chovem prasat a drůbeže (</w:t>
      </w:r>
      <w:hyperlink r:id="rId35" w:history="1">
        <w:r>
          <w:rPr>
            <w:rStyle w:val="Hyperlink"/>
            <w:rFonts w:ascii="Times New Roman" w:hAnsi="Times New Roman"/>
            <w:sz w:val="16"/>
            <w:szCs w:val="16"/>
          </w:rPr>
          <w:t>http://eippcb.jrc.ec.europa.eu/reference/irpp.html</w:t>
        </w:r>
      </w:hyperlink>
      <w:r>
        <w:rPr>
          <w:rFonts w:ascii="Times New Roman" w:hAnsi="Times New Roman"/>
          <w:sz w:val="16"/>
          <w:szCs w:val="16"/>
        </w:rPr>
        <w:t>).</w:t>
      </w:r>
    </w:p>
  </w:footnote>
  <w:footnote w:id="61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36" w:history="1">
        <w:r>
          <w:rPr>
            <w:rStyle w:val="Hyperlink"/>
            <w:rFonts w:ascii="Times New Roman" w:hAnsi="Times New Roman"/>
            <w:sz w:val="16"/>
            <w:szCs w:val="16"/>
          </w:rPr>
          <w:t>https://ipchem.jrc.ec.europa.eu/RDSIdiscovery/ipchem/index.html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62">
    <w:p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37" w:history="1">
        <w:r>
          <w:rPr>
            <w:rStyle w:val="Hyperlink"/>
            <w:rFonts w:ascii="Times New Roman" w:hAnsi="Times New Roman"/>
            <w:sz w:val="16"/>
            <w:szCs w:val="16"/>
          </w:rPr>
          <w:t>https://esdac.jrc.ec.europa.eu/projects/lucas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20A6174"/>
    <w:lvl w:ilvl="0">
      <w:start w:val="1"/>
      <w:numFmt w:val="decimal"/>
      <w:pStyle w:val="ListBullet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52D649BE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00E9167C"/>
    <w:multiLevelType w:val="hybridMultilevel"/>
    <w:tmpl w:val="A6767EDC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E7E23"/>
    <w:multiLevelType w:val="hybridMultilevel"/>
    <w:tmpl w:val="77C4369E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E2426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2747"/>
    <w:multiLevelType w:val="multilevel"/>
    <w:tmpl w:val="FBD0F48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FE16B2A"/>
    <w:multiLevelType w:val="hybridMultilevel"/>
    <w:tmpl w:val="CB3439B8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A4754"/>
    <w:multiLevelType w:val="hybridMultilevel"/>
    <w:tmpl w:val="33165F70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674C4"/>
    <w:multiLevelType w:val="singleLevel"/>
    <w:tmpl w:val="8A2AF054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15592001"/>
    <w:multiLevelType w:val="singleLevel"/>
    <w:tmpl w:val="3C6C7C7E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0">
    <w:nsid w:val="158411A6"/>
    <w:multiLevelType w:val="singleLevel"/>
    <w:tmpl w:val="891A2EB2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>
    <w:nsid w:val="1B042FE5"/>
    <w:multiLevelType w:val="hybridMultilevel"/>
    <w:tmpl w:val="1E4A414C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6FCD"/>
    <w:multiLevelType w:val="hybridMultilevel"/>
    <w:tmpl w:val="BEB46F60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672A0"/>
    <w:multiLevelType w:val="hybridMultilevel"/>
    <w:tmpl w:val="7360B1F6"/>
    <w:lvl w:ilvl="0" w:tplc="AE242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1162DB"/>
    <w:multiLevelType w:val="singleLevel"/>
    <w:tmpl w:val="B27E1B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>
    <w:nsid w:val="2F076C74"/>
    <w:multiLevelType w:val="multilevel"/>
    <w:tmpl w:val="CC8EDB14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6">
    <w:nsid w:val="31AF36D6"/>
    <w:multiLevelType w:val="hybridMultilevel"/>
    <w:tmpl w:val="F32696BC"/>
    <w:lvl w:ilvl="0" w:tplc="AE242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E464B6"/>
    <w:multiLevelType w:val="hybridMultilevel"/>
    <w:tmpl w:val="A72A6B6C"/>
    <w:lvl w:ilvl="0" w:tplc="AE242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E05A5"/>
    <w:multiLevelType w:val="hybridMultilevel"/>
    <w:tmpl w:val="765E7D32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45D5B"/>
    <w:multiLevelType w:val="multilevel"/>
    <w:tmpl w:val="4AE6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F3500"/>
    <w:multiLevelType w:val="singleLevel"/>
    <w:tmpl w:val="84DA1EE8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421905EE"/>
    <w:multiLevelType w:val="hybridMultilevel"/>
    <w:tmpl w:val="6490618C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05FD8"/>
    <w:multiLevelType w:val="hybridMultilevel"/>
    <w:tmpl w:val="3C248990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47C56"/>
    <w:multiLevelType w:val="multilevel"/>
    <w:tmpl w:val="77E0331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3B26268"/>
    <w:multiLevelType w:val="singleLevel"/>
    <w:tmpl w:val="491E6360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5">
    <w:nsid w:val="6EC300CA"/>
    <w:multiLevelType w:val="singleLevel"/>
    <w:tmpl w:val="055ABBD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>
    <w:nsid w:val="712E4B18"/>
    <w:multiLevelType w:val="singleLevel"/>
    <w:tmpl w:val="66ECC29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7">
    <w:nsid w:val="717D1380"/>
    <w:multiLevelType w:val="hybridMultilevel"/>
    <w:tmpl w:val="AAD06036"/>
    <w:lvl w:ilvl="0" w:tplc="260CD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504D5"/>
    <w:multiLevelType w:val="singleLevel"/>
    <w:tmpl w:val="1BC6DBFC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9">
    <w:nsid w:val="7B454D54"/>
    <w:multiLevelType w:val="singleLevel"/>
    <w:tmpl w:val="8A02E4B2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7E8224EA"/>
    <w:multiLevelType w:val="singleLevel"/>
    <w:tmpl w:val="34DEB8CE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8"/>
  </w:num>
  <w:num w:numId="5">
    <w:abstractNumId w:val="14"/>
  </w:num>
  <w:num w:numId="6">
    <w:abstractNumId w:val="26"/>
  </w:num>
  <w:num w:numId="7">
    <w:abstractNumId w:val="29"/>
  </w:num>
  <w:num w:numId="8">
    <w:abstractNumId w:val="5"/>
  </w:num>
  <w:num w:numId="9">
    <w:abstractNumId w:val="23"/>
  </w:num>
  <w:num w:numId="10">
    <w:abstractNumId w:val="15"/>
  </w:num>
  <w:num w:numId="11">
    <w:abstractNumId w:val="9"/>
  </w:num>
  <w:num w:numId="12">
    <w:abstractNumId w:val="20"/>
  </w:num>
  <w:num w:numId="13">
    <w:abstractNumId w:val="10"/>
  </w:num>
  <w:num w:numId="14">
    <w:abstractNumId w:val="28"/>
  </w:num>
  <w:num w:numId="15">
    <w:abstractNumId w:val="25"/>
  </w:num>
  <w:num w:numId="16">
    <w:abstractNumId w:val="24"/>
  </w:num>
  <w:num w:numId="17">
    <w:abstractNumId w:val="7"/>
  </w:num>
  <w:num w:numId="18">
    <w:abstractNumId w:val="6"/>
  </w:num>
  <w:num w:numId="19">
    <w:abstractNumId w:val="12"/>
  </w:num>
  <w:num w:numId="20">
    <w:abstractNumId w:val="18"/>
  </w:num>
  <w:num w:numId="21">
    <w:abstractNumId w:val="27"/>
  </w:num>
  <w:num w:numId="22">
    <w:abstractNumId w:val="4"/>
  </w:num>
  <w:num w:numId="23">
    <w:abstractNumId w:val="21"/>
  </w:num>
  <w:num w:numId="24">
    <w:abstractNumId w:val="11"/>
  </w:num>
  <w:num w:numId="25">
    <w:abstractNumId w:val="22"/>
  </w:num>
  <w:num w:numId="26">
    <w:abstractNumId w:val="3"/>
  </w:num>
  <w:num w:numId="27">
    <w:abstractNumId w:val="17"/>
  </w:num>
  <w:num w:numId="28">
    <w:abstractNumId w:val="19"/>
  </w:num>
  <w:num w:numId="29">
    <w:abstractNumId w:val="16"/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revisionView w:markup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ocStatus" w:val="Green"/>
    <w:docVar w:name="LW_CORRIGENDUM" w:val="&lt;UNUSED&gt;"/>
    <w:docVar w:name="LW_COVERPAGE_EXISTS" w:val="True"/>
    <w:docVar w:name="LW_COVERPAGE_GUID" w:val="46E39517-A85B-4281-8A11-99B30A2DE271"/>
    <w:docVar w:name="LW_COVERPAGE_TYPE" w:val="1"/>
    <w:docVar w:name="LW_CROSSREFERENCE" w:val="&lt;UNUSED&gt;"/>
    <w:docVar w:name="LW_DocType" w:val="NORMAL"/>
    <w:docVar w:name="LW_EMISSION" w:val="11.3.2019"/>
    <w:docVar w:name="LW_EMISSION_ISODATE" w:val="2019-03-11"/>
    <w:docVar w:name="LW_EMISSION_LOCATION" w:val="BRX"/>
    <w:docVar w:name="LW_EMISSION_PREFIX" w:val="V Bruselu dne "/>
    <w:docVar w:name="LW_EMISSION_SUFFIX" w:val=" "/>
    <w:docVar w:name="LW_ID_DOCTYPE_NONLW" w:val="CP-001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Strategický p\u345?ístup Evropské unie k lé\u269?ivým p\u345?ípravk\u367?m v \u382?ivotním prost\u345?edí"/>
    <w:docVar w:name="LW_TYPE.DOC.CP" w:val="SD\u282?LENÍ KOMISE"/>
    <w:docVar w:name="LW_TYPE.DOC.CP.USERTEXT" w:val="EVROPSKÉMU PARLAMENTU, RAD\u282? A EVROPSKÉMU HOSPODÁ\u344?SKÉMU A SOCIÁLNÍMU VÝBOR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pPr>
      <w:keepNext/>
      <w:numPr>
        <w:numId w:val="9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uiPriority w:val="99"/>
    <w:qFormat/>
    <w:pPr>
      <w:keepNext/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uiPriority w:val="99"/>
    <w:qFormat/>
    <w:pPr>
      <w:keepNext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uiPriority w:val="99"/>
    <w:qFormat/>
    <w:pPr>
      <w:keepNext/>
      <w:numPr>
        <w:ilvl w:val="3"/>
        <w:numId w:val="9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uiPriority w:val="99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link w:val="FootnoteText"/>
    <w:rPr>
      <w:lang w:eastAsia="en-US"/>
    </w:rPr>
  </w:style>
  <w:style w:type="character" w:styleId="FootnoteReference">
    <w:name w:val="footnote reference"/>
    <w:aliases w:val="Footnote Reference Superscript,BVI fnr, BVI fnr,Footnote symbol,Footnote Reference/,number,SUPERS"/>
    <w:rPr>
      <w:rFonts w:cs="Times New Roman"/>
      <w:shd w:val="clear" w:color="auto" w:fill="auto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character" w:customStyle="1" w:styleId="Heading1Char">
    <w:name w:val="Heading 1 Char"/>
    <w:link w:val="Heading1"/>
    <w:uiPriority w:val="99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9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9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9"/>
    <w:rPr>
      <w:rFonts w:ascii="Times New Roman" w:eastAsia="Times New Roman" w:hAnsi="Times New Roman"/>
      <w:bCs/>
      <w:sz w:val="24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Text1">
    <w:name w:val="Text 1"/>
    <w:basedOn w:val="Normal"/>
    <w:uiPriority w:val="99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uiPriority w:val="99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uiPriority w:val="99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uiPriority w:val="99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uiPriority w:val="99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uiPriority w:val="99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uiPriority w:val="99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uiPriority w:val="99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uiPriority w:val="9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uiPriority w:val="99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uiPriority w:val="99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uiPriority w:val="99"/>
    <w:pPr>
      <w:numPr>
        <w:numId w:val="3"/>
      </w:numPr>
    </w:pPr>
  </w:style>
  <w:style w:type="paragraph" w:customStyle="1" w:styleId="Tiret1">
    <w:name w:val="Tiret 1"/>
    <w:basedOn w:val="Point1"/>
    <w:uiPriority w:val="99"/>
    <w:pPr>
      <w:numPr>
        <w:numId w:val="4"/>
      </w:numPr>
    </w:pPr>
  </w:style>
  <w:style w:type="paragraph" w:customStyle="1" w:styleId="Tiret2">
    <w:name w:val="Tiret 2"/>
    <w:basedOn w:val="Point2"/>
    <w:uiPriority w:val="99"/>
    <w:pPr>
      <w:numPr>
        <w:numId w:val="5"/>
      </w:numPr>
    </w:pPr>
  </w:style>
  <w:style w:type="paragraph" w:customStyle="1" w:styleId="Tiret3">
    <w:name w:val="Tiret 3"/>
    <w:basedOn w:val="Point3"/>
    <w:uiPriority w:val="99"/>
    <w:pPr>
      <w:numPr>
        <w:numId w:val="6"/>
      </w:numPr>
    </w:pPr>
  </w:style>
  <w:style w:type="paragraph" w:customStyle="1" w:styleId="Tiret4">
    <w:name w:val="Tiret 4"/>
    <w:basedOn w:val="Point4"/>
    <w:uiPriority w:val="99"/>
    <w:pPr>
      <w:numPr>
        <w:numId w:val="7"/>
      </w:numPr>
    </w:pPr>
  </w:style>
  <w:style w:type="paragraph" w:customStyle="1" w:styleId="PointDouble0">
    <w:name w:val="PointDouble 0"/>
    <w:basedOn w:val="Normal"/>
    <w:uiPriority w:val="9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uiPriority w:val="9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uiPriority w:val="9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uiPriority w:val="9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uiPriority w:val="9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uiPriority w:val="9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uiPriority w:val="9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uiPriority w:val="9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uiPriority w:val="9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uiPriority w:val="9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uiPriority w:val="99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uiPriority w:val="99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uiPriority w:val="99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uiPriority w:val="99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uiPriority w:val="99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uiPriority w:val="9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uiPriority w:val="9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uiPriority w:val="9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uiPriority w:val="9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uiPriority w:val="99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uiPriority w:val="99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1">
    <w:name w:val="Marker1"/>
    <w:uiPriority w:val="99"/>
    <w:rPr>
      <w:rFonts w:cs="Times New Roman"/>
      <w:color w:val="008000"/>
      <w:shd w:val="clear" w:color="auto" w:fill="auto"/>
    </w:rPr>
  </w:style>
  <w:style w:type="character" w:customStyle="1" w:styleId="Marker2">
    <w:name w:val="Marker2"/>
    <w:uiPriority w:val="99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9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uiPriority w:val="9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uiPriority w:val="9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uiPriority w:val="99"/>
    <w:pPr>
      <w:numPr>
        <w:ilvl w:val="4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uiPriority w:val="99"/>
    <w:pPr>
      <w:numPr>
        <w:ilvl w:val="6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uiPriority w:val="9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uiPriority w:val="9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uiPriority w:val="99"/>
    <w:pPr>
      <w:numPr>
        <w:ilvl w:val="5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uiPriority w:val="99"/>
    <w:pPr>
      <w:numPr>
        <w:ilvl w:val="7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uiPriority w:val="99"/>
    <w:pPr>
      <w:numPr>
        <w:ilvl w:val="8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uiPriority w:val="9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uiPriority w:val="9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uiPriority w:val="9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uiPriority w:val="9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uiPriority w:val="99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uiPriority w:val="99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uiPriority w:val="99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uiPriority w:val="99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uiPriority w:val="99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uiPriority w:val="99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uiPriority w:val="9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uiPriority w:val="99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uiPriority w:val="99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uiPriority w:val="99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uiPriority w:val="99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uiPriority w:val="9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uiPriority w:val="99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uiPriority w:val="9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uiPriority w:val="99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uiPriority w:val="99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uiPriority w:val="99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uiPriority w:val="99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uiPriority w:val="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uiPriority w:val="99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uiPriority w:val="99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uiPriority w:val="99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uiPriority w:val="99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uiPriority w:val="99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uiPriority w:val="99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</w:style>
  <w:style w:type="paragraph" w:customStyle="1" w:styleId="Sous-titreobjetPagedecouverture">
    <w:name w:val="Sous-titre objet (Page de couverture)"/>
    <w:basedOn w:val="Sous-titreobjet"/>
    <w:uiPriority w:val="99"/>
  </w:style>
  <w:style w:type="paragraph" w:customStyle="1" w:styleId="StatutPagedecouverture">
    <w:name w:val="Statut (Page de couverture)"/>
    <w:basedOn w:val="Statut"/>
    <w:next w:val="TypedudocumentPagedecouverture"/>
    <w:uiPriority w:val="99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</w:style>
  <w:style w:type="paragraph" w:customStyle="1" w:styleId="Volume">
    <w:name w:val="Volume"/>
    <w:basedOn w:val="Normal"/>
    <w:next w:val="Confidentialit"/>
    <w:uiPriority w:val="99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uiPriority w:val="99"/>
    <w:pPr>
      <w:spacing w:after="240"/>
    </w:pPr>
  </w:style>
  <w:style w:type="paragraph" w:customStyle="1" w:styleId="Accompagnant">
    <w:name w:val="Accompagnant"/>
    <w:basedOn w:val="Normal"/>
    <w:next w:val="Typeacteprincipal"/>
    <w:uiPriority w:val="99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uiPriority w:val="99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uiPriority w:val="99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  <w:uiPriority w:val="99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</w:style>
  <w:style w:type="paragraph" w:customStyle="1" w:styleId="LanguesfaisantfoiPagedecouverture">
    <w:name w:val="Langues faisant foi (Page de couverture)"/>
    <w:basedOn w:val="Normal"/>
    <w:next w:val="Normal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  <w:shd w:val="clear" w:color="auto" w:fill="auto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pPr>
      <w:numPr>
        <w:numId w:val="1"/>
      </w:numPr>
      <w:tabs>
        <w:tab w:val="clear" w:pos="926"/>
        <w:tab w:val="num" w:pos="850"/>
      </w:tabs>
      <w:spacing w:before="120" w:after="12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uiPriority w:val="99"/>
    <w:pPr>
      <w:numPr>
        <w:numId w:val="2"/>
      </w:numPr>
      <w:tabs>
        <w:tab w:val="clear" w:pos="1209"/>
        <w:tab w:val="num" w:pos="643"/>
        <w:tab w:val="num" w:pos="850"/>
      </w:tabs>
      <w:spacing w:before="120" w:after="120" w:line="240" w:lineRule="auto"/>
      <w:ind w:left="643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uiPriority w:val="99"/>
    <w:pPr>
      <w:tabs>
        <w:tab w:val="num" w:pos="850"/>
        <w:tab w:val="num" w:pos="926"/>
      </w:tabs>
      <w:spacing w:before="120" w:after="120" w:line="240" w:lineRule="auto"/>
      <w:ind w:left="926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uiPriority w:val="99"/>
    <w:pPr>
      <w:tabs>
        <w:tab w:val="num" w:pos="1209"/>
        <w:tab w:val="num" w:pos="1417"/>
      </w:tabs>
      <w:spacing w:before="120" w:after="120" w:line="240" w:lineRule="auto"/>
      <w:ind w:left="1209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pPr>
      <w:tabs>
        <w:tab w:val="num" w:pos="1984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uiPriority w:val="99"/>
    <w:pPr>
      <w:tabs>
        <w:tab w:val="num" w:pos="643"/>
        <w:tab w:val="num" w:pos="2551"/>
      </w:tabs>
      <w:spacing w:before="120" w:after="120" w:line="240" w:lineRule="auto"/>
      <w:ind w:left="643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uiPriority w:val="99"/>
    <w:pPr>
      <w:tabs>
        <w:tab w:val="num" w:pos="926"/>
        <w:tab w:val="num" w:pos="3118"/>
      </w:tabs>
      <w:spacing w:before="120" w:after="120" w:line="240" w:lineRule="auto"/>
      <w:ind w:left="926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4">
    <w:name w:val="List Number 4"/>
    <w:basedOn w:val="Normal"/>
    <w:uiPriority w:val="99"/>
    <w:pPr>
      <w:tabs>
        <w:tab w:val="num" w:pos="709"/>
        <w:tab w:val="num" w:pos="1209"/>
      </w:tabs>
      <w:spacing w:before="120" w:after="120" w:line="240" w:lineRule="auto"/>
      <w:ind w:left="1209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llowedHyperlink1">
    <w:name w:val="FollowedHyperlink1"/>
    <w:uiPriority w:val="99"/>
    <w:semiHidden/>
    <w:unhideWhenUsed/>
    <w:rPr>
      <w:color w:val="800080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lang w:eastAsia="en-US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CM4">
    <w:name w:val="CM4"/>
    <w:basedOn w:val="Default"/>
    <w:next w:val="Default"/>
    <w:uiPriority w:val="99"/>
    <w:pPr>
      <w:suppressAutoHyphens w:val="0"/>
      <w:autoSpaceDN w:val="0"/>
      <w:adjustRightInd w:val="0"/>
    </w:pPr>
    <w:rPr>
      <w:rFonts w:ascii="EUAlbertina" w:eastAsia="Calibri" w:hAnsi="EUAlbertina"/>
      <w:color w:val="auto"/>
      <w:lang w:eastAsia="en-GB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it">
    <w:name w:val="cit"/>
    <w:basedOn w:val="DefaultParagraphFont"/>
  </w:style>
  <w:style w:type="paragraph" w:customStyle="1" w:styleId="GridTable21">
    <w:name w:val="Grid Table 21"/>
    <w:basedOn w:val="Normal"/>
    <w:next w:val="Normal"/>
    <w:uiPriority w:val="37"/>
    <w:pPr>
      <w:spacing w:before="120" w:after="120" w:line="240" w:lineRule="atLeast"/>
      <w:jc w:val="both"/>
    </w:pPr>
    <w:rPr>
      <w:rFonts w:ascii="Arial" w:eastAsia="Times" w:hAnsi="Arial"/>
      <w:color w:val="000000"/>
      <w:sz w:val="20"/>
      <w:szCs w:val="16"/>
      <w:lang w:eastAsia="nl-BE"/>
    </w:rPr>
  </w:style>
  <w:style w:type="paragraph" w:customStyle="1" w:styleId="ti-doc-dur1">
    <w:name w:val="ti-doc-dur1"/>
    <w:basedOn w:val="Normal"/>
    <w:pPr>
      <w:spacing w:before="180" w:after="120" w:line="312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pPr>
      <w:keepNext/>
      <w:numPr>
        <w:numId w:val="9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uiPriority w:val="99"/>
    <w:qFormat/>
    <w:pPr>
      <w:keepNext/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uiPriority w:val="99"/>
    <w:qFormat/>
    <w:pPr>
      <w:keepNext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uiPriority w:val="99"/>
    <w:qFormat/>
    <w:pPr>
      <w:keepNext/>
      <w:numPr>
        <w:ilvl w:val="3"/>
        <w:numId w:val="9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uiPriority w:val="99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link w:val="FootnoteText"/>
    <w:rPr>
      <w:lang w:eastAsia="en-US"/>
    </w:rPr>
  </w:style>
  <w:style w:type="character" w:styleId="FootnoteReference">
    <w:name w:val="footnote reference"/>
    <w:aliases w:val="Footnote Reference Superscript,BVI fnr, BVI fnr,Footnote symbol,Footnote Reference/,number,SUPERS"/>
    <w:rPr>
      <w:rFonts w:cs="Times New Roman"/>
      <w:shd w:val="clear" w:color="auto" w:fill="auto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character" w:customStyle="1" w:styleId="Heading1Char">
    <w:name w:val="Heading 1 Char"/>
    <w:link w:val="Heading1"/>
    <w:uiPriority w:val="99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9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9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9"/>
    <w:rPr>
      <w:rFonts w:ascii="Times New Roman" w:eastAsia="Times New Roman" w:hAnsi="Times New Roman"/>
      <w:bCs/>
      <w:sz w:val="24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Text1">
    <w:name w:val="Text 1"/>
    <w:basedOn w:val="Normal"/>
    <w:uiPriority w:val="99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uiPriority w:val="99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uiPriority w:val="99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uiPriority w:val="99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uiPriority w:val="99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uiPriority w:val="99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uiPriority w:val="99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uiPriority w:val="99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uiPriority w:val="9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uiPriority w:val="99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uiPriority w:val="99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uiPriority w:val="99"/>
    <w:pPr>
      <w:numPr>
        <w:numId w:val="3"/>
      </w:numPr>
    </w:pPr>
  </w:style>
  <w:style w:type="paragraph" w:customStyle="1" w:styleId="Tiret1">
    <w:name w:val="Tiret 1"/>
    <w:basedOn w:val="Point1"/>
    <w:uiPriority w:val="99"/>
    <w:pPr>
      <w:numPr>
        <w:numId w:val="4"/>
      </w:numPr>
    </w:pPr>
  </w:style>
  <w:style w:type="paragraph" w:customStyle="1" w:styleId="Tiret2">
    <w:name w:val="Tiret 2"/>
    <w:basedOn w:val="Point2"/>
    <w:uiPriority w:val="99"/>
    <w:pPr>
      <w:numPr>
        <w:numId w:val="5"/>
      </w:numPr>
    </w:pPr>
  </w:style>
  <w:style w:type="paragraph" w:customStyle="1" w:styleId="Tiret3">
    <w:name w:val="Tiret 3"/>
    <w:basedOn w:val="Point3"/>
    <w:uiPriority w:val="99"/>
    <w:pPr>
      <w:numPr>
        <w:numId w:val="6"/>
      </w:numPr>
    </w:pPr>
  </w:style>
  <w:style w:type="paragraph" w:customStyle="1" w:styleId="Tiret4">
    <w:name w:val="Tiret 4"/>
    <w:basedOn w:val="Point4"/>
    <w:uiPriority w:val="99"/>
    <w:pPr>
      <w:numPr>
        <w:numId w:val="7"/>
      </w:numPr>
    </w:pPr>
  </w:style>
  <w:style w:type="paragraph" w:customStyle="1" w:styleId="PointDouble0">
    <w:name w:val="PointDouble 0"/>
    <w:basedOn w:val="Normal"/>
    <w:uiPriority w:val="99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uiPriority w:val="99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uiPriority w:val="99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uiPriority w:val="99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uiPriority w:val="99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uiPriority w:val="99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uiPriority w:val="99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uiPriority w:val="99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uiPriority w:val="99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uiPriority w:val="99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uiPriority w:val="99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uiPriority w:val="99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uiPriority w:val="99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uiPriority w:val="99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uiPriority w:val="99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uiPriority w:val="99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uiPriority w:val="99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uiPriority w:val="9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uiPriority w:val="9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uiPriority w:val="99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uiPriority w:val="99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uiPriority w:val="99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1">
    <w:name w:val="Marker1"/>
    <w:uiPriority w:val="99"/>
    <w:rPr>
      <w:rFonts w:cs="Times New Roman"/>
      <w:color w:val="008000"/>
      <w:shd w:val="clear" w:color="auto" w:fill="auto"/>
    </w:rPr>
  </w:style>
  <w:style w:type="character" w:customStyle="1" w:styleId="Marker2">
    <w:name w:val="Marker2"/>
    <w:uiPriority w:val="99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9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uiPriority w:val="99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uiPriority w:val="9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uiPriority w:val="99"/>
    <w:pPr>
      <w:numPr>
        <w:ilvl w:val="4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uiPriority w:val="99"/>
    <w:pPr>
      <w:numPr>
        <w:ilvl w:val="6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uiPriority w:val="9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uiPriority w:val="9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uiPriority w:val="99"/>
    <w:pPr>
      <w:numPr>
        <w:ilvl w:val="5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uiPriority w:val="99"/>
    <w:pPr>
      <w:numPr>
        <w:ilvl w:val="7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uiPriority w:val="99"/>
    <w:pPr>
      <w:numPr>
        <w:ilvl w:val="8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uiPriority w:val="99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uiPriority w:val="99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uiPriority w:val="99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uiPriority w:val="99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uiPriority w:val="99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uiPriority w:val="99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uiPriority w:val="99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uiPriority w:val="99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uiPriority w:val="99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uiPriority w:val="99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uiPriority w:val="9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uiPriority w:val="99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uiPriority w:val="99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uiPriority w:val="99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uiPriority w:val="99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uiPriority w:val="99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uiPriority w:val="99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uiPriority w:val="9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uiPriority w:val="99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uiPriority w:val="99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uiPriority w:val="99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uiPriority w:val="99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uiPriority w:val="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uiPriority w:val="99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uiPriority w:val="99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uiPriority w:val="99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uiPriority w:val="99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uiPriority w:val="99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uiPriority w:val="99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uiPriority w:val="9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</w:style>
  <w:style w:type="paragraph" w:customStyle="1" w:styleId="Sous-titreobjetPagedecouverture">
    <w:name w:val="Sous-titre objet (Page de couverture)"/>
    <w:basedOn w:val="Sous-titreobjet"/>
    <w:uiPriority w:val="99"/>
  </w:style>
  <w:style w:type="paragraph" w:customStyle="1" w:styleId="StatutPagedecouverture">
    <w:name w:val="Statut (Page de couverture)"/>
    <w:basedOn w:val="Statut"/>
    <w:next w:val="TypedudocumentPagedecouverture"/>
    <w:uiPriority w:val="99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</w:style>
  <w:style w:type="paragraph" w:customStyle="1" w:styleId="Volume">
    <w:name w:val="Volume"/>
    <w:basedOn w:val="Normal"/>
    <w:next w:val="Confidentialit"/>
    <w:uiPriority w:val="99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uiPriority w:val="99"/>
    <w:pPr>
      <w:spacing w:after="240"/>
    </w:pPr>
  </w:style>
  <w:style w:type="paragraph" w:customStyle="1" w:styleId="Accompagnant">
    <w:name w:val="Accompagnant"/>
    <w:basedOn w:val="Normal"/>
    <w:next w:val="Typeacteprincipal"/>
    <w:uiPriority w:val="99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uiPriority w:val="99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uiPriority w:val="99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  <w:uiPriority w:val="99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</w:style>
  <w:style w:type="paragraph" w:customStyle="1" w:styleId="LanguesfaisantfoiPagedecouverture">
    <w:name w:val="Langues faisant foi (Page de couverture)"/>
    <w:basedOn w:val="Normal"/>
    <w:next w:val="Normal"/>
    <w:uiPriority w:val="99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  <w:shd w:val="clear" w:color="auto" w:fill="auto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pPr>
      <w:numPr>
        <w:numId w:val="1"/>
      </w:numPr>
      <w:tabs>
        <w:tab w:val="clear" w:pos="926"/>
        <w:tab w:val="num" w:pos="850"/>
      </w:tabs>
      <w:spacing w:before="120" w:after="12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uiPriority w:val="99"/>
    <w:pPr>
      <w:numPr>
        <w:numId w:val="2"/>
      </w:numPr>
      <w:tabs>
        <w:tab w:val="clear" w:pos="1209"/>
        <w:tab w:val="num" w:pos="643"/>
        <w:tab w:val="num" w:pos="850"/>
      </w:tabs>
      <w:spacing w:before="120" w:after="120" w:line="240" w:lineRule="auto"/>
      <w:ind w:left="643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uiPriority w:val="99"/>
    <w:pPr>
      <w:tabs>
        <w:tab w:val="num" w:pos="850"/>
        <w:tab w:val="num" w:pos="926"/>
      </w:tabs>
      <w:spacing w:before="120" w:after="120" w:line="240" w:lineRule="auto"/>
      <w:ind w:left="926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uiPriority w:val="99"/>
    <w:pPr>
      <w:tabs>
        <w:tab w:val="num" w:pos="1209"/>
        <w:tab w:val="num" w:pos="1417"/>
      </w:tabs>
      <w:spacing w:before="120" w:after="120" w:line="240" w:lineRule="auto"/>
      <w:ind w:left="1209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pPr>
      <w:tabs>
        <w:tab w:val="num" w:pos="1984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uiPriority w:val="99"/>
    <w:pPr>
      <w:tabs>
        <w:tab w:val="num" w:pos="643"/>
        <w:tab w:val="num" w:pos="2551"/>
      </w:tabs>
      <w:spacing w:before="120" w:after="120" w:line="240" w:lineRule="auto"/>
      <w:ind w:left="643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uiPriority w:val="99"/>
    <w:pPr>
      <w:tabs>
        <w:tab w:val="num" w:pos="926"/>
        <w:tab w:val="num" w:pos="3118"/>
      </w:tabs>
      <w:spacing w:before="120" w:after="120" w:line="240" w:lineRule="auto"/>
      <w:ind w:left="926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4">
    <w:name w:val="List Number 4"/>
    <w:basedOn w:val="Normal"/>
    <w:uiPriority w:val="99"/>
    <w:pPr>
      <w:tabs>
        <w:tab w:val="num" w:pos="709"/>
        <w:tab w:val="num" w:pos="1209"/>
      </w:tabs>
      <w:spacing w:before="120" w:after="120" w:line="240" w:lineRule="auto"/>
      <w:ind w:left="1209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llowedHyperlink1">
    <w:name w:val="FollowedHyperlink1"/>
    <w:uiPriority w:val="99"/>
    <w:semiHidden/>
    <w:unhideWhenUsed/>
    <w:rPr>
      <w:color w:val="800080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lang w:eastAsia="en-US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CM4">
    <w:name w:val="CM4"/>
    <w:basedOn w:val="Default"/>
    <w:next w:val="Default"/>
    <w:uiPriority w:val="99"/>
    <w:pPr>
      <w:suppressAutoHyphens w:val="0"/>
      <w:autoSpaceDN w:val="0"/>
      <w:adjustRightInd w:val="0"/>
    </w:pPr>
    <w:rPr>
      <w:rFonts w:ascii="EUAlbertina" w:eastAsia="Calibri" w:hAnsi="EUAlbertina"/>
      <w:color w:val="auto"/>
      <w:lang w:eastAsia="en-GB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it">
    <w:name w:val="cit"/>
    <w:basedOn w:val="DefaultParagraphFont"/>
  </w:style>
  <w:style w:type="paragraph" w:customStyle="1" w:styleId="GridTable21">
    <w:name w:val="Grid Table 21"/>
    <w:basedOn w:val="Normal"/>
    <w:next w:val="Normal"/>
    <w:uiPriority w:val="37"/>
    <w:pPr>
      <w:spacing w:before="120" w:after="120" w:line="240" w:lineRule="atLeast"/>
      <w:jc w:val="both"/>
    </w:pPr>
    <w:rPr>
      <w:rFonts w:ascii="Arial" w:eastAsia="Times" w:hAnsi="Arial"/>
      <w:color w:val="000000"/>
      <w:sz w:val="20"/>
      <w:szCs w:val="16"/>
      <w:lang w:eastAsia="nl-BE"/>
    </w:rPr>
  </w:style>
  <w:style w:type="paragraph" w:customStyle="1" w:styleId="ti-doc-dur1">
    <w:name w:val="ti-doc-dur1"/>
    <w:basedOn w:val="Normal"/>
    <w:pPr>
      <w:spacing w:before="180" w:after="120" w:line="312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6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1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8" w:space="15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9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69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01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50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7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4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7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7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7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18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3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203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92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7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health/human-use/environment-medicines/index_en.htm" TargetMode="External"/><Relationship Id="rId13" Type="http://schemas.openxmlformats.org/officeDocument/2006/relationships/hyperlink" Target="https://cordis.europa.eu/projects/home_en.html" TargetMode="External"/><Relationship Id="rId18" Type="http://schemas.openxmlformats.org/officeDocument/2006/relationships/hyperlink" Target="https://doi.org/10.1787/data-00545-en" TargetMode="External"/><Relationship Id="rId26" Type="http://schemas.openxmlformats.org/officeDocument/2006/relationships/hyperlink" Target="http://ebcd.org/event/pharmaceuticals-in-the-environment/" TargetMode="External"/><Relationship Id="rId3" Type="http://schemas.openxmlformats.org/officeDocument/2006/relationships/hyperlink" Target="https://circabc.europa.eu/w/browse/5d532921-1e1f-48f5-b0e0-3057798423ca" TargetMode="External"/><Relationship Id="rId21" Type="http://schemas.openxmlformats.org/officeDocument/2006/relationships/hyperlink" Target="https://www.ema.europa.eu/documents/report/sales-veterinary-antimicrobial-agents-30-european-countries-2016-trends-2010-2016-eighth-esvac_en.pdf" TargetMode="External"/><Relationship Id="rId34" Type="http://schemas.openxmlformats.org/officeDocument/2006/relationships/hyperlink" Target="http://i-pie.org/" TargetMode="External"/><Relationship Id="rId7" Type="http://schemas.openxmlformats.org/officeDocument/2006/relationships/hyperlink" Target="http://ec.europa.eu/environment/water/water-drink/pdf/20171215_EC_project_report_final_corrected.pdf" TargetMode="External"/><Relationship Id="rId12" Type="http://schemas.openxmlformats.org/officeDocument/2006/relationships/hyperlink" Target="file://net1.cec.eu.int/ENV/C/1/34%20WATER/10%20SW%20dangerous%20substances/10.11.%20Pharmaceuticals/Strategic%20approach%20to%20PIE/Final%20Revised%20Communication%20for%20WP/See" TargetMode="External"/><Relationship Id="rId17" Type="http://schemas.openxmlformats.org/officeDocument/2006/relationships/hyperlink" Target="https://www.efpia.eu/media/361960/efpia-pharmafigures2018_v07-hq.pdf" TargetMode="External"/><Relationship Id="rId25" Type="http://schemas.openxmlformats.org/officeDocument/2006/relationships/hyperlink" Target="https://www.fass.se/LIF/" TargetMode="External"/><Relationship Id="rId33" Type="http://schemas.openxmlformats.org/officeDocument/2006/relationships/hyperlink" Target="https://eur-lex.europa.eu/legal-content/CS/AUTO/?uri=uriserv:OJ.L_.2019.004.01.0043.01.ENG&amp;toc=OJ:L:2019:004:TOC" TargetMode="External"/><Relationship Id="rId2" Type="http://schemas.openxmlformats.org/officeDocument/2006/relationships/hyperlink" Target="https://eur-lex.europa.eu/legal-content/CS/TXT/?uri=CELEX:52017DC0339" TargetMode="External"/><Relationship Id="rId16" Type="http://schemas.openxmlformats.org/officeDocument/2006/relationships/hyperlink" Target="https://www.phar-in.eu/wp-content/uploads/2014/05/Figures_2014_Final.pdf" TargetMode="External"/><Relationship Id="rId20" Type="http://schemas.openxmlformats.org/officeDocument/2006/relationships/hyperlink" Target="https://www.ema.europa.eu/documents/report/trends-sales-veterinary-antimicrobial-agents-nine-european-countries_en.pdf" TargetMode="External"/><Relationship Id="rId29" Type="http://schemas.openxmlformats.org/officeDocument/2006/relationships/hyperlink" Target="http://www.helcom.fi/news/Pages/Pharmaceuticals-in-Baltic-waters--new-status-report-by-UNESCO-and-HELCOM.aspx" TargetMode="External"/><Relationship Id="rId1" Type="http://schemas.openxmlformats.org/officeDocument/2006/relationships/hyperlink" Target="https://ec.europa.eu/health/sites/health/files/scientific_committees/scheer/docs/scheer_s_002.pdf" TargetMode="External"/><Relationship Id="rId6" Type="http://schemas.openxmlformats.org/officeDocument/2006/relationships/hyperlink" Target="http://ec.europa.eu/environment/water/water-dangersub/index.htm" TargetMode="External"/><Relationship Id="rId11" Type="http://schemas.openxmlformats.org/officeDocument/2006/relationships/hyperlink" Target="http://apps.who.int/iris/bitstream/10665/44630/1/9789241502085_eng.pdf?ua=1" TargetMode="External"/><Relationship Id="rId24" Type="http://schemas.openxmlformats.org/officeDocument/2006/relationships/hyperlink" Target="http://ec.europa.eu/environment/chemicals/reach/pdf/studies_review2012/report_study8.pdf" TargetMode="External"/><Relationship Id="rId32" Type="http://schemas.openxmlformats.org/officeDocument/2006/relationships/hyperlink" Target="https://www.efpia.eu/media/288586/pie-brochure.pdf" TargetMode="External"/><Relationship Id="rId37" Type="http://schemas.openxmlformats.org/officeDocument/2006/relationships/hyperlink" Target="https://esdac.jrc.ec.europa.eu/projects/lucas" TargetMode="External"/><Relationship Id="rId5" Type="http://schemas.openxmlformats.org/officeDocument/2006/relationships/hyperlink" Target="http://ec.europa.eu/environment/water/water-dangersub/index.htm" TargetMode="External"/><Relationship Id="rId15" Type="http://schemas.openxmlformats.org/officeDocument/2006/relationships/hyperlink" Target="http://i-pie.org/" TargetMode="External"/><Relationship Id="rId23" Type="http://schemas.openxmlformats.org/officeDocument/2006/relationships/hyperlink" Target="https://eur-lex.europa.eu/legal-content/CS/AUTO/?uri=uriserv:OJ.L_.2019.004.01.0043.01.ENG&amp;toc=OJ:L:2019:004:TOC" TargetMode="External"/><Relationship Id="rId28" Type="http://schemas.openxmlformats.org/officeDocument/2006/relationships/hyperlink" Target="http://www.saicm.org/EmergingPolicyIssues/Pharmaceuticalnbsp;Pollutants/tabid/5477/language/en-US/Default.aspx" TargetMode="External"/><Relationship Id="rId36" Type="http://schemas.openxmlformats.org/officeDocument/2006/relationships/hyperlink" Target="https://ipchem.jrc.ec.europa.eu/RDSIdiscovery/ipchem/index.html" TargetMode="External"/><Relationship Id="rId10" Type="http://schemas.openxmlformats.org/officeDocument/2006/relationships/hyperlink" Target="http://ec.europa.eu/environment/water/water-drink/pdf/20171215_EC_project_report_final_corrected.pdf" TargetMode="External"/><Relationship Id="rId19" Type="http://schemas.openxmlformats.org/officeDocument/2006/relationships/hyperlink" Target="https://www.ema.europa.eu/en/veterinary-regulatory/overview/antimicrobial-resistance-veterinary-medicine" TargetMode="External"/><Relationship Id="rId31" Type="http://schemas.openxmlformats.org/officeDocument/2006/relationships/hyperlink" Target="https://www.efpia.eu/media/25628/eps-a-holistic-environmental-risk-management-program.pdf" TargetMode="External"/><Relationship Id="rId4" Type="http://schemas.openxmlformats.org/officeDocument/2006/relationships/hyperlink" Target="http://ec.europa.eu/environment/water/water-dangersub/index.htm" TargetMode="External"/><Relationship Id="rId9" Type="http://schemas.openxmlformats.org/officeDocument/2006/relationships/hyperlink" Target="http://www.lifeprairiesbocageres.eu/fileadmin/Life/Prairies_bocageres/brochure_LPB_antiparasitaires_final.pdf" TargetMode="External"/><Relationship Id="rId14" Type="http://schemas.openxmlformats.org/officeDocument/2006/relationships/hyperlink" Target="https://circabc.europa.eu/w/browse/a1e23792-6ecd-4b34-b86c-dcb6f1c7ad1c" TargetMode="External"/><Relationship Id="rId22" Type="http://schemas.openxmlformats.org/officeDocument/2006/relationships/hyperlink" Target="https://eur-lex.europa.eu/legal-content/CS/AUTO/?uri=uriserv:OJ.L_.2019.004.01.0043.01.ENG&amp;toc=OJ:L:2019:004:TOC" TargetMode="External"/><Relationship Id="rId27" Type="http://schemas.openxmlformats.org/officeDocument/2006/relationships/hyperlink" Target="https://www.parlament.ch/centers/eparl/curia/2012/20123090/Bericht%20BR%20D.pdf" TargetMode="External"/><Relationship Id="rId30" Type="http://schemas.openxmlformats.org/officeDocument/2006/relationships/hyperlink" Target="http://www.oecd.org/water/oecdworkshoponmanagingcontaminantsofemergingconcerninsurfacewaters.htm" TargetMode="External"/><Relationship Id="rId35" Type="http://schemas.openxmlformats.org/officeDocument/2006/relationships/hyperlink" Target="http://eippcb.jrc.ec.europa.eu/reference/ir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5BB0-1965-4901-9BDF-1DAB53BF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3952</Words>
  <Characters>24468</Characters>
  <Application>Microsoft Office Word</Application>
  <DocSecurity>0</DocSecurity>
  <Lines>421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28291</CharactersWithSpaces>
  <SharedDoc>false</SharedDoc>
  <HLinks>
    <vt:vector size="108" baseType="variant">
      <vt:variant>
        <vt:i4>4063350</vt:i4>
      </vt:variant>
      <vt:variant>
        <vt:i4>51</vt:i4>
      </vt:variant>
      <vt:variant>
        <vt:i4>0</vt:i4>
      </vt:variant>
      <vt:variant>
        <vt:i4>5</vt:i4>
      </vt:variant>
      <vt:variant>
        <vt:lpwstr>https://ipchem.jrc.ec.europa.eu/RDSIdiscovery/ipchem/index.html</vt:lpwstr>
      </vt:variant>
      <vt:variant>
        <vt:lpwstr/>
      </vt:variant>
      <vt:variant>
        <vt:i4>262239</vt:i4>
      </vt:variant>
      <vt:variant>
        <vt:i4>48</vt:i4>
      </vt:variant>
      <vt:variant>
        <vt:i4>0</vt:i4>
      </vt:variant>
      <vt:variant>
        <vt:i4>5</vt:i4>
      </vt:variant>
      <vt:variant>
        <vt:lpwstr>https://easis.jrc.ec.europa.eu/veil/</vt:lpwstr>
      </vt:variant>
      <vt:variant>
        <vt:lpwstr/>
      </vt:variant>
      <vt:variant>
        <vt:i4>3407912</vt:i4>
      </vt:variant>
      <vt:variant>
        <vt:i4>45</vt:i4>
      </vt:variant>
      <vt:variant>
        <vt:i4>0</vt:i4>
      </vt:variant>
      <vt:variant>
        <vt:i4>5</vt:i4>
      </vt:variant>
      <vt:variant>
        <vt:lpwstr>http://register.consilium.europa.eu/pdf/en/13/st05/st05867.en13.pdf</vt:lpwstr>
      </vt:variant>
      <vt:variant>
        <vt:lpwstr/>
      </vt:variant>
      <vt:variant>
        <vt:i4>1310808</vt:i4>
      </vt:variant>
      <vt:variant>
        <vt:i4>42</vt:i4>
      </vt:variant>
      <vt:variant>
        <vt:i4>0</vt:i4>
      </vt:variant>
      <vt:variant>
        <vt:i4>5</vt:i4>
      </vt:variant>
      <vt:variant>
        <vt:lpwstr>http://www.eea.europa.eu/publications/late-lessons-2</vt:lpwstr>
      </vt:variant>
      <vt:variant>
        <vt:lpwstr/>
      </vt:variant>
      <vt:variant>
        <vt:i4>917524</vt:i4>
      </vt:variant>
      <vt:variant>
        <vt:i4>39</vt:i4>
      </vt:variant>
      <vt:variant>
        <vt:i4>0</vt:i4>
      </vt:variant>
      <vt:variant>
        <vt:i4>5</vt:i4>
      </vt:variant>
      <vt:variant>
        <vt:lpwstr>http://www.un-documents.net/jburgdec.htm</vt:lpwstr>
      </vt:variant>
      <vt:variant>
        <vt:lpwstr/>
      </vt:variant>
      <vt:variant>
        <vt:i4>7471176</vt:i4>
      </vt:variant>
      <vt:variant>
        <vt:i4>36</vt:i4>
      </vt:variant>
      <vt:variant>
        <vt:i4>0</vt:i4>
      </vt:variant>
      <vt:variant>
        <vt:i4>5</vt:i4>
      </vt:variant>
      <vt:variant>
        <vt:lpwstr>http://www.consilium.europa.eu/uedocs/cms_data/docs/pressdata/en/envir/130788.pdf</vt:lpwstr>
      </vt:variant>
      <vt:variant>
        <vt:lpwstr/>
      </vt:variant>
      <vt:variant>
        <vt:i4>7012386</vt:i4>
      </vt:variant>
      <vt:variant>
        <vt:i4>33</vt:i4>
      </vt:variant>
      <vt:variant>
        <vt:i4>0</vt:i4>
      </vt:variant>
      <vt:variant>
        <vt:i4>5</vt:i4>
      </vt:variant>
      <vt:variant>
        <vt:lpwstr>http://press.endocrine.org/doi/pdf/10.1210/jc.2014-4323</vt:lpwstr>
      </vt:variant>
      <vt:variant>
        <vt:lpwstr/>
      </vt:variant>
      <vt:variant>
        <vt:i4>7012386</vt:i4>
      </vt:variant>
      <vt:variant>
        <vt:i4>30</vt:i4>
      </vt:variant>
      <vt:variant>
        <vt:i4>0</vt:i4>
      </vt:variant>
      <vt:variant>
        <vt:i4>5</vt:i4>
      </vt:variant>
      <vt:variant>
        <vt:lpwstr>http://press.endocrine.org/doi/pdf/10.1210/jc.2014-4326</vt:lpwstr>
      </vt:variant>
      <vt:variant>
        <vt:lpwstr/>
      </vt:variant>
      <vt:variant>
        <vt:i4>7012386</vt:i4>
      </vt:variant>
      <vt:variant>
        <vt:i4>27</vt:i4>
      </vt:variant>
      <vt:variant>
        <vt:i4>0</vt:i4>
      </vt:variant>
      <vt:variant>
        <vt:i4>5</vt:i4>
      </vt:variant>
      <vt:variant>
        <vt:lpwstr>http://press.endocrine.org/doi/pdf/10.1210/jc.2014-4325</vt:lpwstr>
      </vt:variant>
      <vt:variant>
        <vt:lpwstr/>
      </vt:variant>
      <vt:variant>
        <vt:i4>4390930</vt:i4>
      </vt:variant>
      <vt:variant>
        <vt:i4>24</vt:i4>
      </vt:variant>
      <vt:variant>
        <vt:i4>0</vt:i4>
      </vt:variant>
      <vt:variant>
        <vt:i4>5</vt:i4>
      </vt:variant>
      <vt:variant>
        <vt:lpwstr>http://ec.europa.eu/health/archive/ph_risk/committees/sct/documents/out37_en.pdf</vt:lpwstr>
      </vt:variant>
      <vt:variant>
        <vt:lpwstr/>
      </vt:variant>
      <vt:variant>
        <vt:i4>196632</vt:i4>
      </vt:variant>
      <vt:variant>
        <vt:i4>21</vt:i4>
      </vt:variant>
      <vt:variant>
        <vt:i4>0</vt:i4>
      </vt:variant>
      <vt:variant>
        <vt:i4>5</vt:i4>
      </vt:variant>
      <vt:variant>
        <vt:lpwstr>http://ihcp.jrc.ec.europa.eu/our_activities/food-cons-prod/endocrine_disrupters/jrc-report-scientific-issues-identification-endocrine-disrupting-substances/at_multi_download/file?name=LBNA25919ENN.pdf</vt:lpwstr>
      </vt:variant>
      <vt:variant>
        <vt:lpwstr/>
      </vt:variant>
      <vt:variant>
        <vt:i4>655430</vt:i4>
      </vt:variant>
      <vt:variant>
        <vt:i4>18</vt:i4>
      </vt:variant>
      <vt:variant>
        <vt:i4>0</vt:i4>
      </vt:variant>
      <vt:variant>
        <vt:i4>5</vt:i4>
      </vt:variant>
      <vt:variant>
        <vt:lpwstr>http://www.efsa.europa.eu/en/efsajournal/doc/3132.pdf</vt:lpwstr>
      </vt:variant>
      <vt:variant>
        <vt:lpwstr/>
      </vt:variant>
      <vt:variant>
        <vt:i4>3866641</vt:i4>
      </vt:variant>
      <vt:variant>
        <vt:i4>15</vt:i4>
      </vt:variant>
      <vt:variant>
        <vt:i4>0</vt:i4>
      </vt:variant>
      <vt:variant>
        <vt:i4>5</vt:i4>
      </vt:variant>
      <vt:variant>
        <vt:lpwstr>http://www.eea.europa.eu/publications/the-impacts-of-endocrine-disrupters/at_download/file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http://search.oecd.org/officialdocuments/displaydocumentpdf/?cote=env/jm/mono(2012)23&amp;doclanguage=en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http://www.who.int/ceh/publications/endocrine/en/</vt:lpwstr>
      </vt:variant>
      <vt:variant>
        <vt:lpwstr/>
      </vt:variant>
      <vt:variant>
        <vt:i4>2031735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http://ec.europa.eu/environment/chemicals/endocrine/pdf/sota_edc_final_report.pdf</vt:lpwstr>
      </vt:variant>
      <vt:variant>
        <vt:lpwstr/>
      </vt:variant>
      <vt:variant>
        <vt:i4>524366</vt:i4>
      </vt:variant>
      <vt:variant>
        <vt:i4>3</vt:i4>
      </vt:variant>
      <vt:variant>
        <vt:i4>0</vt:i4>
      </vt:variant>
      <vt:variant>
        <vt:i4>5</vt:i4>
      </vt:variant>
      <vt:variant>
        <vt:lpwstr>http://www.efsa.europa.eu/en/efsajournal/doc/1932.pdf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http://www.who.int/ipcs/publications/en/toc.pdf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dcterms:created xsi:type="dcterms:W3CDTF">2019-02-26T16:06:00Z</dcterms:created>
  <dcterms:modified xsi:type="dcterms:W3CDTF">2019-03-01T16:10:00Z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_NewReviewCycle">
    <vt:lpwstr/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ast edited using">
    <vt:lpwstr>LW 6.0.1, Build 20180503</vt:lpwstr>
  </property>
  <property fmtid="{D5CDD505-2E9C-101B-9397-08002B2CF9AE}" pid="8" name="Created using">
    <vt:lpwstr>LW 6.0.1, Build 20180503</vt:lpwstr>
  </property>
</Properties>
</file>