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CC2B5E25-F80F-4A7F-8755-18E306CE8823" style="width:450.75pt;height:397.5pt">
            <v:imagedata r:id="rId8" o:title=""/>
          </v:shape>
        </w:pict>
      </w:r>
    </w:p>
    <w:p>
      <w:pPr>
        <w:pStyle w:val="Pagedecouverture"/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  <w:color w:val="000000" w:themeColor="text1"/>
        </w:rPr>
        <w:lastRenderedPageBreak/>
        <w:t>PŘÍLOHA</w:t>
      </w:r>
      <w:r>
        <w:rPr>
          <w:noProof/>
        </w:rPr>
        <w:t xml:space="preserve"> 1</w:t>
      </w:r>
    </w:p>
    <w:p>
      <w:pPr>
        <w:pStyle w:val="ManualHeading1"/>
        <w:rPr>
          <w:noProof/>
        </w:rPr>
      </w:pPr>
      <w:r>
        <w:rPr>
          <w:noProof/>
        </w:rPr>
        <w:t>Změny Celní úmluvy o mezinárodní přepravě zboží na podkladě karnetů TIR (Úmluva TIR z roku 1975)</w:t>
      </w:r>
    </w:p>
    <w:p>
      <w:pPr>
        <w:pStyle w:val="Text1"/>
        <w:rPr>
          <w:noProof/>
        </w:rPr>
      </w:pPr>
    </w:p>
    <w:p>
      <w:pPr>
        <w:pStyle w:val="ManualHeading2"/>
        <w:tabs>
          <w:tab w:val="clear" w:pos="850"/>
          <w:tab w:val="left" w:pos="284"/>
        </w:tabs>
        <w:ind w:left="284" w:hanging="284"/>
        <w:rPr>
          <w:noProof/>
          <w:szCs w:val="24"/>
        </w:rPr>
      </w:pPr>
      <w:r>
        <w:rPr>
          <w:noProof/>
        </w:rPr>
        <w:t>I Změny hlavního textu Úmluvy TIR podle postupu pro přijímání změn uvedeného v článku 59:</w:t>
      </w:r>
    </w:p>
    <w:p>
      <w:pPr>
        <w:pStyle w:val="Default"/>
        <w:rPr>
          <w:noProof/>
          <w:lang w:val="cs-CZ"/>
        </w:rPr>
      </w:pPr>
    </w:p>
    <w:p>
      <w:pPr>
        <w:pStyle w:val="Default"/>
        <w:jc w:val="both"/>
        <w:rPr>
          <w:b/>
          <w:bCs/>
          <w:i/>
          <w:noProof/>
        </w:rPr>
      </w:pPr>
      <w:r>
        <w:rPr>
          <w:b/>
          <w:i/>
          <w:noProof/>
        </w:rPr>
        <w:t>Ustanovení čl. 6 odst. 1</w:t>
      </w:r>
    </w:p>
    <w:p>
      <w:pPr>
        <w:pStyle w:val="Default"/>
        <w:jc w:val="both"/>
        <w:rPr>
          <w:b/>
          <w:bCs/>
          <w:i/>
          <w:noProof/>
        </w:rPr>
      </w:pPr>
    </w:p>
    <w:p>
      <w:pPr>
        <w:pStyle w:val="Default"/>
        <w:ind w:left="720"/>
        <w:jc w:val="both"/>
        <w:rPr>
          <w:noProof/>
        </w:rPr>
      </w:pPr>
      <w:r>
        <w:rPr>
          <w:i/>
          <w:noProof/>
        </w:rPr>
        <w:t>Znění</w:t>
      </w:r>
      <w:r>
        <w:rPr>
          <w:noProof/>
        </w:rPr>
        <w:t xml:space="preserve"> Každá smluvní strana může </w:t>
      </w:r>
      <w:r>
        <w:rPr>
          <w:i/>
          <w:noProof/>
        </w:rPr>
        <w:t>nahradit zněním</w:t>
      </w:r>
      <w:r>
        <w:rPr>
          <w:noProof/>
        </w:rPr>
        <w:t xml:space="preserve"> Celní orgány nebo jiné příslušné orgány mohou </w:t>
      </w:r>
    </w:p>
    <w:p>
      <w:pPr>
        <w:pStyle w:val="Default"/>
        <w:jc w:val="both"/>
        <w:rPr>
          <w:noProof/>
        </w:rPr>
      </w:pPr>
    </w:p>
    <w:p>
      <w:pPr>
        <w:pStyle w:val="Default"/>
        <w:jc w:val="both"/>
        <w:rPr>
          <w:noProof/>
        </w:rPr>
      </w:pPr>
    </w:p>
    <w:p>
      <w:pPr>
        <w:pStyle w:val="Default"/>
        <w:jc w:val="both"/>
        <w:rPr>
          <w:b/>
          <w:bCs/>
          <w:i/>
          <w:noProof/>
        </w:rPr>
      </w:pPr>
      <w:r>
        <w:rPr>
          <w:b/>
          <w:i/>
          <w:noProof/>
        </w:rPr>
        <w:t>Článek 18</w:t>
      </w:r>
    </w:p>
    <w:p>
      <w:pPr>
        <w:pStyle w:val="Default"/>
        <w:jc w:val="both"/>
        <w:rPr>
          <w:i/>
          <w:noProof/>
        </w:rPr>
      </w:pPr>
    </w:p>
    <w:p>
      <w:pPr>
        <w:pStyle w:val="Default"/>
        <w:ind w:left="720"/>
        <w:jc w:val="both"/>
        <w:rPr>
          <w:noProof/>
        </w:rPr>
      </w:pPr>
      <w:r>
        <w:rPr>
          <w:i/>
          <w:noProof/>
        </w:rPr>
        <w:t>Slovo</w:t>
      </w:r>
      <w:r>
        <w:rPr>
          <w:noProof/>
        </w:rPr>
        <w:t xml:space="preserve"> čtyři </w:t>
      </w:r>
      <w:r>
        <w:rPr>
          <w:i/>
          <w:noProof/>
        </w:rPr>
        <w:t>nahradit slovem</w:t>
      </w:r>
      <w:r>
        <w:rPr>
          <w:noProof/>
        </w:rPr>
        <w:t xml:space="preserve"> osm</w:t>
      </w:r>
    </w:p>
    <w:p>
      <w:pPr>
        <w:pStyle w:val="ManualHeading2"/>
        <w:tabs>
          <w:tab w:val="clear" w:pos="850"/>
          <w:tab w:val="left" w:pos="0"/>
        </w:tabs>
        <w:ind w:left="720" w:firstLine="0"/>
        <w:jc w:val="left"/>
        <w:rPr>
          <w:b w:val="0"/>
          <w:noProof/>
          <w:szCs w:val="24"/>
        </w:rPr>
      </w:pPr>
      <w:r>
        <w:rPr>
          <w:b w:val="0"/>
          <w:i/>
          <w:noProof/>
        </w:rPr>
        <w:t>Doplnit</w:t>
      </w:r>
      <w:r>
        <w:rPr>
          <w:noProof/>
        </w:rPr>
        <w:t xml:space="preserve"> </w:t>
      </w:r>
      <w:r>
        <w:rPr>
          <w:b w:val="0"/>
          <w:noProof/>
        </w:rPr>
        <w:t xml:space="preserve">nový pododstavec, </w:t>
      </w:r>
      <w:r>
        <w:rPr>
          <w:b w:val="0"/>
          <w:i/>
          <w:noProof/>
        </w:rPr>
        <w:t>který zní</w:t>
      </w:r>
      <w:r>
        <w:rPr>
          <w:b w:val="0"/>
          <w:noProof/>
        </w:rPr>
        <w:t xml:space="preserve"> Celní orgány mohou omezit maximální počet celních úřadů odeslání (nebo určení) na svém území na méně než sedm, nejméně však tři.</w:t>
      </w:r>
    </w:p>
    <w:p>
      <w:pPr>
        <w:pStyle w:val="Text1"/>
        <w:rPr>
          <w:noProof/>
        </w:rPr>
      </w:pPr>
    </w:p>
    <w:p>
      <w:pPr>
        <w:pStyle w:val="ManualHeading2"/>
        <w:tabs>
          <w:tab w:val="clear" w:pos="850"/>
          <w:tab w:val="left" w:pos="284"/>
        </w:tabs>
        <w:ind w:left="284" w:hanging="284"/>
        <w:rPr>
          <w:noProof/>
          <w:szCs w:val="24"/>
        </w:rPr>
      </w:pPr>
      <w:r>
        <w:rPr>
          <w:noProof/>
        </w:rPr>
        <w:t>II Změny příloh Úmluvy TIR podle postupu pro přijímání změn uvedeného v článku 60:</w:t>
      </w:r>
    </w:p>
    <w:p>
      <w:pPr>
        <w:pStyle w:val="Default"/>
        <w:jc w:val="both"/>
        <w:rPr>
          <w:noProof/>
        </w:rPr>
      </w:pPr>
    </w:p>
    <w:p>
      <w:pPr>
        <w:pStyle w:val="Default"/>
        <w:jc w:val="both"/>
        <w:rPr>
          <w:i/>
          <w:noProof/>
        </w:rPr>
      </w:pPr>
      <w:r>
        <w:rPr>
          <w:b/>
          <w:i/>
          <w:noProof/>
        </w:rPr>
        <w:t>Příloha 6, vysvětlivka k čl. 6 odst. 2</w:t>
      </w:r>
    </w:p>
    <w:p>
      <w:pPr>
        <w:pStyle w:val="Default"/>
        <w:ind w:left="720"/>
        <w:jc w:val="both"/>
        <w:rPr>
          <w:i/>
          <w:noProof/>
        </w:rPr>
      </w:pPr>
    </w:p>
    <w:p>
      <w:pPr>
        <w:pStyle w:val="Default"/>
        <w:ind w:left="720"/>
        <w:jc w:val="both"/>
        <w:rPr>
          <w:noProof/>
        </w:rPr>
      </w:pPr>
      <w:r>
        <w:rPr>
          <w:i/>
          <w:noProof/>
        </w:rPr>
        <w:t>Znění</w:t>
      </w:r>
      <w:r>
        <w:rPr>
          <w:noProof/>
        </w:rPr>
        <w:t xml:space="preserve"> mohou celní orgány země schválit </w:t>
      </w:r>
      <w:r>
        <w:rPr>
          <w:i/>
          <w:noProof/>
        </w:rPr>
        <w:t>nahradit zněním</w:t>
      </w:r>
      <w:r>
        <w:rPr>
          <w:noProof/>
        </w:rPr>
        <w:t xml:space="preserve"> mohou celní orgány smluvní strany povolit.</w:t>
      </w:r>
    </w:p>
    <w:p>
      <w:pPr>
        <w:pStyle w:val="Default"/>
        <w:jc w:val="both"/>
        <w:rPr>
          <w:noProof/>
        </w:rPr>
      </w:pPr>
    </w:p>
    <w:p>
      <w:pPr>
        <w:pStyle w:val="Default"/>
        <w:jc w:val="both"/>
        <w:rPr>
          <w:b/>
          <w:bCs/>
          <w:i/>
          <w:noProof/>
        </w:rPr>
      </w:pPr>
      <w:r>
        <w:rPr>
          <w:b/>
          <w:i/>
          <w:noProof/>
        </w:rPr>
        <w:t>Příloha 6, nová vysvětlivka k článku 18</w:t>
      </w:r>
    </w:p>
    <w:p>
      <w:pPr>
        <w:pStyle w:val="Default"/>
        <w:ind w:left="720"/>
        <w:jc w:val="both"/>
        <w:rPr>
          <w:b/>
          <w:bCs/>
          <w:i/>
          <w:noProof/>
        </w:rPr>
      </w:pPr>
    </w:p>
    <w:p>
      <w:pPr>
        <w:pStyle w:val="Default"/>
        <w:ind w:left="1440" w:hanging="720"/>
        <w:jc w:val="both"/>
        <w:rPr>
          <w:noProof/>
        </w:rPr>
      </w:pPr>
      <w:r>
        <w:rPr>
          <w:noProof/>
        </w:rPr>
        <w:t>0.18.3 Smluvní strany zveřejňují informace o těchto omezeních a uvědomí o tom Výkonnou radu TIR, a to včetně řádného využití elektronických aplikací vyvinutých za tímto účelem sekretariátem TIR pod dohledem Výkonné rady TIR.</w:t>
      </w:r>
    </w:p>
    <w:p>
      <w:pPr>
        <w:pStyle w:val="Default"/>
        <w:jc w:val="both"/>
        <w:rPr>
          <w:noProof/>
        </w:rPr>
      </w:pPr>
    </w:p>
    <w:p>
      <w:pPr>
        <w:pStyle w:val="Default"/>
        <w:jc w:val="both"/>
        <w:rPr>
          <w:b/>
          <w:bCs/>
          <w:i/>
          <w:noProof/>
        </w:rPr>
      </w:pPr>
      <w:r>
        <w:rPr>
          <w:b/>
          <w:i/>
          <w:noProof/>
        </w:rPr>
        <w:t>Příloha 9 část I bod 1</w:t>
      </w:r>
    </w:p>
    <w:p>
      <w:pPr>
        <w:pStyle w:val="Default"/>
        <w:ind w:left="720"/>
        <w:jc w:val="both"/>
        <w:rPr>
          <w:b/>
          <w:bCs/>
          <w:i/>
          <w:noProof/>
        </w:rPr>
      </w:pPr>
    </w:p>
    <w:p>
      <w:pPr>
        <w:pStyle w:val="Default"/>
        <w:ind w:left="720"/>
        <w:jc w:val="both"/>
        <w:rPr>
          <w:noProof/>
        </w:rPr>
      </w:pPr>
      <w:r>
        <w:rPr>
          <w:i/>
          <w:noProof/>
        </w:rPr>
        <w:t>Znění</w:t>
      </w:r>
      <w:r>
        <w:rPr>
          <w:noProof/>
        </w:rPr>
        <w:t xml:space="preserve"> smluvních stran </w:t>
      </w:r>
      <w:r>
        <w:rPr>
          <w:i/>
          <w:noProof/>
        </w:rPr>
        <w:t>nahradit zněním</w:t>
      </w:r>
      <w:r>
        <w:rPr>
          <w:noProof/>
        </w:rPr>
        <w:t xml:space="preserve"> celních orgánů nebo jiných příslušných orgánů smluvní strany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21FC326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4F2FE7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13031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05246D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E7032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2D4BAE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818E94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885498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3-05 10:18:2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1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13"/>
    <w:docVar w:name="DQCResult_UnknownFonts" w:val="0;0"/>
    <w:docVar w:name="DQCResult_UnknownStyles" w:val="0;21"/>
    <w:docVar w:name="DQCStatus" w:val="Green"/>
    <w:docVar w:name="DQCVersion" w:val="3"/>
    <w:docVar w:name="DQCWithWarnings" w:val="0"/>
    <w:docVar w:name="LW_ACCOMPAGNANT" w:val="k"/>
    <w:docVar w:name="LW_ACCOMPAGNANT.CP" w:val="k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CC2B5E25-F80F-4A7F-8755-18E306CE8823"/>
    <w:docVar w:name="LW_COVERPAGE_TYPE" w:val="1"/>
    <w:docVar w:name="LW_CROSSREFERENCE" w:val="&lt;UNUSED&gt;"/>
    <w:docVar w:name="LW_DocType" w:val="ANNEX"/>
    <w:docVar w:name="LW_EMISSION" w:val="11.3.2019"/>
    <w:docVar w:name="LW_EMISSION_ISODATE" w:val="2019-03-11"/>
    <w:docVar w:name="LW_EMISSION_LOCATION" w:val="BRX"/>
    <w:docVar w:name="LW_EMISSION_PREFIX" w:val="V Bruselu dne "/>
    <w:docVar w:name="LW_EMISSION_SUFFIX" w:val=" "/>
    <w:docVar w:name="LW_ID_DOCSTRUCTURE" w:val="COM/ANNEX"/>
    <w:docVar w:name="LW_ID_DOCTYPE" w:val="SG-017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OBJETACTEPRINCIPAL" w:val="o postoji, který má být jménem Evropské unie zaujat ve Správním výboru Úmluvy TIR k návrhu na zm\u283?nu Celní úmluvy o mezinárodní p\u345?eprav\u283? zbo\u382?í na podklad\u283? karnet\u367? TIR"/>
    <w:docVar w:name="LW_OBJETACTEPRINCIPAL.CP" w:val="o postoji, který má být jménem Evropské unie zaujat ve Správním výboru Úmluvy TIR k návrhu na zm\u283?nu Celní úmluvy o mezinárodní p\u345?eprav\u283? zbo\u382?í na podklad\u283? karnet\u367? TIR"/>
    <w:docVar w:name="LW_PART_NBR" w:val="1"/>
    <w:docVar w:name="LW_PART_NBR_TOTAL" w:val="1"/>
    <w:docVar w:name="LW_REF.INST.NEW" w:val="COM"/>
    <w:docVar w:name="LW_REF.INST.NEW_ADOPTED" w:val="final"/>
    <w:docVar w:name="LW_REF.INST.NEW_TEXT" w:val="(2019) 13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NEX"/>
    <w:docVar w:name="LW_TYPE.DOC.CP" w:val="PŘÍLOHA"/>
    <w:docVar w:name="LW_TYPEACTEPRINCIPAL" w:val="návrhu rozhodnutí Rady"/>
    <w:docVar w:name="LW_TYPEACTEPRINCIPAL.CP" w:val="návrhu rozhodnutí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jc w:val="left"/>
    </w:pPr>
    <w:rPr>
      <w:rFonts w:eastAsia="Times New Roman"/>
      <w:b/>
      <w:sz w:val="28"/>
      <w:szCs w:val="20"/>
    </w:rPr>
  </w:style>
  <w:style w:type="paragraph" w:customStyle="1" w:styleId="SingleTxtG">
    <w:name w:val="_ Single Txt_G"/>
    <w:basedOn w:val="Normal"/>
    <w:link w:val="SingleTxtGChar"/>
    <w:pPr>
      <w:suppressAutoHyphens/>
      <w:spacing w:before="0" w:line="240" w:lineRule="atLeast"/>
      <w:ind w:left="1134" w:right="1134"/>
    </w:pPr>
    <w:rPr>
      <w:rFonts w:eastAsia="Times New Roman"/>
      <w:sz w:val="20"/>
      <w:szCs w:val="20"/>
    </w:r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jc w:val="left"/>
    </w:pPr>
    <w:rPr>
      <w:rFonts w:eastAsia="Times New Roman"/>
      <w:b/>
      <w:szCs w:val="20"/>
    </w:rPr>
  </w:style>
  <w:style w:type="character" w:customStyle="1" w:styleId="SingleTxtGChar">
    <w:name w:val="_ Single Txt_G Char"/>
    <w:link w:val="SingleTxtG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cs-CZ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jc w:val="left"/>
    </w:pPr>
    <w:rPr>
      <w:rFonts w:eastAsia="Times New Roman"/>
      <w:b/>
      <w:sz w:val="28"/>
      <w:szCs w:val="20"/>
    </w:rPr>
  </w:style>
  <w:style w:type="paragraph" w:customStyle="1" w:styleId="SingleTxtG">
    <w:name w:val="_ Single Txt_G"/>
    <w:basedOn w:val="Normal"/>
    <w:link w:val="SingleTxtGChar"/>
    <w:pPr>
      <w:suppressAutoHyphens/>
      <w:spacing w:before="0" w:line="240" w:lineRule="atLeast"/>
      <w:ind w:left="1134" w:right="1134"/>
    </w:pPr>
    <w:rPr>
      <w:rFonts w:eastAsia="Times New Roman"/>
      <w:sz w:val="20"/>
      <w:szCs w:val="20"/>
    </w:r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jc w:val="left"/>
    </w:pPr>
    <w:rPr>
      <w:rFonts w:eastAsia="Times New Roman"/>
      <w:b/>
      <w:szCs w:val="20"/>
    </w:rPr>
  </w:style>
  <w:style w:type="character" w:customStyle="1" w:styleId="SingleTxtGChar">
    <w:name w:val="_ Single Txt_G Char"/>
    <w:link w:val="SingleTxtG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cs-CZ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2</Pages>
  <Words>182</Words>
  <Characters>965</Characters>
  <Application>Microsoft Office Word</Application>
  <DocSecurity>0</DocSecurity>
  <Lines>41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GATTEGNO Valerie (TAXUD)</dc:creator>
  <cp:lastModifiedBy>DIGIT/C6</cp:lastModifiedBy>
  <cp:revision>8</cp:revision>
  <cp:lastPrinted>2017-06-09T16:28:00Z</cp:lastPrinted>
  <dcterms:created xsi:type="dcterms:W3CDTF">2019-02-19T10:25:00Z</dcterms:created>
  <dcterms:modified xsi:type="dcterms:W3CDTF">2019-03-05T09:18:00Z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5.8.86.0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5.8.4, Build 20150407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WTemplateID">
    <vt:lpwstr>SG-017</vt:lpwstr>
  </property>
  <property fmtid="{D5CDD505-2E9C-101B-9397-08002B2CF9AE}" pid="11" name="Level of sensitivity">
    <vt:lpwstr>Standard treatment</vt:lpwstr>
  </property>
  <property fmtid="{D5CDD505-2E9C-101B-9397-08002B2CF9AE}" pid="12" name="Unique annex">
    <vt:lpwstr>1</vt:lpwstr>
  </property>
  <property fmtid="{D5CDD505-2E9C-101B-9397-08002B2CF9AE}" pid="13" name="DQCStatus">
    <vt:lpwstr>Green (DQC version 03)</vt:lpwstr>
  </property>
</Properties>
</file>