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C65AF04-6509-4508-8BF2-CA98B8555B41" style="width:450.35pt;height:383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</w:t>
      </w:r>
    </w:p>
    <w:p>
      <w:pPr>
        <w:spacing w:before="0" w:after="240"/>
        <w:rPr>
          <w:rFonts w:eastAsia="Times New Roman"/>
          <w:iCs/>
          <w:noProof/>
          <w:szCs w:val="20"/>
        </w:rPr>
      </w:pPr>
      <w:r>
        <w:rPr>
          <w:noProof/>
        </w:rPr>
        <w:t>EÚ by mala zopakovať svoju pôvodnú pozíciu v prospech zamietnutého spoločného návrhu WHO/WCO na zoskupenie nových kategórií zahrievaných tabakových výrobkov s inými tabakovými výrobkami do položky 2403 a ich objektívne vymedzenie podľa spôsobu spotreby, ktorý zahŕňa proces zahrievania</w:t>
      </w:r>
      <w:r>
        <w:rPr>
          <w:rStyle w:val="FootnoteReference"/>
          <w:rFonts w:eastAsia="Times New Roman"/>
          <w:iCs/>
          <w:noProof/>
          <w:szCs w:val="20"/>
        </w:rPr>
        <w:footnoteReference w:id="1"/>
      </w:r>
      <w:r>
        <w:rPr>
          <w:noProof/>
        </w:rPr>
        <w:t>, ako najlepšieho možného variantu.</w:t>
      </w:r>
    </w:p>
    <w:p>
      <w:pPr>
        <w:spacing w:before="0" w:after="240"/>
        <w:rPr>
          <w:rFonts w:eastAsia="Times New Roman"/>
          <w:iCs/>
          <w:noProof/>
          <w:szCs w:val="20"/>
        </w:rPr>
      </w:pPr>
      <w:r>
        <w:rPr>
          <w:noProof/>
        </w:rPr>
        <w:t>EÚ pripomína Rámcový dohovor Svetovej zdravotníckej organizácie o kontrole tabaku – ktorého plnohodnotnou zmluvnou stranou sú EÚ a všetky členské štáty – a jeho rozhodnutie FCTC/COP8(22) o nových a vznikajúcich kategóriách tabakových výrobkov. EÚ pripomína, že na základe Rámcového dohovoru Svetovej zdravotníckej organizácie o kontrole tabaku sa v súčasnosti pracuje okrem iného aj na posúdení povahy emisií pochádzajúcich z nových kategórií tabakových výrobkov, a že tento vývoj možno bude potrebné zohľadniť neskôr, a to v revíznom cykle HS 2027, ak sa zistia nové dôkazy relevantné pre posúdenie objektívnych charakteristík a vlastností takýchto výrobkov na colné účely.</w:t>
      </w:r>
    </w:p>
    <w:p>
      <w:pPr>
        <w:spacing w:before="0" w:after="240"/>
        <w:rPr>
          <w:noProof/>
        </w:rPr>
      </w:pPr>
      <w:r>
        <w:rPr>
          <w:noProof/>
        </w:rPr>
        <w:t>EÚ by však mala uznať, že práca v rámci cyklu HS 2022 sa uberá smerom, ktorý sa odkláňa od návrhu WCO/WHO. EÚ vzhľadom na uvedené a s cieľom neblokovať rozhodovací proces:</w:t>
      </w:r>
    </w:p>
    <w:p>
      <w:pPr>
        <w:spacing w:before="0" w:after="240"/>
        <w:ind w:left="720" w:hanging="720"/>
        <w:rPr>
          <w:noProof/>
        </w:rPr>
      </w:pPr>
      <w:r>
        <w:rPr>
          <w:noProof/>
        </w:rPr>
        <w:t>–</w:t>
      </w:r>
      <w:r>
        <w:rPr>
          <w:noProof/>
        </w:rPr>
        <w:tab/>
      </w:r>
      <w:r>
        <w:rPr>
          <w:b/>
          <w:iCs/>
          <w:noProof/>
          <w:szCs w:val="20"/>
          <w:u w:val="single"/>
        </w:rPr>
        <w:t>môže akceptovať návrh na zmenu</w:t>
      </w:r>
      <w:r>
        <w:rPr>
          <w:noProof/>
        </w:rPr>
        <w:t xml:space="preserve"> vyplývajúci z práce podvýboru WCO pre revíziu HS v nadväznosti na väčšinové stanovisko zmluvných strán dohovoru o HS a</w:t>
      </w:r>
    </w:p>
    <w:p>
      <w:pPr>
        <w:spacing w:before="0" w:after="240"/>
        <w:ind w:left="720" w:hanging="720"/>
        <w:rPr>
          <w:noProof/>
        </w:rPr>
      </w:pPr>
      <w:r>
        <w:rPr>
          <w:noProof/>
        </w:rPr>
        <w:t>–</w:t>
      </w:r>
      <w:r>
        <w:rPr>
          <w:noProof/>
        </w:rPr>
        <w:tab/>
        <w:t>mala by vyjadriť svoju pozíciu k výberu formulácie v dvoch prípadoch uvedených v zátvorkách, o ktorých sa má rozhodnúť: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Nová poznámka 2 k 24. kapitole: </w:t>
      </w:r>
      <w:r>
        <w:rPr>
          <w:b/>
          <w:noProof/>
        </w:rPr>
        <w:t>podporiť prvý variant</w:t>
      </w:r>
      <w:r>
        <w:rPr>
          <w:noProof/>
        </w:rPr>
        <w:t>, ktorý znie „2. – Do položky 2404 nepatria výrobky uvedené v položkách 2402 a 2403.“. Únia by nemala podporiť uprednostnenie položky 2404,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pokiaľ ide o zatriedenie nových kategórií tabakových výrobkov. Vhodnejšie je obmedziť rozsah tejto položky na výrobky, ktoré sú v nej jednoznačne zatriedené, tak, aby sa tabakové výrobky, ktoré môžu byť zatriedené do tejto položky, ale aj do inej položky 24. kapitoly (2402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alebo 2403</w:t>
      </w:r>
      <w:r>
        <w:rPr>
          <w:rStyle w:val="FootnoteReference"/>
          <w:noProof/>
        </w:rPr>
        <w:footnoteReference w:id="4"/>
      </w:r>
      <w:r>
        <w:rPr>
          <w:noProof/>
        </w:rPr>
        <w:t>), presmerovali do týchto iných položiek.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Nová poznámka 3 k 24. kapitole: </w:t>
      </w:r>
      <w:r>
        <w:rPr>
          <w:b/>
          <w:noProof/>
        </w:rPr>
        <w:t>nepodporiť zahrnutie textu</w:t>
      </w:r>
      <w:r>
        <w:rPr>
          <w:noProof/>
        </w:rPr>
        <w:t xml:space="preserve"> „bez ohľadu na to, či vzniká dym“. Odkaz na dym môže viesť k nejasnostiam, pokiaľ ide o rozlíšenie medzi výrobkami položiek 2402 (a 2403) a 2404, keďže pôvodným cieľom a účelom vytvorenia novej položky 2404 je zahrnúť do nej výrobky, ktoré sa nefajčia tradičným spôsobom.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Dokument WCO NC2513B1a (príloha).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Do novej položky 2404 by mali patriť „výrobky obsahujúce tabak, rekonštituovaný tabak, nikotín alebo náhradky tabaku alebo nikotínu, určené na inhaláciu bez spaľovania; ostatné výrobky obsahujúce nikotín určené na prísun nikotínu do ľudského tela“.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Do položky 2402 patria „cigary, cigary s odrezanými koncami, cigarky a cigarety z tabaku alebo náhradiek tabaku“.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Do položky 2403 patria „ostatný spracovaný tabak a spracované náhradky tabaku; „homogenizovaný“ alebo „rekonštituovaný“ tabak; tabakové výťažky a esencie“.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CA21E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B0404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0E6A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598FC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B9A36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8B6FE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F01AB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5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1"/>
  </w:num>
  <w:num w:numId="11">
    <w:abstractNumId w:val="19"/>
  </w:num>
  <w:num w:numId="12">
    <w:abstractNumId w:val="10"/>
  </w:num>
  <w:num w:numId="13">
    <w:abstractNumId w:val="12"/>
  </w:num>
  <w:num w:numId="14">
    <w:abstractNumId w:val="8"/>
  </w:num>
  <w:num w:numId="15">
    <w:abstractNumId w:val="18"/>
  </w:num>
  <w:num w:numId="16">
    <w:abstractNumId w:val="7"/>
  </w:num>
  <w:num w:numId="17">
    <w:abstractNumId w:val="13"/>
  </w:num>
  <w:num w:numId="18">
    <w:abstractNumId w:val="15"/>
  </w:num>
  <w:num w:numId="19">
    <w:abstractNumId w:val="16"/>
  </w:num>
  <w:num w:numId="20">
    <w:abstractNumId w:val="9"/>
  </w:num>
  <w:num w:numId="21">
    <w:abstractNumId w:val="14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11 10:14:0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C65AF04-6509-4508-8BF2-CA98B8555B41"/>
    <w:docVar w:name="LW_COVERPAGE_TYPE" w:val="1"/>
    <w:docVar w:name="LW_CROSSREFERENCE" w:val="&lt;UNUSED&gt;"/>
    <w:docVar w:name="LW_DocType" w:val="ANNEX"/>
    <w:docVar w:name="LW_EMISSION" w:val="1. 3. 2019"/>
    <w:docVar w:name="LW_EMISSION_ISODATE" w:val="2019-03-01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pozícii, ktorá sa má zauja\u357? v mene Európskej únie vo Svetovej colnej organizácii v&lt;LWCR:NBS&gt;súvislosti s&lt;LWCR:NBS&gt;harmonizovaným systémom"/>
    <w:docVar w:name="LW_OBJETACTEPRINCIPAL.CP" w:val="o pozícii, ktorá sa má zauja\u357? v mene Európskej únie vo Svetovej colnej organizácii v súvislosti s harmonizovaným systémom"/>
    <w:docVar w:name="LW_PART_NBR" w:val="1"/>
    <w:docVar w:name="LW_PART_NBR_TOTAL" w:val="1"/>
    <w:docVar w:name="LW_REF.INST.NEW" w:val="COM"/>
    <w:docVar w:name="LW_REF.INST.NEW_ADOPTED" w:val="final"/>
    <w:docVar w:name="LW_REF.INST.NEW_TEXT" w:val="(2019) 12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rozhodnutia Rady"/>
    <w:docVar w:name="LW_TYPEACTEPRINCIPAL.CP" w:val="návrhu rozhodnut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1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1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1"/>
      </w:numPr>
    </w:pPr>
    <w:rPr>
      <w:rFonts w:eastAsia="Times New Roman"/>
      <w:lang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sk-SK"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1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1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1"/>
      </w:numPr>
    </w:pPr>
    <w:rPr>
      <w:rFonts w:eastAsia="Times New Roman"/>
      <w:lang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sk-SK"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99B5-E86E-45D8-8E5C-2BAC384B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2</Pages>
  <Words>349</Words>
  <Characters>1964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GATTEGNO Valerie (TAXUD)</dc:creator>
  <cp:lastModifiedBy>WES PDFC Administrator</cp:lastModifiedBy>
  <cp:revision>8</cp:revision>
  <cp:lastPrinted>2019-02-22T15:46:00Z</cp:lastPrinted>
  <dcterms:created xsi:type="dcterms:W3CDTF">2019-03-08T16:17:00Z</dcterms:created>
  <dcterms:modified xsi:type="dcterms:W3CDTF">2019-03-11T09:14:00Z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