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2DD2284-02EA-46C8-A7A5-72A56626BDAE" style="width:450.75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PRIEDAS </w:t>
      </w:r>
    </w:p>
    <w:p>
      <w:pPr>
        <w:spacing w:before="0" w:after="240"/>
        <w:rPr>
          <w:rFonts w:eastAsia="Times New Roman"/>
          <w:iCs/>
          <w:noProof/>
          <w:szCs w:val="20"/>
        </w:rPr>
      </w:pPr>
      <w:r>
        <w:rPr>
          <w:noProof/>
        </w:rPr>
        <w:t>ES turėtų toliau laikytis savo pradinės pozicijos pritarti jungtiniam PSO / PMO pasiūlymui (šis pasiūlymas buvo atmestas) naujoviškus kaitinamo tabako gaminius grupuoti 24.03 pozicijoje su kitais tabako gaminiais ir kaip geriausią variantą nurodyti jų objektyvų apibrėžimą pagal vartojimo būdą, kuris apima kaitinimo procesą</w:t>
      </w:r>
      <w:r>
        <w:rPr>
          <w:rStyle w:val="FootnoteReference"/>
          <w:noProof/>
        </w:rPr>
        <w:footnoteReference w:id="1"/>
      </w:r>
      <w:r>
        <w:rPr>
          <w:noProof/>
        </w:rPr>
        <w:t>.</w:t>
      </w:r>
    </w:p>
    <w:p>
      <w:pPr>
        <w:spacing w:before="0" w:after="240"/>
        <w:rPr>
          <w:rFonts w:eastAsia="Times New Roman"/>
          <w:iCs/>
          <w:noProof/>
          <w:szCs w:val="20"/>
        </w:rPr>
      </w:pPr>
      <w:r>
        <w:rPr>
          <w:noProof/>
        </w:rPr>
        <w:t xml:space="preserve">ES primena PSO tabako kontrolės pagrindų konvenciją (ES ir visos valstybės narės yra jos visateisė šalis) ir jos sprendimą FCTC/COP8(22) dėl naujoviškų ir naujai atsirandančių tabako gaminių. ES primena, kad pagal PSO tabako kontrolės pagrindų konvenciją šiuo metu atliekamas darbas, susijęs, </w:t>
      </w:r>
      <w:r>
        <w:rPr>
          <w:i/>
          <w:noProof/>
        </w:rPr>
        <w:t>inter alia</w:t>
      </w:r>
      <w:r>
        <w:rPr>
          <w:noProof/>
        </w:rPr>
        <w:t>, su naujoviškų tabako gaminių išskiriamų medžiagų pobūdžiu, ir kad šiuos pokyčius gali prireikti nagrinėti vėlesniu etapu, per SS 2027 m. peržiūros ciklą, jeigu atsiras naujų duomenų, kurie bus svarbūs vertinant tokių gaminių objektyvius požymius ir savybes muitinio klasifikavimo tikslais.</w:t>
      </w:r>
    </w:p>
    <w:p>
      <w:pPr>
        <w:spacing w:before="0" w:after="240"/>
        <w:rPr>
          <w:rFonts w:eastAsia="Times New Roman"/>
          <w:iCs/>
          <w:noProof/>
          <w:szCs w:val="20"/>
        </w:rPr>
      </w:pPr>
      <w:r>
        <w:rPr>
          <w:noProof/>
        </w:rPr>
        <w:t xml:space="preserve">Tačiau ES turėtų pripažinti, kad per SS 2022 m. peržiūros ciklą atliekamas darbas nukrypo nuo PMO / PSO pasiūlymo. Atsižvelgdama į tai ir tam, kad nebūtų blokuojamas sprendimų priėmimo procesas, ES: </w:t>
      </w:r>
    </w:p>
    <w:p>
      <w:pPr>
        <w:spacing w:before="0" w:after="240"/>
        <w:ind w:left="720" w:hanging="720"/>
        <w:rPr>
          <w:rFonts w:eastAsia="Times New Roman"/>
          <w:noProof/>
          <w:szCs w:val="20"/>
        </w:rPr>
      </w:pPr>
      <w:r>
        <w:rPr>
          <w:noProof/>
        </w:rPr>
        <w:t>-</w:t>
      </w:r>
      <w:r>
        <w:rPr>
          <w:noProof/>
        </w:rPr>
        <w:tab/>
        <w:t xml:space="preserve">atsižvelgdama į daugumos SS konvencijos susitariančiųjų šalių nuomonę, </w:t>
      </w:r>
      <w:r>
        <w:rPr>
          <w:b/>
          <w:noProof/>
          <w:u w:val="single"/>
        </w:rPr>
        <w:t>gali priimti pakeitimo projektą</w:t>
      </w:r>
      <w:r>
        <w:rPr>
          <w:noProof/>
        </w:rPr>
        <w:t xml:space="preserve">, kurį parengė PMO SS peržiūros pakomitetis, ir </w:t>
      </w:r>
    </w:p>
    <w:p>
      <w:pPr>
        <w:spacing w:before="0" w:after="240"/>
        <w:ind w:left="720" w:hanging="720"/>
        <w:rPr>
          <w:rFonts w:eastAsia="Times New Roman"/>
          <w:strike/>
          <w:noProof/>
          <w:szCs w:val="20"/>
        </w:rPr>
      </w:pPr>
      <w:r>
        <w:rPr>
          <w:noProof/>
        </w:rPr>
        <w:t>-</w:t>
      </w:r>
      <w:r>
        <w:rPr>
          <w:noProof/>
        </w:rPr>
        <w:tab/>
        <w:t>turėtų pareikšti savo poziciją dėl dviejų skliausteliuose paliktų formuluočių, dėl kurių turi būti priimtas sprendimas, pasirinkimo:</w:t>
      </w:r>
      <w:r>
        <w:rPr>
          <w:strike/>
          <w:noProof/>
        </w:rPr>
        <w:t xml:space="preserve"> </w:t>
      </w:r>
    </w:p>
    <w:p>
      <w:pPr>
        <w:pStyle w:val="Point0number"/>
        <w:numPr>
          <w:ilvl w:val="0"/>
          <w:numId w:val="2"/>
        </w:numPr>
        <w:rPr>
          <w:noProof/>
        </w:rPr>
      </w:pPr>
      <w:r>
        <w:rPr>
          <w:noProof/>
        </w:rPr>
        <w:t xml:space="preserve">24 skirsnio nauja 2 pastaba: </w:t>
      </w:r>
      <w:r>
        <w:rPr>
          <w:b/>
          <w:noProof/>
        </w:rPr>
        <w:t>pritarti pirmajam variantui</w:t>
      </w:r>
      <w:r>
        <w:rPr>
          <w:noProof/>
        </w:rPr>
        <w:t>, suformuluotam taip: „2. 24.04 pozicijai nepriskiriami gaminiai, nurodyti 24.02 ir 24.03 pozicijose.“ Sąjunga neturėtų pritarti tam, kad pirmenybė būtų teikiama naujoviškų tabako gaminių priskyrimui 24.04 pozicijai</w:t>
      </w:r>
      <w:r>
        <w:rPr>
          <w:rStyle w:val="FootnoteReference"/>
          <w:noProof/>
        </w:rPr>
        <w:footnoteReference w:id="2"/>
      </w:r>
      <w:r>
        <w:rPr>
          <w:noProof/>
        </w:rPr>
        <w:t>. Tikslingiau tą poziciją apriboti gaminiais, kurie vienareikšmiškai jai priskiriami, kad tabako gaminius, kurie gali būti priskirti ne tik tai, bet ir kitai 24 skirsnio pozicijai (24.02</w:t>
      </w:r>
      <w:r>
        <w:rPr>
          <w:rStyle w:val="FootnoteReference"/>
          <w:noProof/>
        </w:rPr>
        <w:footnoteReference w:id="3"/>
      </w:r>
      <w:r>
        <w:rPr>
          <w:noProof/>
        </w:rPr>
        <w:t xml:space="preserve"> arba 24.03</w:t>
      </w:r>
      <w:r>
        <w:rPr>
          <w:rStyle w:val="FootnoteReference"/>
          <w:noProof/>
        </w:rPr>
        <w:footnoteReference w:id="4"/>
      </w:r>
      <w:r>
        <w:rPr>
          <w:noProof/>
        </w:rPr>
        <w:t>), būtų galima priskirti toms kitoms pozicijoms.</w:t>
      </w:r>
    </w:p>
    <w:p>
      <w:pPr>
        <w:pStyle w:val="Point0number"/>
        <w:tabs>
          <w:tab w:val="clear" w:pos="850"/>
          <w:tab w:val="num" w:pos="709"/>
        </w:tabs>
        <w:ind w:left="709" w:hanging="709"/>
        <w:rPr>
          <w:noProof/>
        </w:rPr>
      </w:pPr>
      <w:r>
        <w:rPr>
          <w:noProof/>
        </w:rPr>
        <w:t xml:space="preserve">24 skirsnio nauja 3 pastaba: </w:t>
      </w:r>
      <w:r>
        <w:rPr>
          <w:b/>
          <w:noProof/>
        </w:rPr>
        <w:t>nepritarti, kad būtų įtrauktas tekstas</w:t>
      </w:r>
      <w:r>
        <w:rPr>
          <w:noProof/>
        </w:rPr>
        <w:t xml:space="preserve"> „nepriklausomai nuo to, ar atsiranda dūmų“. Siekiant atskirti 24.02 (ir 24.03) ir 24.04 pozicijoms priskirtinus gaminius, nuoroda į dūmus gali būti klaidinanti, nes pradinis naujos 24.04 pozicijos sukūrimo tikslas ir paskirtis yra jai priskirti gaminius, kurie rūkomi netradiciniu būdu.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Dok. WCO NC2513B1a (priedas).</w:t>
      </w:r>
    </w:p>
  </w:footnote>
  <w:footnote w:id="2">
    <w:p>
      <w:pPr>
        <w:pStyle w:val="FootnoteText"/>
      </w:pPr>
      <w:r>
        <w:rPr>
          <w:rStyle w:val="FootnoteReference"/>
        </w:rPr>
        <w:footnoteRef/>
      </w:r>
      <w:r>
        <w:tab/>
        <w:t>Naujai 24.04 pozicijai turėtų būti priskiriami „Gaminiai, kuriuose yra tabako, regeneruoto tabako, nikotino arba tabako ar nikotino pakaitalų, skirti įkvėpti  nesudeginant; kiti gaminiai, kuriuose yra nikotino, skirti tam, kad nikotinas patektų į žmogaus kūną“.</w:t>
      </w:r>
    </w:p>
  </w:footnote>
  <w:footnote w:id="3">
    <w:p>
      <w:pPr>
        <w:pStyle w:val="FootnoteText"/>
      </w:pPr>
      <w:r>
        <w:rPr>
          <w:rStyle w:val="FootnoteReference"/>
        </w:rPr>
        <w:footnoteRef/>
      </w:r>
      <w:r>
        <w:tab/>
        <w:t>24.02 pozicijai priskiriami cigarai, įskaitant cigarus su apipjaustytais galais, cigarilės ir cigaretės su tabaku ar tabako pakaitalais.</w:t>
      </w:r>
    </w:p>
  </w:footnote>
  <w:footnote w:id="4">
    <w:p>
      <w:pPr>
        <w:pStyle w:val="FootnoteText"/>
      </w:pPr>
      <w:r>
        <w:rPr>
          <w:rStyle w:val="FootnoteReference"/>
        </w:rPr>
        <w:footnoteRef/>
      </w:r>
      <w:r>
        <w:tab/>
        <w:t>24.03 pozicijai priskiriamas kitas perdirbtas tabakas ir perdirbti tabako pakaitalai; „homogenizuotas“ arba „regeneruotas“ tabakas; tabako ekstraktai ir esencijos.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A21E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40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E6A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98F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9A36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6FE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F01ABF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1"/>
  </w:num>
  <w:num w:numId="12">
    <w:abstractNumId w:val="19"/>
  </w:num>
  <w:num w:numId="13">
    <w:abstractNumId w:val="10"/>
  </w:num>
  <w:num w:numId="14">
    <w:abstractNumId w:val="12"/>
  </w:num>
  <w:num w:numId="15">
    <w:abstractNumId w:val="8"/>
  </w:num>
  <w:num w:numId="16">
    <w:abstractNumId w:val="18"/>
  </w:num>
  <w:num w:numId="17">
    <w:abstractNumId w:val="7"/>
  </w:num>
  <w:num w:numId="18">
    <w:abstractNumId w:val="13"/>
  </w:num>
  <w:num w:numId="19">
    <w:abstractNumId w:val="15"/>
  </w:num>
  <w:num w:numId="20">
    <w:abstractNumId w:val="16"/>
  </w:num>
  <w:num w:numId="21">
    <w:abstractNumId w:val="9"/>
  </w:num>
  <w:num w:numId="22">
    <w:abstractNumId w:val="14"/>
  </w:num>
  <w:num w:numId="23">
    <w:abstractNumId w:val="21"/>
  </w:num>
  <w:num w:numId="24">
    <w:abstractNumId w:val="17"/>
  </w:num>
  <w:num w:numId="25">
    <w:abstractNumId w:val="11"/>
  </w:num>
  <w:num w:numId="26">
    <w:abstractNumId w:val="19"/>
  </w:num>
  <w:num w:numId="27">
    <w:abstractNumId w:val="10"/>
  </w:num>
  <w:num w:numId="28">
    <w:abstractNumId w:val="12"/>
  </w:num>
  <w:num w:numId="29">
    <w:abstractNumId w:val="8"/>
  </w:num>
  <w:num w:numId="30">
    <w:abstractNumId w:val="18"/>
  </w:num>
  <w:num w:numId="31">
    <w:abstractNumId w:val="7"/>
  </w:num>
  <w:num w:numId="32">
    <w:abstractNumId w:val="13"/>
  </w:num>
  <w:num w:numId="33">
    <w:abstractNumId w:val="15"/>
  </w:num>
  <w:num w:numId="34">
    <w:abstractNumId w:val="16"/>
  </w:num>
  <w:num w:numId="35">
    <w:abstractNumId w:val="9"/>
  </w:num>
  <w:num w:numId="36">
    <w:abstractNumId w:val="14"/>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2: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12DD2284-02EA-46C8-A7A5-72A56626BDAE"/>
    <w:docVar w:name="LW_COVERPAGE_TYPE" w:val="1"/>
    <w:docVar w:name="LW_CROSSREFERENCE" w:val="&lt;UNUSED&gt;"/>
    <w:docVar w:name="LW_DocType" w:val="ANNEX"/>
    <w:docVar w:name="LW_EMISSION" w:val="2019 03 01"/>
    <w:docVar w:name="LW_EMISSION_ISODATE" w:val="2019-03-01"/>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Europos S\u261?jungos vardu turi b\u363?ti laikomasi Pasaulio muitini\u371? organizacijoje, d\u279?l Suderintos sistemos"/>
    <w:docVar w:name="LW_OBJETACTEPRINCIPAL.CP" w:val="d\u279?l pozicijos, kurios Europos S\u261?jungos vardu turi b\u363?ti laikomasi Pasaulio muitini\u371? organizacijoje, d\u279?l Suderintos sistemos"/>
    <w:docVar w:name="LW_PART_NBR" w:val="1"/>
    <w:docVar w:name="LW_PART_NBR_TOTAL" w:val="1"/>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C2F7-9F6F-4C91-83D1-BA47546C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Pages>
  <Words>315</Words>
  <Characters>1984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Valerie (TAXUD)</dc:creator>
  <cp:lastModifiedBy>DIGIT/C6</cp:lastModifiedBy>
  <cp:revision>8</cp:revision>
  <cp:lastPrinted>2019-02-22T15:46:00Z</cp:lastPrinted>
  <dcterms:created xsi:type="dcterms:W3CDTF">2019-03-08T16:08:00Z</dcterms:created>
  <dcterms:modified xsi:type="dcterms:W3CDTF">2019-03-11T09:12:00Z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