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797BBE1-EC88-4C47-A301-5580F24C9C6B" style="width:450.7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PIELIKUMS </w:t>
      </w:r>
    </w:p>
    <w:p>
      <w:pPr>
        <w:spacing w:before="0" w:after="240"/>
        <w:rPr>
          <w:rFonts w:eastAsia="Times New Roman"/>
          <w:iCs/>
          <w:noProof/>
          <w:szCs w:val="20"/>
        </w:rPr>
      </w:pPr>
      <w:r>
        <w:rPr>
          <w:noProof/>
        </w:rPr>
        <w:t>ES būtu jāatjauno sava sākotnējā nostāja par labu noraidītajam PVO/PMO priekšlikumam grupēt jaunieviestus karsētas tabakas izstrādājumus ar citiem tabakas izstrādājumiem 24.03. pozīcijā un objektīvi definēt tos pēc patēriņa veida, kurā ietverts karsēšanas process</w:t>
      </w:r>
      <w:r>
        <w:rPr>
          <w:rStyle w:val="FootnoteReference"/>
          <w:noProof/>
        </w:rPr>
        <w:footnoteReference w:id="1"/>
      </w:r>
      <w:r>
        <w:rPr>
          <w:noProof/>
        </w:rPr>
        <w:t>, kā labāko iespējamo risinājumu.</w:t>
      </w:r>
    </w:p>
    <w:p>
      <w:pPr>
        <w:spacing w:before="0" w:after="240"/>
        <w:rPr>
          <w:rFonts w:eastAsia="Times New Roman"/>
          <w:iCs/>
          <w:noProof/>
          <w:szCs w:val="20"/>
        </w:rPr>
      </w:pPr>
      <w:r>
        <w:rPr>
          <w:noProof/>
        </w:rPr>
        <w:t>ES atgādina par PVO Pamatkonvenciju par tabakas kontroli, kurā ES un visas dalībvalstis ir pilntiesīgas puses, un tās lēmumu FCTC/COP8 (22) par jaunieviestiem un novatoriskiem tabakas izstrādājumiem. ES atgādina, ka pašlaik PVO Pamatkonvencijas par tabakas kontroli ietvaros tiek veikts darbs cita starpā attiecībā uz emisiju, ko rada jaunieviestie tabakas izstrādājumi, un ka vēlākā laikposmā, proti, HS2027 pārskatīšanas ciklā var nākties atgriezties pie šīm attīstības tendencēm, ja ir gūti jauni pierādījumi, kas attiecas uz šādu izstrādājumu objektīvo pazīmju un īpašību novērtēšanu muitas vajadzībām.</w:t>
      </w:r>
    </w:p>
    <w:p>
      <w:pPr>
        <w:spacing w:before="0" w:after="240"/>
        <w:rPr>
          <w:rFonts w:eastAsia="Times New Roman"/>
          <w:iCs/>
          <w:noProof/>
          <w:szCs w:val="20"/>
        </w:rPr>
      </w:pPr>
      <w:r>
        <w:rPr>
          <w:noProof/>
        </w:rPr>
        <w:t xml:space="preserve">Tomēr ES būtu jāatzīst, ka darbs HS 2022 cikla ietvaros norit citā virzienā, nekā tas ir paredzēts PMO/PVO priekšlikumā. Ņemot vērā iepriekš minēto un lai nebloķētu lēmumu pieņemšanas procesu, ES: </w:t>
      </w:r>
    </w:p>
    <w:p>
      <w:pPr>
        <w:spacing w:before="0" w:after="240"/>
        <w:ind w:left="720" w:hanging="720"/>
        <w:rPr>
          <w:rFonts w:eastAsia="Times New Roman"/>
          <w:noProof/>
          <w:szCs w:val="20"/>
        </w:rPr>
      </w:pPr>
      <w:r>
        <w:rPr>
          <w:noProof/>
        </w:rPr>
        <w:t>-</w:t>
      </w:r>
      <w:r>
        <w:rPr>
          <w:noProof/>
        </w:rPr>
        <w:tab/>
        <w:t xml:space="preserve">pievienojoties HS līgumslēdzēju pušu vairākumam, </w:t>
      </w:r>
      <w:r>
        <w:rPr>
          <w:b/>
          <w:noProof/>
          <w:u w:val="single"/>
        </w:rPr>
        <w:t>var pieņemt grozījumu projektu</w:t>
      </w:r>
      <w:r>
        <w:rPr>
          <w:noProof/>
        </w:rPr>
        <w:t xml:space="preserve">, kas ir PMO HS pārskatīšanas apakškomitejas (PAK) veiktā darba rezultāts, un </w:t>
      </w:r>
    </w:p>
    <w:p>
      <w:pPr>
        <w:spacing w:before="0" w:after="240"/>
        <w:ind w:left="720" w:hanging="720"/>
        <w:rPr>
          <w:rFonts w:eastAsia="Times New Roman"/>
          <w:strike/>
          <w:noProof/>
          <w:szCs w:val="20"/>
        </w:rPr>
      </w:pPr>
      <w:r>
        <w:rPr>
          <w:noProof/>
        </w:rPr>
        <w:t>-</w:t>
      </w:r>
      <w:r>
        <w:rPr>
          <w:noProof/>
        </w:rPr>
        <w:tab/>
        <w:t>būtu jāpauž sava nostāja attiecībā uz formulējumu izvēli divos gadījumos (šobrīd iekavās) par kuriem vēl jāpieņem lēmums.</w:t>
      </w:r>
      <w:r>
        <w:rPr>
          <w:strike/>
          <w:noProof/>
        </w:rPr>
        <w:t xml:space="preserve"> </w:t>
      </w:r>
    </w:p>
    <w:p>
      <w:pPr>
        <w:pStyle w:val="Point0number"/>
        <w:numPr>
          <w:ilvl w:val="0"/>
          <w:numId w:val="2"/>
        </w:numPr>
        <w:rPr>
          <w:noProof/>
        </w:rPr>
      </w:pPr>
      <w:r>
        <w:rPr>
          <w:noProof/>
        </w:rPr>
        <w:t xml:space="preserve">Par 24. nodaļas jauno 2. piezīmi: </w:t>
      </w:r>
      <w:r>
        <w:rPr>
          <w:b/>
          <w:noProof/>
        </w:rPr>
        <w:t>atbalsta pirmo variantu</w:t>
      </w:r>
      <w:r>
        <w:rPr>
          <w:noProof/>
        </w:rPr>
        <w:t>, ko lasa “2.- 24.04. pozīcija neattiecas uz izstrādājumiem, kas norādīti pozīcijās 24.02 un 24.03.” Savienībai nebūtu jāatbalsta prioritātes nodrošināšana 24.04.</w:t>
      </w:r>
      <w:r>
        <w:rPr>
          <w:rStyle w:val="FootnoteReference"/>
          <w:noProof/>
        </w:rPr>
        <w:footnoteReference w:id="2"/>
      </w:r>
      <w:r>
        <w:rPr>
          <w:noProof/>
        </w:rPr>
        <w:t xml:space="preserve"> pozīcijai attiecībā uz jaunieviestu tabakas izstrādājumu klasifikāciju. Lietderīgāk ir attiecināt šo pozīciju tikai uz tiem izstrādājumiem, kas tajā ir viennozīmīgi klasificēti, lai tos tabakas izstrādājumus, kurus var klasificēt gan šajā, gan arī citā 24. nodaļas pozīcijā (24.02.</w:t>
      </w:r>
      <w:r>
        <w:rPr>
          <w:rStyle w:val="FootnoteReference"/>
          <w:noProof/>
        </w:rPr>
        <w:footnoteReference w:id="3"/>
      </w:r>
      <w:r>
        <w:rPr>
          <w:noProof/>
        </w:rPr>
        <w:t xml:space="preserve"> vai 24.03.</w:t>
      </w:r>
      <w:r>
        <w:rPr>
          <w:rStyle w:val="FootnoteReference"/>
          <w:noProof/>
        </w:rPr>
        <w:footnoteReference w:id="4"/>
      </w:r>
      <w:r>
        <w:rPr>
          <w:noProof/>
        </w:rPr>
        <w:t>), novirzītu uz šīm citām pozīcijām.</w:t>
      </w:r>
    </w:p>
    <w:p>
      <w:pPr>
        <w:pStyle w:val="Point0number"/>
        <w:tabs>
          <w:tab w:val="clear" w:pos="850"/>
          <w:tab w:val="num" w:pos="709"/>
        </w:tabs>
        <w:ind w:left="709" w:hanging="709"/>
        <w:rPr>
          <w:noProof/>
        </w:rPr>
      </w:pPr>
      <w:r>
        <w:rPr>
          <w:noProof/>
        </w:rPr>
        <w:t xml:space="preserve">Par 24. nodaļas jauno 3. piezīmi: </w:t>
      </w:r>
      <w:r>
        <w:rPr>
          <w:b/>
          <w:noProof/>
        </w:rPr>
        <w:t>neatbalsta iekavās norādītā teksta “neatkarīgi no dūmu rašanās” iekļaušanu</w:t>
      </w:r>
      <w:r>
        <w:rPr>
          <w:noProof/>
        </w:rPr>
        <w:t xml:space="preserve">. Atsauce uz dūmiem var radīt neskaidrības attiecībā uz nošķiršanu starp izstrādājumiem pozīcijās 24.02 (un 24.03), kā arī 24.04, jo sākotnējā izpratne un mērķis izveidot jauno 24.04. pozīciju bija ietvert izstrādājumus, ko nesmēķē tradicionālajā veidā.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Dokuments PMO NC2513B1a (pielikums)</w:t>
      </w:r>
    </w:p>
  </w:footnote>
  <w:footnote w:id="2">
    <w:p>
      <w:pPr>
        <w:pStyle w:val="FootnoteText"/>
      </w:pPr>
      <w:r>
        <w:rPr>
          <w:rStyle w:val="FootnoteReference"/>
        </w:rPr>
        <w:footnoteRef/>
      </w:r>
      <w:r>
        <w:tab/>
        <w:t>Jaunajā 24.04. pozīcijā būtu jāietver “izstrādājumi, kas satur tabaku, atjaunotu tabaku, nikotīnu vai tabaku vai nikotīnu saturošus aizstājējus, kas paredzēti ieelpošanai bez sadegšanas; citi nikotīnu saturoši izstrādājumi, kas paredzēti nikotīna uzņemšanai cilvēka ķermenī”.</w:t>
      </w:r>
    </w:p>
  </w:footnote>
  <w:footnote w:id="3">
    <w:p>
      <w:pPr>
        <w:pStyle w:val="FootnoteText"/>
      </w:pPr>
      <w:r>
        <w:rPr>
          <w:rStyle w:val="FootnoteReference"/>
        </w:rPr>
        <w:footnoteRef/>
      </w:r>
      <w:r>
        <w:tab/>
        <w:t>Pozīcijā 24.02. ietilpst “Cigāri, Manilas cigāri, cigarilli un cigaretes no tabakas vai tabakas aizstājējiem”.</w:t>
      </w:r>
    </w:p>
  </w:footnote>
  <w:footnote w:id="4">
    <w:p>
      <w:pPr>
        <w:pStyle w:val="FootnoteText"/>
      </w:pPr>
      <w:r>
        <w:rPr>
          <w:rStyle w:val="FootnoteReference"/>
        </w:rPr>
        <w:footnoteRef/>
      </w:r>
      <w:r>
        <w:tab/>
        <w:t>Pozīcijā 24.03 ietilpst “Citādi tabakas izstrādājumi un tabakas rūpnieciski aizstājēji; “homogenizēta” vai “atjaunota” tabaka; tabakas ekstrakti un esences”.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A21E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0404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E6AB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98FC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B9A36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B6FE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F01ABF0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11"/>
  </w:num>
  <w:num w:numId="12">
    <w:abstractNumId w:val="19"/>
  </w:num>
  <w:num w:numId="13">
    <w:abstractNumId w:val="10"/>
  </w:num>
  <w:num w:numId="14">
    <w:abstractNumId w:val="12"/>
  </w:num>
  <w:num w:numId="15">
    <w:abstractNumId w:val="8"/>
  </w:num>
  <w:num w:numId="16">
    <w:abstractNumId w:val="18"/>
  </w:num>
  <w:num w:numId="17">
    <w:abstractNumId w:val="7"/>
  </w:num>
  <w:num w:numId="18">
    <w:abstractNumId w:val="13"/>
  </w:num>
  <w:num w:numId="19">
    <w:abstractNumId w:val="15"/>
  </w:num>
  <w:num w:numId="20">
    <w:abstractNumId w:val="16"/>
  </w:num>
  <w:num w:numId="21">
    <w:abstractNumId w:val="9"/>
  </w:num>
  <w:num w:numId="22">
    <w:abstractNumId w:val="14"/>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0:14: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C797BBE1-EC88-4C47-A301-5580F24C9C6B"/>
    <w:docVar w:name="LW_COVERPAGE_TYPE" w:val="1"/>
    <w:docVar w:name="LW_CROSSREFERENCE" w:val="&lt;UNUSED&gt;"/>
    <w:docVar w:name="LW_DocType" w:val="ANNEX"/>
    <w:docVar w:name="LW_EMISSION" w:val="1.3.2019"/>
    <w:docVar w:name="LW_EMISSION_ISODATE" w:val="2019-03-01"/>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nost\u257?ju, kura Eiropas Savien\u299?bas v\u257?rd\u257? j\u257?ie\u326?em Pasaules Muitas organiz\u257?cij\u257? saist\u299?b\u257? ar harmoniz\u275?to sist\u275?mu"/>
    <w:docVar w:name="LW_OBJETACTEPRINCIPAL.CP" w:val="par nost\u257?ju, kura Eiropas Savien\u299?bas v\u257?rd\u257? j\u257?ie\u326?em Pasaules Muitas organiz\u257?cij\u257? saist\u299?b\u257? ar harmoniz\u275?to sist\u275?mu"/>
    <w:docVar w:name="LW_PART_NBR" w:val="1"/>
    <w:docVar w:name="LW_PART_NBR_TOTAL" w:val="1"/>
    <w:docVar w:name="LW_REF.INST.NEW" w:val="COM"/>
    <w:docVar w:name="LW_REF.INST.NEW_ADOPTED" w:val="final"/>
    <w:docVar w:name="LW_REF.INST.NEW_TEXT" w:val="(2019)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S"/>
    <w:docVar w:name="LW_TYPE.DOC.CP" w:val="PIELIKUMS"/>
    <w:docVar w:name="LW_TYPEACTEPRINCIPAL" w:val="Priek\u353?likums_x000b_PADOMES L\u274?MUMS_x000b__x000b_"/>
    <w:docVar w:name="LW_TYPEACTEPRINCIPAL.CP" w:val="Priek\u353?likums_x000b_PADOMES L\u274?MUMS_x000b_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rPr>
  </w:style>
  <w:style w:type="paragraph" w:customStyle="1" w:styleId="ListNumberLevel2">
    <w:name w:val="List Number (Level 2)"/>
    <w:basedOn w:val="Normal"/>
    <w:pPr>
      <w:numPr>
        <w:ilvl w:val="1"/>
        <w:numId w:val="1"/>
      </w:numPr>
    </w:pPr>
    <w:rPr>
      <w:rFonts w:eastAsia="Times New Roman"/>
    </w:rPr>
  </w:style>
  <w:style w:type="paragraph" w:customStyle="1" w:styleId="ListNumberLevel3">
    <w:name w:val="List Number (Level 3)"/>
    <w:basedOn w:val="Normal"/>
    <w:pPr>
      <w:numPr>
        <w:ilvl w:val="2"/>
        <w:numId w:val="1"/>
      </w:numPr>
    </w:pPr>
    <w:rPr>
      <w:rFonts w:eastAsia="Times New Roman"/>
    </w:rPr>
  </w:style>
  <w:style w:type="paragraph" w:customStyle="1" w:styleId="ListNumberLevel4">
    <w:name w:val="List Number (Level 4)"/>
    <w:basedOn w:val="Normal"/>
    <w:pPr>
      <w:numPr>
        <w:ilvl w:val="3"/>
        <w:numId w:val="1"/>
      </w:numPr>
    </w:pPr>
    <w:rPr>
      <w:rFonts w:eastAsia="Times New Roman"/>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v-LV" w:eastAsia="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rPr>
  </w:style>
  <w:style w:type="paragraph" w:customStyle="1" w:styleId="ListNumberLevel2">
    <w:name w:val="List Number (Level 2)"/>
    <w:basedOn w:val="Normal"/>
    <w:pPr>
      <w:numPr>
        <w:ilvl w:val="1"/>
        <w:numId w:val="1"/>
      </w:numPr>
    </w:pPr>
    <w:rPr>
      <w:rFonts w:eastAsia="Times New Roman"/>
    </w:rPr>
  </w:style>
  <w:style w:type="paragraph" w:customStyle="1" w:styleId="ListNumberLevel3">
    <w:name w:val="List Number (Level 3)"/>
    <w:basedOn w:val="Normal"/>
    <w:pPr>
      <w:numPr>
        <w:ilvl w:val="2"/>
        <w:numId w:val="1"/>
      </w:numPr>
    </w:pPr>
    <w:rPr>
      <w:rFonts w:eastAsia="Times New Roman"/>
    </w:rPr>
  </w:style>
  <w:style w:type="paragraph" w:customStyle="1" w:styleId="ListNumberLevel4">
    <w:name w:val="List Number (Level 4)"/>
    <w:basedOn w:val="Normal"/>
    <w:pPr>
      <w:numPr>
        <w:ilvl w:val="3"/>
        <w:numId w:val="1"/>
      </w:numPr>
    </w:pPr>
    <w:rPr>
      <w:rFonts w:eastAsia="Times New Roman"/>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v-LV" w:eastAsia="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232A-B28A-45C5-8D0A-DBFE4441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2</Pages>
  <Words>314</Words>
  <Characters>2003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GATTEGNO Valerie (TAXUD)</dc:creator>
  <cp:lastModifiedBy>WES PDFC Administrator</cp:lastModifiedBy>
  <cp:revision>8</cp:revision>
  <cp:lastPrinted>2019-02-22T15:46:00Z</cp:lastPrinted>
  <dcterms:created xsi:type="dcterms:W3CDTF">2019-03-08T13:42:00Z</dcterms:created>
  <dcterms:modified xsi:type="dcterms:W3CDTF">2019-03-11T09:14:00Z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