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C39BB3A-E6BF-4CEB-97D4-B47B7437977D"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Razlogi za predlog in njegovi cilji</w:t>
      </w:r>
    </w:p>
    <w:p>
      <w:pPr>
        <w:rPr>
          <w:rFonts w:eastAsia="Calibri"/>
          <w:noProof/>
        </w:rPr>
      </w:pPr>
      <w:r>
        <w:rPr>
          <w:noProof/>
        </w:rPr>
        <w:t xml:space="preserve">Komisija je na podlagi ustreznih pogajalskih smernic opravila pogajanja z vlado Gambije za sklenitev novega sporazuma o partnerstvu o trajnostnem ribištvu med Evropsko unijo in Republiko Gambijo. Po teh pogajanjih sta bila 19. oktobra 2018 parafirana nov sporazum in protokol o izvajanju. Novi sporazum razveljavlja in nadomešča obstoječega; zajema obdobje šestih let od datuma začetka njegove začasne uporabe z možnostjo podaljšanja s tihim soglasjem. Novi protokol zajema obdobje šestih let od datuma začetka začasne uporabe, ki je določen v členu 13, tj. od datuma, na katerega ga pogodbenici podpišeta.  </w:t>
      </w:r>
    </w:p>
    <w:p>
      <w:pPr>
        <w:rPr>
          <w:rFonts w:eastAsia="Calibri"/>
          <w:noProof/>
        </w:rPr>
      </w:pPr>
      <w:r>
        <w:rPr>
          <w:noProof/>
        </w:rPr>
        <w:t>Glavni cilj novega sporazuma je posodobiti okvir za strateško partnerstvo med Evropsko unijo in Republiko Gambijo na področju ribištva, pri čemer se upoštevajo prednostne naloge prenovljene skupne ribiške politike in njene zunanje razsežnosti.</w:t>
      </w:r>
    </w:p>
    <w:p>
      <w:pPr>
        <w:rPr>
          <w:rFonts w:eastAsia="Calibri"/>
          <w:noProof/>
        </w:rPr>
      </w:pPr>
      <w:r>
        <w:rPr>
          <w:noProof/>
        </w:rPr>
        <w:t>Cilj Protokola je plovilom Evropske unije zagotoviti ribolovne možnosti v gambijskih vodah v mejah razpoložljivega presežka ter ob upoštevanju razpoložljivih znanstvenih ocen, zlasti ocen Odbora za ribištvo za vzhodni srednji Atlantik (CECAF), in najboljših znanstvenih mnenj in priporočil Mednarodne komisije za ohranitev tunov v Atlantiku (ICCAT). Komisija se je med drugim oprla na rezultate predhodne ocene smotrnosti sklenitve novega sporazuma in protokola, ki so jo izvedli zunanji strokovnjaki. Cilj je tudi okrepiti sodelovanje med Evropsko unijo in Republiko Gambijo pri spodbujanju trajnostne ribiške politike in odgovornega izkoriščanja ribolovnih virov na gambijskem ribolovnem območju v interesu obeh pogodbenic.</w:t>
      </w:r>
    </w:p>
    <w:p>
      <w:pPr>
        <w:rPr>
          <w:rFonts w:eastAsia="Calibri"/>
          <w:noProof/>
        </w:rPr>
      </w:pPr>
      <w:r>
        <w:rPr>
          <w:noProof/>
        </w:rPr>
        <w:t>Protokol določa ribolovne možnosti za naslednje kategorije:</w:t>
      </w:r>
    </w:p>
    <w:p>
      <w:pPr>
        <w:rPr>
          <w:rFonts w:eastAsia="Calibri"/>
          <w:noProof/>
        </w:rPr>
      </w:pPr>
      <w:r>
        <w:rPr>
          <w:noProof/>
        </w:rPr>
        <w:t>–</w:t>
      </w:r>
      <w:r>
        <w:rPr>
          <w:noProof/>
        </w:rPr>
        <w:tab/>
        <w:t>28 plovil za ribolov tuna s potegalko;</w:t>
      </w:r>
    </w:p>
    <w:p>
      <w:pPr>
        <w:rPr>
          <w:rFonts w:eastAsia="Calibri"/>
          <w:noProof/>
        </w:rPr>
      </w:pPr>
      <w:r>
        <w:rPr>
          <w:noProof/>
        </w:rPr>
        <w:t>–</w:t>
      </w:r>
      <w:r>
        <w:rPr>
          <w:noProof/>
        </w:rPr>
        <w:tab/>
        <w:t>10 plovil za ribolov z ribiško palico;</w:t>
      </w:r>
    </w:p>
    <w:p>
      <w:pPr>
        <w:rPr>
          <w:rFonts w:eastAsia="Calibri"/>
          <w:noProof/>
        </w:rPr>
      </w:pPr>
      <w:r>
        <w:rPr>
          <w:noProof/>
        </w:rPr>
        <w:t>–</w:t>
      </w:r>
      <w:r>
        <w:rPr>
          <w:noProof/>
        </w:rPr>
        <w:tab/>
        <w:t>3 plovila za ribolov z vlečno mrežo (pri čemer je ciljna vrsta globokomorski oslič – globokomorska pridnena vrsta).</w:t>
      </w:r>
    </w:p>
    <w:p>
      <w:pPr>
        <w:rPr>
          <w:noProof/>
        </w:rPr>
      </w:pPr>
      <w:r>
        <w:rPr>
          <w:noProof/>
        </w:rPr>
        <w:t xml:space="preserve">Te ribolovne možnosti je treba razdeliti med države članice. </w:t>
      </w:r>
    </w:p>
    <w:p>
      <w:pPr>
        <w:pStyle w:val="ManualHeading1"/>
        <w:rPr>
          <w:noProof/>
        </w:rPr>
      </w:pPr>
      <w:r>
        <w:rPr>
          <w:noProof/>
        </w:rPr>
        <w:t>2.</w:t>
      </w:r>
      <w:r>
        <w:rPr>
          <w:noProof/>
        </w:rPr>
        <w:tab/>
        <w:t>PRAVNA PODLAGA, SUBSIDIARNOST IN SORAZMERNOST</w:t>
      </w:r>
    </w:p>
    <w:p>
      <w:pPr>
        <w:pStyle w:val="ManualHeading2"/>
        <w:rPr>
          <w:rFonts w:eastAsia="Arial Unicode MS"/>
          <w:noProof/>
          <w:u w:color="000000"/>
          <w:bdr w:val="nil"/>
        </w:rPr>
      </w:pPr>
      <w:r>
        <w:rPr>
          <w:noProof/>
          <w:u w:color="000000"/>
          <w:bdr w:val="nil"/>
        </w:rPr>
        <w:t>•</w:t>
      </w:r>
      <w:r>
        <w:rPr>
          <w:noProof/>
          <w:u w:color="000000"/>
          <w:bdr w:val="nil"/>
        </w:rPr>
        <w:tab/>
        <w:t>Pravna podlaga</w:t>
      </w:r>
    </w:p>
    <w:p>
      <w:pPr>
        <w:spacing w:before="0" w:after="240"/>
        <w:rPr>
          <w:rFonts w:eastAsia="Arial Unicode MS"/>
          <w:noProof/>
        </w:rPr>
      </w:pPr>
      <w:r>
        <w:rPr>
          <w:noProof/>
        </w:rPr>
        <w:t xml:space="preserve">Izbrana pravna podlaga je Pogodba o delovanju Evropske unije, ki v členu 43(3) določa, da Svet na predlog Komisije sprejme dodelitev ribolovnih možnosti. </w:t>
      </w:r>
    </w:p>
    <w:p>
      <w:pPr>
        <w:pStyle w:val="ManualHeading2"/>
        <w:rPr>
          <w:rFonts w:eastAsia="Arial Unicode MS"/>
          <w:noProof/>
          <w:u w:color="000000"/>
          <w:bdr w:val="nil"/>
        </w:rPr>
      </w:pPr>
      <w:r>
        <w:rPr>
          <w:noProof/>
          <w:u w:color="000000"/>
          <w:bdr w:val="nil"/>
        </w:rPr>
        <w:t>•</w:t>
      </w:r>
      <w:r>
        <w:rPr>
          <w:noProof/>
          <w:u w:color="000000"/>
          <w:bdr w:val="nil"/>
        </w:rPr>
        <w:tab/>
        <w:t xml:space="preserve">Subsidiarnost (za neizključno pristojnost) </w:t>
      </w:r>
    </w:p>
    <w:p>
      <w:pPr>
        <w:spacing w:before="0" w:after="240"/>
        <w:rPr>
          <w:rFonts w:eastAsia="Arial Unicode MS"/>
          <w:noProof/>
        </w:rPr>
      </w:pPr>
      <w:r>
        <w:rPr>
          <w:noProof/>
        </w:rPr>
        <w:t>Področje ukrepa je v izključni pristojnosti.</w:t>
      </w:r>
    </w:p>
    <w:p>
      <w:pPr>
        <w:pStyle w:val="ManualHeading1"/>
        <w:rPr>
          <w:noProof/>
        </w:rPr>
      </w:pPr>
      <w:r>
        <w:rPr>
          <w:noProof/>
        </w:rPr>
        <w:t>3.</w:t>
      </w:r>
      <w:r>
        <w:rPr>
          <w:noProof/>
        </w:rPr>
        <w:tab/>
        <w:t>PRORAČUNSKE POSLEDICE</w:t>
      </w:r>
    </w:p>
    <w:p>
      <w:pPr>
        <w:rPr>
          <w:rFonts w:eastAsia="Calibri"/>
          <w:noProof/>
        </w:rPr>
      </w:pPr>
      <w:r>
        <w:rPr>
          <w:noProof/>
        </w:rPr>
        <w:t>Osnutek uredbe ne vpliva na proračun Unije.</w:t>
      </w:r>
    </w:p>
    <w:p>
      <w:pPr>
        <w:rPr>
          <w:noProof/>
        </w:rPr>
      </w:pPr>
    </w:p>
    <w:p>
      <w:pPr>
        <w:pStyle w:val="ManualHeading1"/>
        <w:rPr>
          <w:noProof/>
        </w:rPr>
      </w:pPr>
      <w:r>
        <w:rPr>
          <w:noProof/>
        </w:rPr>
        <w:t>4.</w:t>
      </w:r>
      <w:r>
        <w:rPr>
          <w:noProof/>
        </w:rPr>
        <w:tab/>
        <w:t>DRUGI ELEMENTI</w:t>
      </w:r>
    </w:p>
    <w:p>
      <w:pPr>
        <w:pStyle w:val="ManualHeading2"/>
        <w:rPr>
          <w:rFonts w:eastAsia="Arial Unicode MS"/>
          <w:noProof/>
          <w:u w:color="000000"/>
          <w:bdr w:val="nil"/>
        </w:rPr>
      </w:pPr>
      <w:r>
        <w:rPr>
          <w:noProof/>
          <w:u w:color="000000"/>
          <w:bdr w:val="nil"/>
        </w:rPr>
        <w:t>•</w:t>
      </w:r>
      <w:r>
        <w:rPr>
          <w:noProof/>
          <w:u w:color="000000"/>
          <w:bdr w:val="nil"/>
        </w:rPr>
        <w:tab/>
        <w:t>Načrti za izvedbo ter ureditev spremljanja, ocenjevanja in poročanja</w:t>
      </w:r>
    </w:p>
    <w:p>
      <w:pPr>
        <w:spacing w:before="0" w:after="240"/>
        <w:rPr>
          <w:rFonts w:eastAsia="Calibri"/>
          <w:noProof/>
        </w:rPr>
      </w:pPr>
      <w:r>
        <w:rPr>
          <w:noProof/>
        </w:rPr>
        <w:t>Ta postopek se začenja vzporedno s postopkoma v zvezi s sklepom Sveta o podpisu, v imenu Unije, Sporazuma o partnerstvu o trajnostnem ribištvu med Evropsko unijo in Republiko Gambijo ter sklepom Sveta o njegovi sklenitvi. Ta uredba se mora začeti uporabljati takoj, ko so na podlagi Sporazuma možne ribolovne dejavnosti, tj. od datuma začetka uporabe Protokola o izvajanju Sporazuma.</w:t>
      </w:r>
    </w:p>
    <w:p>
      <w:pPr>
        <w:spacing w:before="0" w:after="240"/>
        <w:rPr>
          <w:rFonts w:eastAsia="Calibri"/>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2019/0074 (NLE)</w:t>
      </w:r>
    </w:p>
    <w:p>
      <w:pPr>
        <w:pStyle w:val="Statut"/>
        <w:rPr>
          <w:noProof/>
        </w:rPr>
      </w:pPr>
      <w:r>
        <w:rPr>
          <w:noProof/>
        </w:rPr>
        <w:t>Predlog</w:t>
      </w:r>
    </w:p>
    <w:p>
      <w:pPr>
        <w:pStyle w:val="Typedudocument"/>
        <w:rPr>
          <w:noProof/>
        </w:rPr>
      </w:pPr>
      <w:r>
        <w:rPr>
          <w:noProof/>
        </w:rPr>
        <w:t>UREDBA SVETA</w:t>
      </w:r>
    </w:p>
    <w:p>
      <w:pPr>
        <w:pStyle w:val="Titreobjet"/>
        <w:rPr>
          <w:noProof/>
        </w:rPr>
      </w:pPr>
      <w:r>
        <w:rPr>
          <w:noProof/>
        </w:rPr>
        <w:t>o dodelitvi ribolovnih možnosti v skladu s Protokolom k Sporazumu o partnerstvu o trajnostnem ribištvu med Evropsko unijo in Republiko Gambijo</w:t>
      </w:r>
    </w:p>
    <w:p>
      <w:pPr>
        <w:pStyle w:val="Institutionquiagit"/>
        <w:rPr>
          <w:noProof/>
        </w:rPr>
      </w:pPr>
      <w:r>
        <w:rPr>
          <w:noProof/>
        </w:rPr>
        <w:t>SVET EVROPSKE UNIJE JE –</w:t>
      </w:r>
    </w:p>
    <w:p>
      <w:pPr>
        <w:rPr>
          <w:noProof/>
        </w:rPr>
      </w:pPr>
      <w:r>
        <w:rPr>
          <w:noProof/>
        </w:rPr>
        <w:t>ob upoštevanju Pogodbe o delovanju Evropske unije in zlasti člena 43(3) Pogodbe,</w:t>
      </w:r>
    </w:p>
    <w:p>
      <w:pPr>
        <w:rPr>
          <w:noProof/>
        </w:rPr>
      </w:pPr>
    </w:p>
    <w:p>
      <w:pPr>
        <w:rPr>
          <w:noProof/>
        </w:rPr>
      </w:pPr>
      <w:r>
        <w:rPr>
          <w:noProof/>
        </w:rPr>
        <w:t>ob upoštevanju predloga Evropske komisije,</w:t>
      </w:r>
    </w:p>
    <w:p>
      <w:pPr>
        <w:rPr>
          <w:noProof/>
        </w:rPr>
      </w:pPr>
      <w:r>
        <w:rPr>
          <w:noProof/>
        </w:rPr>
        <w:t>ob upoštevanju naslednjega:</w:t>
      </w:r>
    </w:p>
    <w:p>
      <w:pPr>
        <w:ind w:left="709" w:hanging="709"/>
        <w:rPr>
          <w:rFonts w:eastAsia="Calibri"/>
          <w:noProof/>
        </w:rPr>
      </w:pPr>
      <w:r>
        <w:rPr>
          <w:noProof/>
        </w:rPr>
        <w:t>(1)</w:t>
      </w:r>
      <w:r>
        <w:rPr>
          <w:noProof/>
        </w:rPr>
        <w:tab/>
        <w:t xml:space="preserve">Komisija je v imenu Evropske unije s pogajanji sklenila nov sporazum o partnerstvu o trajnostnem ribištvu med Evropsko unijo in Republiko Gambijo (v nadaljnjem besedilu: Sporazum o partnerstvu) in nov protokol o izvajanju Sporazuma o partnerstvu (v nadaljnjem besedilu: Protokol). </w:t>
      </w:r>
    </w:p>
    <w:p>
      <w:pPr>
        <w:ind w:left="709" w:hanging="709"/>
        <w:rPr>
          <w:rFonts w:eastAsia="Calibri"/>
          <w:noProof/>
        </w:rPr>
      </w:pPr>
      <w:r>
        <w:rPr>
          <w:noProof/>
        </w:rPr>
        <w:t>(2)</w:t>
      </w:r>
      <w:r>
        <w:rPr>
          <w:noProof/>
        </w:rPr>
        <w:tab/>
        <w:t>Po zaključku pogajanj sta bila Sporazum o partnerstvu in Protokol parafirana 19. oktobra 2018.</w:t>
      </w:r>
    </w:p>
    <w:p>
      <w:pPr>
        <w:ind w:left="709" w:hanging="709"/>
        <w:rPr>
          <w:rFonts w:eastAsia="Calibri"/>
          <w:noProof/>
        </w:rPr>
      </w:pPr>
      <w:r>
        <w:rPr>
          <w:noProof/>
        </w:rPr>
        <w:t>(3)</w:t>
      </w:r>
      <w:r>
        <w:rPr>
          <w:noProof/>
        </w:rPr>
        <w:tab/>
        <w:t>Sporazum o partnerstvu razveljavlja prejšnji sporazum o ribolovu v obalnih gambijskih vodah, sklenjen med vlado Republike Gambije in Evropsko gospodarsko skupnostjo, ki je začel veljati 2. junija 1987.</w:t>
      </w:r>
    </w:p>
    <w:p>
      <w:pPr>
        <w:pStyle w:val="ManualConsidrant"/>
        <w:rPr>
          <w:noProof/>
        </w:rPr>
      </w:pPr>
      <w:r>
        <w:rPr>
          <w:noProof/>
        </w:rPr>
        <w:t>(4)</w:t>
      </w:r>
      <w:r>
        <w:rPr>
          <w:noProof/>
        </w:rPr>
        <w:tab/>
        <w:t>V skladu s Sklepom Sveta 2018/…/EU</w:t>
      </w:r>
      <w:r>
        <w:rPr>
          <w:rStyle w:val="FootnoteReference"/>
          <w:noProof/>
        </w:rPr>
        <w:footnoteReference w:id="1"/>
      </w:r>
      <w:r>
        <w:rPr>
          <w:noProof/>
        </w:rPr>
        <w:t xml:space="preserve"> sta bila novi Sporazum o partnerstvu in Protokol podpisana [</w:t>
      </w:r>
      <w:r>
        <w:rPr>
          <w:i/>
          <w:noProof/>
        </w:rPr>
        <w:t>vstaviti datum podpisa</w:t>
      </w:r>
      <w:r>
        <w:rPr>
          <w:noProof/>
        </w:rPr>
        <w:t>].</w:t>
      </w:r>
    </w:p>
    <w:p>
      <w:pPr>
        <w:pStyle w:val="ManualConsidrant"/>
        <w:rPr>
          <w:noProof/>
        </w:rPr>
      </w:pPr>
      <w:r>
        <w:rPr>
          <w:noProof/>
        </w:rPr>
        <w:t>(5)</w:t>
      </w:r>
      <w:r>
        <w:rPr>
          <w:noProof/>
        </w:rPr>
        <w:tab/>
        <w:t>Protokol zajema obdobje šestih let od datuma začetka njegove uporabe.</w:t>
      </w:r>
    </w:p>
    <w:p>
      <w:pPr>
        <w:pStyle w:val="ManualConsidrant"/>
        <w:rPr>
          <w:noProof/>
        </w:rPr>
      </w:pPr>
      <w:r>
        <w:rPr>
          <w:noProof/>
        </w:rPr>
        <w:t>(6)</w:t>
      </w:r>
      <w:r>
        <w:rPr>
          <w:noProof/>
        </w:rPr>
        <w:tab/>
        <w:t>Ribolovne možnosti, določene v Protokolu, bi bilo treba razdeliti med države članice za celotno trajanje uporabe Protokola.</w:t>
      </w:r>
    </w:p>
    <w:p>
      <w:pPr>
        <w:pStyle w:val="ManualConsidrant"/>
        <w:rPr>
          <w:noProof/>
        </w:rPr>
      </w:pPr>
      <w:r>
        <w:rPr>
          <w:noProof/>
        </w:rPr>
        <w:t>(7)</w:t>
      </w:r>
      <w:r>
        <w:rPr>
          <w:noProof/>
        </w:rPr>
        <w:tab/>
        <w:t>Protokol se bo začasno uporabljal od datuma podpisa, da se zagotovi čimprejšnji začetek ribolovnih dejavnosti plovil Unije. Zato bi bilo treba to uredbo uporabljati od istega datuma –</w:t>
      </w:r>
    </w:p>
    <w:p>
      <w:pPr>
        <w:ind w:left="709" w:hanging="709"/>
        <w:rPr>
          <w:rFonts w:eastAsia="Calibri"/>
          <w:noProof/>
          <w:lang w:eastAsia="en-GB"/>
        </w:rPr>
      </w:pPr>
    </w:p>
    <w:p>
      <w:pPr>
        <w:pStyle w:val="Formuledadoption"/>
        <w:rPr>
          <w:noProof/>
        </w:rPr>
      </w:pPr>
      <w:r>
        <w:rPr>
          <w:noProof/>
        </w:rPr>
        <w:t>SPREJEL NASLEDNJO UREDBO:</w:t>
      </w:r>
    </w:p>
    <w:p>
      <w:pPr>
        <w:pStyle w:val="Titrearticle"/>
        <w:rPr>
          <w:noProof/>
        </w:rPr>
      </w:pPr>
      <w:r>
        <w:rPr>
          <w:noProof/>
        </w:rPr>
        <w:t>Člen 1</w:t>
      </w:r>
    </w:p>
    <w:p>
      <w:pPr>
        <w:rPr>
          <w:noProof/>
        </w:rPr>
      </w:pPr>
      <w:r>
        <w:rPr>
          <w:noProof/>
        </w:rPr>
        <w:t>Ribolovne možnosti, določene na podlagi Protokola o izvajanju sporazuma o partnerstvu v ribiškem sektorju med Evropsko unijo in Republiko Gambijo (v nadaljnjem besedilu: Protokol) se med države članice razdelijo na naslednji način:</w:t>
      </w:r>
    </w:p>
    <w:p>
      <w:pPr>
        <w:pStyle w:val="Point0letter"/>
        <w:numPr>
          <w:ilvl w:val="1"/>
          <w:numId w:val="5"/>
        </w:numPr>
        <w:rPr>
          <w:noProof/>
        </w:rPr>
      </w:pPr>
      <w:r>
        <w:rPr>
          <w:noProof/>
        </w:rPr>
        <w:t xml:space="preserve">plovila za ribolov tuna s potegalko: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410"/>
      </w:tblGrid>
      <w:tr>
        <w:trPr>
          <w:jc w:val="center"/>
        </w:trPr>
        <w:tc>
          <w:tcPr>
            <w:tcW w:w="2693" w:type="dxa"/>
            <w:vAlign w:val="center"/>
          </w:tcPr>
          <w:p>
            <w:pPr>
              <w:pStyle w:val="Text1"/>
              <w:spacing w:before="0" w:after="240"/>
              <w:ind w:left="0"/>
              <w:jc w:val="center"/>
              <w:rPr>
                <w:noProof/>
                <w:sz w:val="22"/>
              </w:rPr>
            </w:pPr>
            <w:r>
              <w:rPr>
                <w:noProof/>
                <w:sz w:val="22"/>
              </w:rPr>
              <w:t>Španija</w:t>
            </w:r>
          </w:p>
        </w:tc>
        <w:tc>
          <w:tcPr>
            <w:tcW w:w="2410" w:type="dxa"/>
            <w:vAlign w:val="center"/>
          </w:tcPr>
          <w:p>
            <w:pPr>
              <w:pStyle w:val="Text1"/>
              <w:tabs>
                <w:tab w:val="right" w:pos="1310"/>
                <w:tab w:val="left" w:pos="1451"/>
              </w:tabs>
              <w:spacing w:before="0" w:after="240"/>
              <w:ind w:left="0"/>
              <w:jc w:val="center"/>
              <w:rPr>
                <w:noProof/>
                <w:sz w:val="22"/>
              </w:rPr>
            </w:pPr>
            <w:r>
              <w:rPr>
                <w:noProof/>
                <w:sz w:val="22"/>
              </w:rPr>
              <w:t>16 plovil</w:t>
            </w:r>
          </w:p>
        </w:tc>
      </w:tr>
      <w:tr>
        <w:trPr>
          <w:trHeight w:val="589"/>
          <w:jc w:val="center"/>
        </w:trPr>
        <w:tc>
          <w:tcPr>
            <w:tcW w:w="2693" w:type="dxa"/>
            <w:vAlign w:val="center"/>
          </w:tcPr>
          <w:p>
            <w:pPr>
              <w:pStyle w:val="Text1"/>
              <w:spacing w:before="0" w:after="240"/>
              <w:ind w:left="0"/>
              <w:jc w:val="center"/>
              <w:rPr>
                <w:noProof/>
                <w:sz w:val="22"/>
              </w:rPr>
            </w:pPr>
            <w:r>
              <w:rPr>
                <w:noProof/>
                <w:sz w:val="22"/>
              </w:rPr>
              <w:t>Francija</w:t>
            </w:r>
          </w:p>
        </w:tc>
        <w:tc>
          <w:tcPr>
            <w:tcW w:w="2410" w:type="dxa"/>
            <w:vAlign w:val="center"/>
          </w:tcPr>
          <w:p>
            <w:pPr>
              <w:pStyle w:val="Text1"/>
              <w:tabs>
                <w:tab w:val="right" w:pos="1310"/>
                <w:tab w:val="left" w:pos="1451"/>
              </w:tabs>
              <w:spacing w:before="0" w:after="240"/>
              <w:ind w:left="0"/>
              <w:jc w:val="center"/>
              <w:rPr>
                <w:noProof/>
                <w:sz w:val="22"/>
              </w:rPr>
            </w:pPr>
            <w:r>
              <w:rPr>
                <w:noProof/>
                <w:sz w:val="22"/>
              </w:rPr>
              <w:t>12 plovil</w:t>
            </w:r>
          </w:p>
        </w:tc>
      </w:tr>
    </w:tbl>
    <w:p>
      <w:pPr>
        <w:pStyle w:val="Point0letter"/>
        <w:numPr>
          <w:ilvl w:val="1"/>
          <w:numId w:val="10"/>
        </w:numPr>
        <w:rPr>
          <w:noProof/>
        </w:rPr>
      </w:pPr>
      <w:r>
        <w:rPr>
          <w:noProof/>
        </w:rPr>
        <w:t xml:space="preserve">plovila za ribolov z ribiško palico: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410"/>
      </w:tblGrid>
      <w:tr>
        <w:trPr>
          <w:jc w:val="center"/>
        </w:trPr>
        <w:tc>
          <w:tcPr>
            <w:tcW w:w="2693" w:type="dxa"/>
            <w:vAlign w:val="center"/>
          </w:tcPr>
          <w:p>
            <w:pPr>
              <w:pStyle w:val="Text1"/>
              <w:spacing w:before="0" w:after="240"/>
              <w:ind w:left="0"/>
              <w:jc w:val="center"/>
              <w:rPr>
                <w:noProof/>
                <w:sz w:val="22"/>
              </w:rPr>
            </w:pPr>
            <w:r>
              <w:rPr>
                <w:noProof/>
                <w:sz w:val="22"/>
              </w:rPr>
              <w:t>Španija</w:t>
            </w:r>
          </w:p>
        </w:tc>
        <w:tc>
          <w:tcPr>
            <w:tcW w:w="2410" w:type="dxa"/>
            <w:vAlign w:val="center"/>
          </w:tcPr>
          <w:p>
            <w:pPr>
              <w:pStyle w:val="Text1"/>
              <w:tabs>
                <w:tab w:val="right" w:pos="1310"/>
                <w:tab w:val="left" w:pos="1451"/>
              </w:tabs>
              <w:spacing w:before="0" w:after="240"/>
              <w:ind w:left="0"/>
              <w:jc w:val="center"/>
              <w:rPr>
                <w:noProof/>
                <w:sz w:val="22"/>
              </w:rPr>
            </w:pPr>
            <w:r>
              <w:rPr>
                <w:noProof/>
                <w:sz w:val="22"/>
              </w:rPr>
              <w:t>8 plovil</w:t>
            </w:r>
          </w:p>
        </w:tc>
      </w:tr>
      <w:tr>
        <w:trPr>
          <w:jc w:val="center"/>
        </w:trPr>
        <w:tc>
          <w:tcPr>
            <w:tcW w:w="2693" w:type="dxa"/>
            <w:vAlign w:val="center"/>
          </w:tcPr>
          <w:p>
            <w:pPr>
              <w:pStyle w:val="Text1"/>
              <w:spacing w:before="0" w:after="240"/>
              <w:ind w:left="0"/>
              <w:jc w:val="center"/>
              <w:rPr>
                <w:noProof/>
                <w:sz w:val="22"/>
              </w:rPr>
            </w:pPr>
            <w:r>
              <w:rPr>
                <w:noProof/>
                <w:sz w:val="22"/>
              </w:rPr>
              <w:t>Francija</w:t>
            </w:r>
          </w:p>
        </w:tc>
        <w:tc>
          <w:tcPr>
            <w:tcW w:w="2410" w:type="dxa"/>
            <w:vAlign w:val="center"/>
          </w:tcPr>
          <w:p>
            <w:pPr>
              <w:pStyle w:val="Text1"/>
              <w:tabs>
                <w:tab w:val="right" w:pos="1310"/>
                <w:tab w:val="left" w:pos="1451"/>
              </w:tabs>
              <w:spacing w:before="0" w:after="240"/>
              <w:ind w:left="0"/>
              <w:jc w:val="center"/>
              <w:rPr>
                <w:noProof/>
                <w:sz w:val="22"/>
              </w:rPr>
            </w:pPr>
            <w:r>
              <w:rPr>
                <w:noProof/>
                <w:sz w:val="22"/>
              </w:rPr>
              <w:t>2 plovili</w:t>
            </w:r>
          </w:p>
        </w:tc>
      </w:tr>
    </w:tbl>
    <w:p>
      <w:pPr>
        <w:pStyle w:val="Point0letter"/>
        <w:numPr>
          <w:ilvl w:val="1"/>
          <w:numId w:val="10"/>
        </w:numPr>
        <w:rPr>
          <w:noProof/>
        </w:rPr>
      </w:pPr>
      <w:r>
        <w:rPr>
          <w:noProof/>
        </w:rPr>
        <w:t xml:space="preserve">plovila za globokomorski ribolov s pridneno vlečno mrežo: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410"/>
        <w:gridCol w:w="2410"/>
        <w:gridCol w:w="2410"/>
      </w:tblGrid>
      <w:tr>
        <w:trPr>
          <w:jc w:val="center"/>
        </w:trPr>
        <w:tc>
          <w:tcPr>
            <w:tcW w:w="2693" w:type="dxa"/>
            <w:vAlign w:val="center"/>
          </w:tcPr>
          <w:p>
            <w:pPr>
              <w:pStyle w:val="Text1"/>
              <w:spacing w:before="0" w:after="240"/>
              <w:ind w:left="0"/>
              <w:jc w:val="center"/>
              <w:rPr>
                <w:noProof/>
                <w:sz w:val="22"/>
              </w:rPr>
            </w:pPr>
            <w:r>
              <w:rPr>
                <w:noProof/>
                <w:sz w:val="22"/>
              </w:rPr>
              <w:t>Država članica</w:t>
            </w:r>
          </w:p>
        </w:tc>
        <w:tc>
          <w:tcPr>
            <w:tcW w:w="2410" w:type="dxa"/>
            <w:vAlign w:val="center"/>
          </w:tcPr>
          <w:p>
            <w:pPr>
              <w:pStyle w:val="Text1"/>
              <w:tabs>
                <w:tab w:val="right" w:pos="1310"/>
                <w:tab w:val="left" w:pos="1451"/>
              </w:tabs>
              <w:spacing w:before="0" w:after="240"/>
              <w:ind w:left="0"/>
              <w:jc w:val="center"/>
              <w:rPr>
                <w:noProof/>
                <w:sz w:val="22"/>
              </w:rPr>
            </w:pPr>
            <w:r>
              <w:rPr>
                <w:noProof/>
                <w:sz w:val="22"/>
              </w:rPr>
              <w:t>Največje število hkrati delujočih plovil za globokomorski ribolov s pridneno vlečno mrežo</w:t>
            </w:r>
          </w:p>
        </w:tc>
        <w:tc>
          <w:tcPr>
            <w:tcW w:w="2410" w:type="dxa"/>
            <w:vAlign w:val="center"/>
          </w:tcPr>
          <w:p>
            <w:pPr>
              <w:pStyle w:val="Text1"/>
              <w:tabs>
                <w:tab w:val="right" w:pos="1310"/>
                <w:tab w:val="left" w:pos="1451"/>
              </w:tabs>
              <w:spacing w:before="0" w:after="240"/>
              <w:ind w:left="0"/>
              <w:jc w:val="center"/>
              <w:rPr>
                <w:noProof/>
                <w:sz w:val="22"/>
              </w:rPr>
            </w:pPr>
            <w:r>
              <w:rPr>
                <w:noProof/>
                <w:sz w:val="22"/>
              </w:rPr>
              <w:t>Število četrtletnih dovoljenj za ribolov na leto</w:t>
            </w:r>
            <w:r>
              <w:rPr>
                <w:rStyle w:val="FootnoteReference"/>
                <w:noProof/>
                <w:sz w:val="22"/>
              </w:rPr>
              <w:footnoteReference w:id="2"/>
            </w:r>
          </w:p>
        </w:tc>
        <w:tc>
          <w:tcPr>
            <w:tcW w:w="2410" w:type="dxa"/>
            <w:vAlign w:val="center"/>
          </w:tcPr>
          <w:p>
            <w:pPr>
              <w:pStyle w:val="Text1"/>
              <w:tabs>
                <w:tab w:val="right" w:pos="1310"/>
                <w:tab w:val="left" w:pos="1451"/>
              </w:tabs>
              <w:spacing w:before="0" w:after="240"/>
              <w:ind w:left="0"/>
              <w:jc w:val="center"/>
              <w:rPr>
                <w:noProof/>
                <w:sz w:val="22"/>
              </w:rPr>
            </w:pPr>
            <w:r>
              <w:rPr>
                <w:noProof/>
                <w:sz w:val="22"/>
              </w:rPr>
              <w:t>Tone ciljnih vrst, kot so opredeljene v Dodatku 2b Priloge k Protokolu.</w:t>
            </w:r>
          </w:p>
        </w:tc>
      </w:tr>
      <w:tr>
        <w:trPr>
          <w:trHeight w:val="746"/>
          <w:jc w:val="center"/>
        </w:trPr>
        <w:tc>
          <w:tcPr>
            <w:tcW w:w="2693" w:type="dxa"/>
            <w:vAlign w:val="center"/>
          </w:tcPr>
          <w:p>
            <w:pPr>
              <w:pStyle w:val="Text1"/>
              <w:spacing w:before="0" w:after="240"/>
              <w:ind w:left="0"/>
              <w:jc w:val="center"/>
              <w:rPr>
                <w:noProof/>
                <w:sz w:val="22"/>
              </w:rPr>
            </w:pPr>
            <w:r>
              <w:rPr>
                <w:noProof/>
                <w:sz w:val="22"/>
              </w:rPr>
              <w:t>Španija</w:t>
            </w:r>
          </w:p>
        </w:tc>
        <w:tc>
          <w:tcPr>
            <w:tcW w:w="2410" w:type="dxa"/>
            <w:vMerge w:val="restart"/>
            <w:vAlign w:val="center"/>
          </w:tcPr>
          <w:p>
            <w:pPr>
              <w:pStyle w:val="Text1"/>
              <w:tabs>
                <w:tab w:val="right" w:pos="1310"/>
                <w:tab w:val="left" w:pos="1451"/>
              </w:tabs>
              <w:spacing w:before="0" w:after="240"/>
              <w:ind w:left="0"/>
              <w:jc w:val="center"/>
              <w:rPr>
                <w:noProof/>
                <w:sz w:val="22"/>
              </w:rPr>
            </w:pPr>
            <w:r>
              <w:rPr>
                <w:noProof/>
                <w:sz w:val="22"/>
              </w:rPr>
              <w:t>3</w:t>
            </w:r>
          </w:p>
        </w:tc>
        <w:tc>
          <w:tcPr>
            <w:tcW w:w="2410" w:type="dxa"/>
            <w:vAlign w:val="center"/>
          </w:tcPr>
          <w:p>
            <w:pPr>
              <w:pStyle w:val="Text1"/>
              <w:tabs>
                <w:tab w:val="right" w:pos="1310"/>
                <w:tab w:val="left" w:pos="1451"/>
              </w:tabs>
              <w:spacing w:before="0" w:after="240"/>
              <w:ind w:left="0"/>
              <w:jc w:val="center"/>
              <w:rPr>
                <w:noProof/>
                <w:sz w:val="22"/>
              </w:rPr>
            </w:pPr>
            <w:r>
              <w:rPr>
                <w:noProof/>
                <w:sz w:val="22"/>
              </w:rPr>
              <w:t>10</w:t>
            </w:r>
          </w:p>
        </w:tc>
        <w:tc>
          <w:tcPr>
            <w:tcW w:w="2410" w:type="dxa"/>
            <w:vAlign w:val="center"/>
          </w:tcPr>
          <w:p>
            <w:pPr>
              <w:pStyle w:val="Text1"/>
              <w:tabs>
                <w:tab w:val="right" w:pos="1310"/>
                <w:tab w:val="left" w:pos="1451"/>
              </w:tabs>
              <w:spacing w:before="0" w:after="240"/>
              <w:ind w:left="0"/>
              <w:jc w:val="center"/>
              <w:rPr>
                <w:noProof/>
                <w:sz w:val="22"/>
              </w:rPr>
            </w:pPr>
            <w:r>
              <w:rPr>
                <w:noProof/>
                <w:sz w:val="22"/>
              </w:rPr>
              <w:t>625</w:t>
            </w:r>
          </w:p>
        </w:tc>
      </w:tr>
      <w:tr>
        <w:trPr>
          <w:trHeight w:val="746"/>
          <w:jc w:val="center"/>
        </w:trPr>
        <w:tc>
          <w:tcPr>
            <w:tcW w:w="2693" w:type="dxa"/>
            <w:vAlign w:val="center"/>
          </w:tcPr>
          <w:p>
            <w:pPr>
              <w:pStyle w:val="Text1"/>
              <w:spacing w:before="0" w:after="240"/>
              <w:ind w:left="0"/>
              <w:jc w:val="center"/>
              <w:rPr>
                <w:noProof/>
                <w:sz w:val="22"/>
              </w:rPr>
            </w:pPr>
            <w:r>
              <w:rPr>
                <w:noProof/>
                <w:sz w:val="22"/>
              </w:rPr>
              <w:t>Grčija</w:t>
            </w:r>
          </w:p>
        </w:tc>
        <w:tc>
          <w:tcPr>
            <w:tcW w:w="2410" w:type="dxa"/>
            <w:vMerge/>
            <w:vAlign w:val="center"/>
          </w:tcPr>
          <w:p>
            <w:pPr>
              <w:pStyle w:val="Text1"/>
              <w:tabs>
                <w:tab w:val="right" w:pos="1310"/>
                <w:tab w:val="left" w:pos="1451"/>
              </w:tabs>
              <w:spacing w:before="0" w:after="240"/>
              <w:ind w:left="0"/>
              <w:jc w:val="center"/>
              <w:rPr>
                <w:noProof/>
                <w:sz w:val="22"/>
              </w:rPr>
            </w:pPr>
          </w:p>
        </w:tc>
        <w:tc>
          <w:tcPr>
            <w:tcW w:w="2410" w:type="dxa"/>
            <w:vAlign w:val="center"/>
          </w:tcPr>
          <w:p>
            <w:pPr>
              <w:pStyle w:val="Text1"/>
              <w:tabs>
                <w:tab w:val="right" w:pos="1310"/>
                <w:tab w:val="left" w:pos="1451"/>
              </w:tabs>
              <w:spacing w:before="0" w:after="240"/>
              <w:ind w:left="0"/>
              <w:jc w:val="center"/>
              <w:rPr>
                <w:noProof/>
                <w:sz w:val="22"/>
              </w:rPr>
            </w:pPr>
            <w:r>
              <w:rPr>
                <w:noProof/>
                <w:sz w:val="22"/>
              </w:rPr>
              <w:t>2 (v dveh različnih četrtletjih)</w:t>
            </w:r>
          </w:p>
        </w:tc>
        <w:tc>
          <w:tcPr>
            <w:tcW w:w="2410" w:type="dxa"/>
            <w:vAlign w:val="center"/>
          </w:tcPr>
          <w:p>
            <w:pPr>
              <w:pStyle w:val="Text1"/>
              <w:tabs>
                <w:tab w:val="right" w:pos="1310"/>
                <w:tab w:val="left" w:pos="1451"/>
              </w:tabs>
              <w:spacing w:before="0" w:after="240"/>
              <w:ind w:left="0"/>
              <w:jc w:val="center"/>
              <w:rPr>
                <w:noProof/>
                <w:sz w:val="22"/>
              </w:rPr>
            </w:pPr>
            <w:r>
              <w:rPr>
                <w:noProof/>
                <w:sz w:val="22"/>
              </w:rPr>
              <w:t>125</w:t>
            </w:r>
          </w:p>
        </w:tc>
      </w:tr>
    </w:tbl>
    <w:p>
      <w:pPr>
        <w:pStyle w:val="Titrearticle"/>
        <w:rPr>
          <w:noProof/>
        </w:rPr>
      </w:pPr>
      <w:r>
        <w:rPr>
          <w:noProof/>
        </w:rPr>
        <w:t>Člen 2</w:t>
      </w:r>
    </w:p>
    <w:p>
      <w:pPr>
        <w:rPr>
          <w:noProof/>
        </w:rPr>
      </w:pPr>
      <w:r>
        <w:rPr>
          <w:noProof/>
        </w:rPr>
        <w:t xml:space="preserve">Ta uredba začne veljati dan po objavi v </w:t>
      </w:r>
      <w:r>
        <w:rPr>
          <w:i/>
          <w:noProof/>
        </w:rPr>
        <w:t>Uradnem listu Evropske unije</w:t>
      </w:r>
      <w:r>
        <w:rPr>
          <w:noProof/>
        </w:rPr>
        <w:t>.</w:t>
      </w:r>
    </w:p>
    <w:p>
      <w:pPr>
        <w:rPr>
          <w:noProof/>
        </w:rPr>
      </w:pPr>
      <w:r>
        <w:rPr>
          <w:noProof/>
        </w:rPr>
        <w:t>Uporablja se od datuma začetka uporabe Protokola.</w:t>
      </w:r>
    </w:p>
    <w:p>
      <w:pPr>
        <w:pStyle w:val="Applicationdirecte"/>
        <w:rPr>
          <w:noProof/>
        </w:rPr>
      </w:pPr>
      <w:r>
        <w:rPr>
          <w:noProof/>
        </w:rPr>
        <w:t>Ta uredba je v celoti zavezujoča in se neposredno uporablja v vseh državah članicah.</w:t>
      </w: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0" w:firstLine="0"/>
      </w:pPr>
      <w:r>
        <w:rPr>
          <w:rStyle w:val="FootnoteReference"/>
        </w:rPr>
        <w:footnoteRef/>
      </w:r>
      <w:r>
        <w:tab/>
        <w:t>UL L ..., …, str. .</w:t>
      </w:r>
    </w:p>
  </w:footnote>
  <w:footnote w:id="2">
    <w:p>
      <w:pPr>
        <w:pStyle w:val="FootnoteText"/>
      </w:pPr>
      <w:r>
        <w:rPr>
          <w:rStyle w:val="FootnoteReference"/>
        </w:rPr>
        <w:footnoteRef/>
      </w:r>
      <w:r>
        <w:tab/>
        <w:t xml:space="preserve">Zadevne države članice uporabo četrtletnih dovoljenj za ribolov uskladijo v sodelovanju s Komisijo.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F12FB0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A28DE7C"/>
    <w:lvl w:ilvl="0">
      <w:start w:val="1"/>
      <w:numFmt w:val="decimal"/>
      <w:pStyle w:val="ListNumber3"/>
      <w:lvlText w:val="%1."/>
      <w:lvlJc w:val="left"/>
      <w:pPr>
        <w:tabs>
          <w:tab w:val="num" w:pos="926"/>
        </w:tabs>
        <w:ind w:left="926" w:hanging="360"/>
      </w:pPr>
    </w:lvl>
  </w:abstractNum>
  <w:abstractNum w:abstractNumId="2">
    <w:nsid w:val="FFFFFF7F"/>
    <w:multiLevelType w:val="singleLevel"/>
    <w:tmpl w:val="CBD43C98"/>
    <w:lvl w:ilvl="0">
      <w:start w:val="1"/>
      <w:numFmt w:val="decimal"/>
      <w:pStyle w:val="ListNumber2"/>
      <w:lvlText w:val="%1."/>
      <w:lvlJc w:val="left"/>
      <w:pPr>
        <w:tabs>
          <w:tab w:val="num" w:pos="643"/>
        </w:tabs>
        <w:ind w:left="643" w:hanging="360"/>
      </w:pPr>
    </w:lvl>
  </w:abstractNum>
  <w:abstractNum w:abstractNumId="3">
    <w:nsid w:val="FFFFFF81"/>
    <w:multiLevelType w:val="singleLevel"/>
    <w:tmpl w:val="4378BC1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2EAC3A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FB8F9B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9084040"/>
    <w:lvl w:ilvl="0">
      <w:start w:val="1"/>
      <w:numFmt w:val="decimal"/>
      <w:pStyle w:val="ListNumber"/>
      <w:lvlText w:val="%1."/>
      <w:lvlJc w:val="left"/>
      <w:pPr>
        <w:tabs>
          <w:tab w:val="num" w:pos="360"/>
        </w:tabs>
        <w:ind w:left="360" w:hanging="360"/>
      </w:pPr>
    </w:lvl>
  </w:abstractNum>
  <w:abstractNum w:abstractNumId="7">
    <w:nsid w:val="FFFFFF89"/>
    <w:multiLevelType w:val="singleLevel"/>
    <w:tmpl w:val="4BA43C1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7"/>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8"/>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5 13:05:2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C39BB3A-E6BF-4CEB-97D4-B47B7437977D"/>
    <w:docVar w:name="LW_COVERPAGE_TYPE" w:val="1"/>
    <w:docVar w:name="LW_CROSSREFERENCE" w:val="&lt;UNUSED&gt;"/>
    <w:docVar w:name="LW_DocType" w:val="COM"/>
    <w:docVar w:name="LW_EMISSION" w:val="12.3.2019"/>
    <w:docVar w:name="LW_EMISSION_ISODATE" w:val="2019-03-12"/>
    <w:docVar w:name="LW_EMISSION_LOCATION" w:val="BRX"/>
    <w:docVar w:name="LW_EMISSION_PREFIX" w:val="Bruselj,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074"/>
    <w:docVar w:name="LW_REF.II.NEW.CP_YEAR" w:val="2019"/>
    <w:docVar w:name="LW_REF.INST.NEW" w:val="COM"/>
    <w:docVar w:name="LW_REF.INST.NEW_ADOPTED" w:val="final"/>
    <w:docVar w:name="LW_REF.INST.NEW_TEXT" w:val="(2019) 13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dodelitvi ribolovnih mo\u382?nosti v skladu s Protokolom k Sporazumu o partnerstvu o trajnostnem ribi\u353?tvu med Evropsko unijo in Republiko Gambijo"/>
    <w:docVar w:name="LW_TYPE.DOC.CP" w:val="UREDBA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uiPriority w:val="99"/>
    <w:semiHidden/>
    <w:unhideWhenUsed/>
    <w:pPr>
      <w:numPr>
        <w:numId w:val="1"/>
      </w:numPr>
      <w:contextualSpacing/>
    </w:pPr>
    <w:rPr>
      <w:rFonts w:eastAsia="Calibri"/>
      <w:lang w:eastAsia="en-GB"/>
    </w:rPr>
  </w:style>
  <w:style w:type="paragraph" w:styleId="ListBullet">
    <w:name w:val="List Bullet"/>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uiPriority w:val="99"/>
    <w:semiHidden/>
    <w:unhideWhenUsed/>
    <w:pPr>
      <w:numPr>
        <w:numId w:val="1"/>
      </w:numPr>
      <w:contextualSpacing/>
    </w:pPr>
    <w:rPr>
      <w:rFonts w:eastAsia="Calibri"/>
      <w:lang w:eastAsia="en-GB"/>
    </w:rPr>
  </w:style>
  <w:style w:type="paragraph" w:styleId="ListBullet">
    <w:name w:val="List Bullet"/>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67A913A-19CB-44FF-AF25-A9BBBCCD7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5</Pages>
  <Words>770</Words>
  <Characters>4551</Characters>
  <Application>Microsoft Office Word</Application>
  <DocSecurity>0</DocSecurity>
  <Lines>119</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cp:lastPrinted>2018-11-06T10:24:00Z</cp:lastPrinted>
  <dcterms:created xsi:type="dcterms:W3CDTF">2019-02-15T08:06:00Z</dcterms:created>
  <dcterms:modified xsi:type="dcterms:W3CDTF">2019-03-05T12:05:00Z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 Build 20171009</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