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25D5A0A-B671-4582-B880-FE3CED452DBD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rPr>
          <w:rFonts w:eastAsia="Calibri"/>
          <w:noProof/>
        </w:rPr>
      </w:pPr>
      <w:r>
        <w:rPr>
          <w:noProof/>
        </w:rPr>
        <w:t xml:space="preserve">Na základě příslušných směrnic pro jednání vedla Komise jednání s vládou Gambie za účelem uzavření nové Dohody o partnerství v odvětví udržitelného rybolovu mezi Evropskou unií a Gambijskou republikou. Po ukončení těchto jednání došlo dne 19. října 2018 k parafování nové dohody a prováděcího protokolu. Nová dohoda mění a nahrazuje dohodu stávající; vztahuje se na období šesti let ode dne počátku prozatímního provádění a její platnost se automaticky prodlužuje. Nový protokol se vztahuje na období šesti let ode dne počátku prozatímního provádění stanoveného v článku 13, jímž je den, kdy byl podepsán oběma stranami.  </w:t>
      </w:r>
    </w:p>
    <w:p>
      <w:pPr>
        <w:rPr>
          <w:rFonts w:eastAsia="Calibri"/>
          <w:noProof/>
        </w:rPr>
      </w:pPr>
      <w:r>
        <w:rPr>
          <w:noProof/>
        </w:rPr>
        <w:t>Hlavním cílem nové dohody je poskytnout aktualizovaný rámec, který bere v úvahu priority reformované společné rybářské politiky a jejího vnějšího rozměru, se záměrem dosáhnout strategického partnerství mezi Evropskou unií a Gambijskou republikou v odvětví rybolovu.</w:t>
      </w:r>
    </w:p>
    <w:p>
      <w:pPr>
        <w:rPr>
          <w:rFonts w:eastAsia="Calibri"/>
          <w:noProof/>
        </w:rPr>
      </w:pPr>
      <w:r>
        <w:rPr>
          <w:noProof/>
        </w:rPr>
        <w:t>Cílem protokolu je zajistit rybolovná práva pro plavidla Evropské unie v gambijských vodách s ohledem na dostupná vědecká hodnocení, zejména hodnocení Výboru pro rybolov ve středovýchodním Atlantiku (CECAF), a v souladu s nejlepšími vědeckými stanovisky a doporučeními Mezinárodní komise na ochranu tuňáků v Atlantiku (ICCAT) a v mezích dostupného přebytku. Postoj Komise se zčásti zakládal na výsledcích externího prospektivního odborného hodnocení, zda by měly být nová dohoda a nový protokol uzavřeny. Cílem je také posílit spolupráci mezi Evropskou unií a Gambijskou republikou za účelem podpory politiky udržitelného rybolovu a odpovědného využívání rybolovných zdrojů v gambijské rybolovné oblasti, a to v zájmu obou stran.</w:t>
      </w:r>
    </w:p>
    <w:p>
      <w:pPr>
        <w:rPr>
          <w:rFonts w:eastAsia="Calibri"/>
          <w:noProof/>
        </w:rPr>
      </w:pPr>
      <w:r>
        <w:rPr>
          <w:noProof/>
        </w:rPr>
        <w:t>Protokol stanoví rybolovná práva v těchto kategoriích: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28 plavidel lovících tuňáky vlečnou sítí,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10 plavidel lovících na pruty,</w:t>
      </w:r>
    </w:p>
    <w:p>
      <w:pPr>
        <w:rPr>
          <w:rFonts w:eastAsia="Calibri"/>
          <w:noProof/>
        </w:rPr>
      </w:pPr>
      <w:r>
        <w:rPr>
          <w:noProof/>
        </w:rPr>
        <w:t>–</w:t>
      </w:r>
      <w:r>
        <w:rPr>
          <w:noProof/>
        </w:rPr>
        <w:tab/>
        <w:t>3 trawlery (lovící štikozubce senegalského, druh žijící v hloubce při dně).</w:t>
      </w:r>
    </w:p>
    <w:p>
      <w:pPr>
        <w:rPr>
          <w:noProof/>
        </w:rPr>
      </w:pPr>
      <w:r>
        <w:rPr>
          <w:noProof/>
        </w:rPr>
        <w:t xml:space="preserve">Rybolovná práva by se měla rozdělit mezi členské státy.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Právní základ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Zvoleným právním základem je Smlouva o fungování Evropské unie, jejíž čl. 43 odst. 3 stanoví, že Rada na návrh Komise schválí přidělení rybolovných práv.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Subsidiarita (v případě nevýlučné pravomoci) 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Tato oblast spadá do výlučné pravomoci.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ROZPOČTOVÉ DŮSLEDKY</w:t>
      </w:r>
    </w:p>
    <w:p>
      <w:pPr>
        <w:rPr>
          <w:rFonts w:eastAsia="Calibri"/>
          <w:noProof/>
        </w:rPr>
      </w:pPr>
      <w:r>
        <w:rPr>
          <w:noProof/>
        </w:rPr>
        <w:t>Předloha nařízení nemá dopad na rozpočet Unie.</w:t>
      </w:r>
    </w:p>
    <w:p>
      <w:pPr>
        <w:rPr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Plány provádění a způsoby monitorování, hodnocení a podávání zpráv</w:t>
      </w:r>
    </w:p>
    <w:p>
      <w:pPr>
        <w:spacing w:before="0" w:after="240"/>
        <w:rPr>
          <w:rFonts w:eastAsia="Calibri"/>
          <w:noProof/>
        </w:rPr>
      </w:pPr>
      <w:r>
        <w:rPr>
          <w:noProof/>
        </w:rPr>
        <w:t>Postup se zahajuje současně s postupy týkajícími se rozhodnutí Rady o podpisu, jménem Unie, Dohody mezi Evropskou unií a Gambijskou republikou o partnerství v oblasti udržitelného rybolovu a rozhodnutí Rady o jejím uzavření. Nařízení musí vstoupit v platnost, jakmile budou rybolovné činnosti podle dohody možné, tedy od data počátku provádění prováděcího protokolu k dohodě.</w:t>
      </w:r>
    </w:p>
    <w:p>
      <w:pPr>
        <w:spacing w:before="0" w:after="240"/>
        <w:rPr>
          <w:rFonts w:eastAsia="Calibri"/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2019/0074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NAŘÍZENÍ RADY</w:t>
      </w:r>
    </w:p>
    <w:p>
      <w:pPr>
        <w:pStyle w:val="Titreobjet"/>
        <w:rPr>
          <w:noProof/>
        </w:rPr>
      </w:pPr>
      <w:r>
        <w:rPr>
          <w:noProof/>
        </w:rPr>
        <w:t>o rozdělení rybolovných práv na základě protokolu k Dohodě mezi Evropskou unií a Gambijskou republikou o partnerství v oblasti udržitelného rybolovu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43 odst. 3 této smlouvy,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Komise sjednala jménem Evropské unie novou Dohodu o partnerství v oblasti udržitelného rybolovu mezi Evropskou unií a Gambijskou republikou (dále jen „dohoda o partnerství“), jakož i nový prováděcí protokol k dohodě o partnerství (dále jen „protokol“). 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(2)</w:t>
      </w:r>
      <w:r>
        <w:rPr>
          <w:noProof/>
        </w:rPr>
        <w:tab/>
        <w:t>Dohoda o partnerství a protokol byly parafovány na konci těchto jednání dne 19. října 2018.</w:t>
      </w:r>
    </w:p>
    <w:p>
      <w:pPr>
        <w:ind w:left="709" w:hanging="709"/>
        <w:rPr>
          <w:rFonts w:eastAsia="Calibri"/>
          <w:noProof/>
        </w:rPr>
      </w:pPr>
      <w:r>
        <w:rPr>
          <w:noProof/>
        </w:rPr>
        <w:t>(3)</w:t>
      </w:r>
      <w:r>
        <w:rPr>
          <w:noProof/>
        </w:rPr>
        <w:tab/>
        <w:t>Dohoda o partnerství zrušuje předchozí dohodu o rybolovu při pobřeží Gambie, která byla uzavřena mezi vládou Gambijské republiky a Evropským hospodářským společenstvím a jež vstoupila v platnost dne 2. června 1987.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V souladu s rozhodnutím Rady 2018/.../EU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byly nová dohoda o partnerství a protokol podepsány dne... [ </w:t>
      </w:r>
      <w:r>
        <w:rPr>
          <w:i/>
          <w:noProof/>
        </w:rPr>
        <w:t>vložte datum podpisu</w:t>
      </w:r>
      <w:r>
        <w:rPr>
          <w:noProof/>
        </w:rPr>
        <w:t>].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Protokol se vztahuje na období šesti let ode dne počátku jeho provádění.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Rybolovná práva stanovená protokolem by měla být rozdělena mezi členské státy na celou dobu provádění protokolu.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Aby bylo zajištěno rychlé zahájení rybolovných činností plavidel Unie, bude protokol prozatímně prováděn ode dne podpisu. Toto nařízení by se tudíž mělo uplatňovat od stejného data,</w:t>
      </w:r>
    </w:p>
    <w:p>
      <w:pPr>
        <w:ind w:left="709" w:hanging="709"/>
        <w:rPr>
          <w:rFonts w:eastAsia="Calibri"/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PŘIJALA TOTO NAŘÍZENÍ: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Rybolovná práva stanovená v Protokolu o provádění Dohody o partnerství v odvětví rybolovu mezi Evropskou unií a Gambijskou republikou (dále jen „protokol“) se mezi členské státy rozdělují takto: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plavidla lovící tuňáky vlečnou sítí: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Španělsko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16 plavidel</w:t>
            </w:r>
          </w:p>
        </w:tc>
      </w:tr>
      <w:tr>
        <w:trPr>
          <w:trHeight w:val="589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Francie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 plavidel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plavidla lovící na pruty: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Španělsko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8 plavidel</w:t>
            </w:r>
          </w:p>
        </w:tc>
      </w:tr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Francie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 plavidla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plavidla lovící pomocí hlubinných vlečných sítí pro lov při dně: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  <w:gridCol w:w="2410"/>
        <w:gridCol w:w="2410"/>
      </w:tblGrid>
      <w:tr>
        <w:trPr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Členský stát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Maximální počet plavidel lovících pomocí hlubinných vlečných sítí pro lov při dně působících v kterémkoli daném okamžiku.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Počet čtvrtletních oprávnění k rybolovu za rok</w:t>
            </w:r>
            <w:r>
              <w:rPr>
                <w:rStyle w:val="FootnoteReference"/>
                <w:noProof/>
                <w:sz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Tuny cílových druhů definované v dodatku 2b přílohy protokolu</w:t>
            </w:r>
          </w:p>
        </w:tc>
      </w:tr>
      <w:tr>
        <w:trPr>
          <w:trHeight w:val="746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Španělsko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625</w:t>
            </w:r>
          </w:p>
        </w:tc>
      </w:tr>
      <w:tr>
        <w:trPr>
          <w:trHeight w:val="746"/>
          <w:jc w:val="center"/>
        </w:trPr>
        <w:tc>
          <w:tcPr>
            <w:tcW w:w="2693" w:type="dxa"/>
            <w:vAlign w:val="center"/>
          </w:tcPr>
          <w:p>
            <w:pPr>
              <w:pStyle w:val="Text1"/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Řecko</w:t>
            </w:r>
          </w:p>
        </w:tc>
        <w:tc>
          <w:tcPr>
            <w:tcW w:w="2410" w:type="dxa"/>
            <w:vMerge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 (ve dvou různých čtvrtletích)</w:t>
            </w:r>
          </w:p>
        </w:tc>
        <w:tc>
          <w:tcPr>
            <w:tcW w:w="2410" w:type="dxa"/>
            <w:vAlign w:val="center"/>
          </w:tcPr>
          <w:p>
            <w:pPr>
              <w:pStyle w:val="Text1"/>
              <w:tabs>
                <w:tab w:val="right" w:pos="1310"/>
                <w:tab w:val="left" w:pos="1451"/>
              </w:tabs>
              <w:spacing w:before="0" w:after="240"/>
              <w:ind w:left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125</w:t>
            </w:r>
          </w:p>
        </w:tc>
      </w:tr>
    </w:tbl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 xml:space="preserve">Toto nařízení vstupuje v platnost prvním dnem po vyhlášení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Použije se ode dne počátku provádění protokolu.</w:t>
      </w:r>
    </w:p>
    <w:p>
      <w:pPr>
        <w:pStyle w:val="Applicationdirecte"/>
        <w:rPr>
          <w:noProof/>
        </w:rPr>
      </w:pPr>
      <w:r>
        <w:rPr>
          <w:noProof/>
        </w:rPr>
        <w:t>Toto nařízení je závazné v celém rozsahu a přímo použitelné ve všech členských státech.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Úř. věst. L .., …, s.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Dotčené členské státy spolupracují s Komisí s cílem koordinovat využívání čtvrtletních oprávnění k rybolovu.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F12FB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A28DE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D43C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378BC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2EAC3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FB8F9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908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A43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5 13:05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25D5A0A-B671-4582-B880-FE3CED452DBD"/>
    <w:docVar w:name="LW_COVERPAGE_TYPE" w:val="1"/>
    <w:docVar w:name="LW_CROSSREFERENCE" w:val="&lt;UNUSED&gt;"/>
    <w:docVar w:name="LW_DocType" w:val="COM"/>
    <w:docVar w:name="LW_EMISSION" w:val="12.3.2019"/>
    <w:docVar w:name="LW_EMISSION_ISODATE" w:val="2019-03-12"/>
    <w:docVar w:name="LW_EMISSION_LOCATION" w:val="BRX"/>
    <w:docVar w:name="LW_EMISSION_PREFIX" w:val="V Bruselu dne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4"/>
    <w:docVar w:name="LW_REF.II.NEW.CP_YEAR" w:val="2019"/>
    <w:docVar w:name="LW_REF.INST.NEW" w:val="COM"/>
    <w:docVar w:name="LW_REF.INST.NEW_ADOPTED" w:val="final"/>
    <w:docVar w:name="LW_REF.INST.NEW_TEXT" w:val="(2019) 13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rozd\u283?lení rybolovných práv na základ\u283? protokolu k Dohod\u283? mezi Evropskou unií a Gambijskou republikou o partnerství v oblasti udr\u382?itelného rybolovu"/>
    <w:docVar w:name="LW_TYPE.DOC.CP" w:val="NA\u344?ÍZEN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C9B788-14BE-4E4E-8BC4-D800834C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777</Words>
  <Characters>4507</Characters>
  <Application>Microsoft Office Word</Application>
  <DocSecurity>0</DocSecurity>
  <Lines>121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cp:lastPrinted>2018-11-06T10:24:00Z</cp:lastPrinted>
  <dcterms:created xsi:type="dcterms:W3CDTF">2019-02-15T16:29:00Z</dcterms:created>
  <dcterms:modified xsi:type="dcterms:W3CDTF">2019-03-05T12:05:00Z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