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2D1D1D6-2C26-424D-B557-7EE239EB9EFE"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rPr>
          <w:noProof/>
        </w:rPr>
        <w:t>1.</w:t>
      </w:r>
      <w:r>
        <w:rPr>
          <w:noProof/>
        </w:rPr>
        <w:tab/>
        <w:t>EHDOTUKSEN TAUSTA</w:t>
      </w:r>
    </w:p>
    <w:p>
      <w:pPr>
        <w:pStyle w:val="ManualHeading2"/>
        <w:rPr>
          <w:rFonts w:eastAsia="Arial Unicode MS"/>
          <w:noProof/>
        </w:rPr>
      </w:pPr>
      <w:r>
        <w:rPr>
          <w:noProof/>
          <w:color w:val="000000"/>
          <w:u w:color="000000"/>
          <w:bdr w:val="nil"/>
        </w:rPr>
        <w:t>•</w:t>
      </w:r>
      <w:r>
        <w:rPr>
          <w:noProof/>
        </w:rPr>
        <w:tab/>
        <w:t>Ehdotuksen perustelut ja tavoitteet</w:t>
      </w:r>
    </w:p>
    <w:p>
      <w:pPr>
        <w:rPr>
          <w:rFonts w:eastAsia="Calibri"/>
          <w:noProof/>
        </w:rPr>
      </w:pPr>
      <w:r>
        <w:rPr>
          <w:noProof/>
        </w:rPr>
        <w:t xml:space="preserve">Komissio on asiaa koskevien neuvotteluohjeiden perusteella neuvotellut Gambian hallituksen kanssa Euroopan unionin ja Gambian tasavallan välisen uuden kestävää kalastusta koskevan kumppanuussopimuksen tekemisestä. Neuvottelujen tuloksena parafoitiin uusi sopimus ja täytäntöönpanopöytäkirja 19. lokakuuta 2018. Uudella sopimuksella kumotaan ja korvataan nykyinen sopimus; sopimus on voimassa kuusi vuotta sen väliaikaisen soveltamisen alkamispäivästä, ja se voidaan uusia hiljaisesti.  Uusi pöytäkirja on voimassa kuusi vuotta sen 13 artiklassa vahvistetusta väliaikaisen soveltamisen alkamispäivästä eli päivästä, jona osapuolet allekirjoittivat pöytäkirjan.  </w:t>
      </w:r>
    </w:p>
    <w:p>
      <w:pPr>
        <w:rPr>
          <w:rFonts w:eastAsia="Calibri"/>
          <w:noProof/>
        </w:rPr>
      </w:pPr>
      <w:r>
        <w:rPr>
          <w:noProof/>
        </w:rPr>
        <w:t>Uuden sopimuksen tavoitteena on luoda ajantasaistettu kehys, jossa otetaan huomioon uudistetun kalastuspolitiikan painopisteet ja kyseisen politiikan ulkoinen ulottuvuus ja jolla pyritään luomaan Euroopan unionin ja Gambian tasavallan välinen strateginen kumppanuus kalastusalalla.</w:t>
      </w:r>
    </w:p>
    <w:p>
      <w:pPr>
        <w:rPr>
          <w:rFonts w:eastAsia="Calibri"/>
          <w:noProof/>
        </w:rPr>
      </w:pPr>
      <w:r>
        <w:rPr>
          <w:noProof/>
        </w:rPr>
        <w:t>Pöytäkirjan tavoitteena on tarjota Euroopan unionin aluksille kalastusmahdollisuuksia Gambian vesillä ottaen huomioon käytettävissä olevat tieteelliset arvioinnit, erityisesti Itäisen Keski-Atlantin kalastuskomitean (CECAF) laatimat tieteelliset arvioinnit, ja noudattaen parhaita saatavilla olevia tieteellisiä lausuntoja ja Kansainvälisen Atlantin tonnikalojen suojelukomission (ICCAT) suosituksia käytettävissä olevan ylijäämän rajoissa. Komissio on tukeutunut muun muassa ulkopuolisten asiantuntijoiden laatiman, uuden sopimuksen ja pöytäkirjan tekomahdollisuuksia koskevan ennakoivan arvioinnin tuloksiin. Tavoitteena on myös tehostaa Euroopan unionin ja Gambian tasavallan välistä yhteistyötä kestävän kalastuksen politiikan kehittämiseksi ja Gambian kalastusalueen kalavarojen vastuulliseksi hyödyntämiseksi kummankin osapuolen edun mukaisesti.</w:t>
      </w:r>
    </w:p>
    <w:p>
      <w:pPr>
        <w:rPr>
          <w:rFonts w:eastAsia="Calibri"/>
          <w:noProof/>
        </w:rPr>
      </w:pPr>
      <w:r>
        <w:rPr>
          <w:noProof/>
        </w:rPr>
        <w:t>Pöytäkirjassa määrätään kalastusmahdollisuuksista seuraavissa luokissa:</w:t>
      </w:r>
    </w:p>
    <w:p>
      <w:pPr>
        <w:rPr>
          <w:rFonts w:eastAsia="Calibri"/>
          <w:noProof/>
        </w:rPr>
      </w:pPr>
      <w:r>
        <w:rPr>
          <w:noProof/>
        </w:rPr>
        <w:t>–</w:t>
      </w:r>
      <w:r>
        <w:rPr>
          <w:noProof/>
        </w:rPr>
        <w:tab/>
        <w:t>nuottaa käyttävät tonnikala-alukset: 28 alusta,</w:t>
      </w:r>
    </w:p>
    <w:p>
      <w:pPr>
        <w:rPr>
          <w:rFonts w:eastAsia="Calibri"/>
          <w:noProof/>
        </w:rPr>
      </w:pPr>
      <w:r>
        <w:rPr>
          <w:noProof/>
        </w:rPr>
        <w:t>–</w:t>
      </w:r>
      <w:r>
        <w:rPr>
          <w:noProof/>
        </w:rPr>
        <w:tab/>
        <w:t>vapapyydysalukset: 10 alusta,</w:t>
      </w:r>
    </w:p>
    <w:p>
      <w:pPr>
        <w:rPr>
          <w:rFonts w:eastAsia="Calibri"/>
          <w:noProof/>
        </w:rPr>
      </w:pPr>
      <w:r>
        <w:rPr>
          <w:noProof/>
        </w:rPr>
        <w:t>–</w:t>
      </w:r>
      <w:r>
        <w:rPr>
          <w:noProof/>
        </w:rPr>
        <w:tab/>
        <w:t>troolarit: 3 alusta (jotka pyytävät senegalinkummelia, joka on pohjalaji).</w:t>
      </w:r>
    </w:p>
    <w:p>
      <w:pPr>
        <w:rPr>
          <w:noProof/>
        </w:rPr>
      </w:pPr>
      <w:r>
        <w:rPr>
          <w:noProof/>
        </w:rPr>
        <w:t xml:space="preserve">Nämä kalastusmahdollisuudet olisi jaettava jäsenvaltioiden kesken. </w:t>
      </w:r>
    </w:p>
    <w:p>
      <w:pPr>
        <w:pStyle w:val="ManualHeading1"/>
        <w:rPr>
          <w:noProof/>
        </w:rPr>
      </w:pPr>
      <w:r>
        <w:rPr>
          <w:noProof/>
        </w:rPr>
        <w:t>2.</w:t>
      </w:r>
      <w:r>
        <w:rPr>
          <w:noProof/>
        </w:rPr>
        <w:tab/>
        <w:t>OIKEUSPERUSTA, TOISSIJAISUUSPERIAATE JA SUHTEELLISUUSPERIAATE</w:t>
      </w:r>
    </w:p>
    <w:p>
      <w:pPr>
        <w:pStyle w:val="ManualHeading2"/>
        <w:rPr>
          <w:rFonts w:eastAsia="Arial Unicode MS"/>
          <w:noProof/>
          <w:u w:color="000000"/>
          <w:bdr w:val="nil"/>
        </w:rPr>
      </w:pPr>
      <w:r>
        <w:rPr>
          <w:noProof/>
        </w:rPr>
        <w:t>•</w:t>
      </w:r>
      <w:r>
        <w:rPr>
          <w:noProof/>
        </w:rPr>
        <w:tab/>
        <w:t>Oikeusperusta</w:t>
      </w:r>
    </w:p>
    <w:p>
      <w:pPr>
        <w:spacing w:before="0" w:after="240"/>
        <w:rPr>
          <w:rFonts w:eastAsia="Arial Unicode MS"/>
          <w:noProof/>
        </w:rPr>
      </w:pPr>
      <w:r>
        <w:rPr>
          <w:noProof/>
        </w:rPr>
        <w:t xml:space="preserve">Oikeusperustana on Euroopan unionin toiminnasta tehty sopimus, jonka 43 artiklan 3 kohdassa määrätään, että neuvosto hyväksyy komission ehdotuksesta kalastusmahdollisuuksien jaon. </w:t>
      </w:r>
    </w:p>
    <w:p>
      <w:pPr>
        <w:pStyle w:val="ManualHeading2"/>
        <w:rPr>
          <w:rFonts w:eastAsia="Arial Unicode MS"/>
          <w:noProof/>
          <w:u w:color="000000"/>
          <w:bdr w:val="nil"/>
        </w:rPr>
      </w:pPr>
      <w:r>
        <w:rPr>
          <w:noProof/>
        </w:rPr>
        <w:t>•</w:t>
      </w:r>
      <w:r>
        <w:rPr>
          <w:noProof/>
        </w:rPr>
        <w:tab/>
        <w:t xml:space="preserve">Toissijaisuusperiaate (jaetun toimivallan osalta) </w:t>
      </w:r>
    </w:p>
    <w:p>
      <w:pPr>
        <w:spacing w:before="0" w:after="240"/>
        <w:rPr>
          <w:rFonts w:eastAsia="Arial Unicode MS"/>
          <w:noProof/>
        </w:rPr>
      </w:pPr>
      <w:r>
        <w:rPr>
          <w:noProof/>
        </w:rPr>
        <w:t>Kyseinen politiikan ala kuuluu yksinomaiseen toimivaltaan.</w:t>
      </w:r>
    </w:p>
    <w:p>
      <w:pPr>
        <w:pStyle w:val="ManualHeading1"/>
        <w:rPr>
          <w:noProof/>
        </w:rPr>
      </w:pPr>
      <w:r>
        <w:rPr>
          <w:noProof/>
        </w:rPr>
        <w:t>3.</w:t>
      </w:r>
      <w:r>
        <w:rPr>
          <w:noProof/>
        </w:rPr>
        <w:tab/>
        <w:t>TALOUSARVIOVAIKUTUKSET</w:t>
      </w:r>
    </w:p>
    <w:p>
      <w:pPr>
        <w:rPr>
          <w:rFonts w:eastAsia="Calibri"/>
          <w:noProof/>
        </w:rPr>
      </w:pPr>
      <w:r>
        <w:rPr>
          <w:noProof/>
        </w:rPr>
        <w:t>Asetusluonnoksella ei ole vaikutuksia unionin talousarvioon.</w:t>
      </w:r>
    </w:p>
    <w:p>
      <w:pPr>
        <w:rPr>
          <w:noProof/>
        </w:rPr>
      </w:pPr>
    </w:p>
    <w:p>
      <w:pPr>
        <w:pStyle w:val="ManualHeading1"/>
        <w:rPr>
          <w:noProof/>
        </w:rPr>
      </w:pPr>
      <w:r>
        <w:rPr>
          <w:noProof/>
        </w:rPr>
        <w:t>4.</w:t>
      </w:r>
      <w:r>
        <w:rPr>
          <w:noProof/>
        </w:rPr>
        <w:tab/>
        <w:t>LISÄTIEDOT</w:t>
      </w:r>
    </w:p>
    <w:p>
      <w:pPr>
        <w:pStyle w:val="ManualHeading2"/>
        <w:rPr>
          <w:rFonts w:eastAsia="Arial Unicode MS"/>
          <w:noProof/>
          <w:u w:color="000000"/>
          <w:bdr w:val="nil"/>
        </w:rPr>
      </w:pPr>
      <w:r>
        <w:rPr>
          <w:noProof/>
        </w:rPr>
        <w:t>•</w:t>
      </w:r>
      <w:r>
        <w:rPr>
          <w:noProof/>
        </w:rPr>
        <w:tab/>
        <w:t>Toteuttamissuunnitelmat, seuranta, arviointi ja raportointijärjestelyt</w:t>
      </w:r>
    </w:p>
    <w:p>
      <w:pPr>
        <w:spacing w:before="0" w:after="240"/>
        <w:rPr>
          <w:rFonts w:eastAsia="Calibri"/>
          <w:noProof/>
        </w:rPr>
      </w:pPr>
      <w:r>
        <w:rPr>
          <w:noProof/>
        </w:rPr>
        <w:t>Tämä menettely aloitetaan samanaikaisesti niiden menettelyjen kanssa, jotka liittyvät Euroopan unionin ja Gambian tasavallan välisen kestävää kalastusta koskevan kumppanuussopimuksen allekirjoittamisesta unionin puolesta annettuun neuvoston päätökseen ja kyseisen sopimuksen tekemisestä annettuun neuvoston päätökseen. Tätä asetusta on sovellettava heti, kun kalastus on sopimuksen mukaan mahdollista, toisin sanoen siitä päivästä, jona sopimuksen täytäntöönpanopöytäkirjaa aletaan soveltaa.</w:t>
      </w:r>
    </w:p>
    <w:p>
      <w:pPr>
        <w:spacing w:before="0" w:after="240"/>
        <w:rPr>
          <w:rFonts w:eastAsia="Calibri"/>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2019/0074 (NLE)</w:t>
      </w:r>
    </w:p>
    <w:p>
      <w:pPr>
        <w:pStyle w:val="Statut"/>
        <w:rPr>
          <w:noProof/>
        </w:rPr>
      </w:pPr>
      <w:r>
        <w:rPr>
          <w:noProof/>
        </w:rPr>
        <w:t>Ehdotus</w:t>
      </w:r>
    </w:p>
    <w:p>
      <w:pPr>
        <w:pStyle w:val="Typedudocument"/>
        <w:rPr>
          <w:noProof/>
        </w:rPr>
      </w:pPr>
      <w:r>
        <w:rPr>
          <w:noProof/>
        </w:rPr>
        <w:t>NEUVOSTON ASETUS</w:t>
      </w:r>
    </w:p>
    <w:p>
      <w:pPr>
        <w:pStyle w:val="Titreobjet"/>
        <w:rPr>
          <w:noProof/>
        </w:rPr>
      </w:pPr>
      <w:r>
        <w:rPr>
          <w:noProof/>
        </w:rPr>
        <w:t>Euroopan unionin ja Gambian tasavallan välisen kestävää kalastusta koskevan kumppanuussopimuksen pöytäkirjan mukaisten kalastusmahdollisuuksien jakamisesta</w:t>
      </w:r>
    </w:p>
    <w:p>
      <w:pPr>
        <w:pStyle w:val="Institutionquiagit"/>
        <w:rPr>
          <w:noProof/>
        </w:rPr>
      </w:pPr>
      <w:r>
        <w:rPr>
          <w:noProof/>
        </w:rPr>
        <w:t>EUROOPAN UNIONIN NEUVOSTO, joka</w:t>
      </w:r>
    </w:p>
    <w:p>
      <w:pPr>
        <w:rPr>
          <w:noProof/>
        </w:rPr>
      </w:pPr>
      <w:r>
        <w:rPr>
          <w:noProof/>
        </w:rPr>
        <w:t>ottaa huomioon Euroopan unionin toiminnasta tehdyn sopimuksen ja erityisesti sen 43 artiklan 3 kohdan,</w:t>
      </w:r>
    </w:p>
    <w:p>
      <w:pPr>
        <w:rPr>
          <w:noProof/>
        </w:rPr>
      </w:pPr>
    </w:p>
    <w:p>
      <w:pPr>
        <w:rPr>
          <w:noProof/>
        </w:rPr>
      </w:pPr>
      <w:r>
        <w:rPr>
          <w:noProof/>
        </w:rPr>
        <w:t>ottaa huomioon Euroopan komission ehdotuksen,</w:t>
      </w:r>
    </w:p>
    <w:p>
      <w:pPr>
        <w:rPr>
          <w:noProof/>
        </w:rPr>
      </w:pPr>
      <w:r>
        <w:rPr>
          <w:noProof/>
        </w:rPr>
        <w:t>sekä katsoo seuraavaa:</w:t>
      </w:r>
    </w:p>
    <w:p>
      <w:pPr>
        <w:ind w:left="709" w:hanging="709"/>
        <w:rPr>
          <w:rFonts w:eastAsia="Calibri"/>
          <w:noProof/>
        </w:rPr>
      </w:pPr>
      <w:r>
        <w:rPr>
          <w:noProof/>
        </w:rPr>
        <w:t>(1)</w:t>
      </w:r>
      <w:r>
        <w:rPr>
          <w:noProof/>
        </w:rPr>
        <w:tab/>
        <w:t xml:space="preserve">Komissio on neuvotellut Euroopan unionin puolesta Euroopan unionin ja Gambian tasavallan välisen uuden kestävää kalastusta koskevan kumppanuussopimuksen, jäljempänä ’kumppanuussopimus’, ja kumppanuussopimuksen uuden täytäntöönpanopöytäkirjan, jäljempänä ’pöytäkirja’. </w:t>
      </w:r>
    </w:p>
    <w:p>
      <w:pPr>
        <w:ind w:left="709" w:hanging="709"/>
        <w:rPr>
          <w:rFonts w:eastAsia="Calibri"/>
          <w:noProof/>
        </w:rPr>
      </w:pPr>
      <w:r>
        <w:rPr>
          <w:noProof/>
        </w:rPr>
        <w:t>(2)</w:t>
      </w:r>
      <w:r>
        <w:rPr>
          <w:noProof/>
        </w:rPr>
        <w:tab/>
        <w:t>Kumppanuussopimus ja pöytäkirja parafoitiin neuvottelujen päätteeksi 19 päivänä lokakuuta 2018.</w:t>
      </w:r>
    </w:p>
    <w:p>
      <w:pPr>
        <w:ind w:left="709" w:hanging="709"/>
        <w:rPr>
          <w:rFonts w:eastAsia="Calibri"/>
          <w:noProof/>
        </w:rPr>
      </w:pPr>
      <w:r>
        <w:rPr>
          <w:noProof/>
        </w:rPr>
        <w:t>(3)</w:t>
      </w:r>
      <w:r>
        <w:rPr>
          <w:noProof/>
        </w:rPr>
        <w:tab/>
        <w:t>Kumppanuussopimuksella kumotaan Gambian tasavallan hallituksen ja Euroopan talousyhteisön välinen Gambian rannikon edustalla harjoitettavaa kalastusta koskeva aiempi sopimus, joka tuli voimaan 2 päivänä kesäkuuta 1987.</w:t>
      </w:r>
    </w:p>
    <w:p>
      <w:pPr>
        <w:pStyle w:val="ManualConsidrant"/>
        <w:rPr>
          <w:noProof/>
        </w:rPr>
      </w:pPr>
      <w:r>
        <w:rPr>
          <w:noProof/>
        </w:rPr>
        <w:t>(4)</w:t>
      </w:r>
      <w:r>
        <w:rPr>
          <w:noProof/>
        </w:rPr>
        <w:tab/>
        <w:t>Uusi kumppanuussopimus ja pöytäkirja allekirjoitettiin neuvoston päätöksen 2018/.../EU</w:t>
      </w:r>
      <w:r>
        <w:rPr>
          <w:rStyle w:val="FootnoteReference"/>
          <w:noProof/>
        </w:rPr>
        <w:footnoteReference w:id="1"/>
      </w:r>
      <w:r>
        <w:rPr>
          <w:noProof/>
        </w:rPr>
        <w:t xml:space="preserve"> mukaisesti [</w:t>
      </w:r>
      <w:r>
        <w:rPr>
          <w:i/>
          <w:noProof/>
        </w:rPr>
        <w:t>lisätään allekirjoituspäivä</w:t>
      </w:r>
      <w:r>
        <w:rPr>
          <w:noProof/>
        </w:rPr>
        <w:t xml:space="preserve">]. </w:t>
      </w:r>
    </w:p>
    <w:p>
      <w:pPr>
        <w:pStyle w:val="ManualConsidrant"/>
        <w:rPr>
          <w:noProof/>
        </w:rPr>
      </w:pPr>
      <w:r>
        <w:rPr>
          <w:noProof/>
        </w:rPr>
        <w:t>(5)</w:t>
      </w:r>
      <w:r>
        <w:rPr>
          <w:noProof/>
        </w:rPr>
        <w:tab/>
        <w:t>Pöytäkirja on voimassa kuusi vuotta sen soveltamispäivästä.</w:t>
      </w:r>
    </w:p>
    <w:p>
      <w:pPr>
        <w:pStyle w:val="ManualConsidrant"/>
        <w:rPr>
          <w:noProof/>
        </w:rPr>
      </w:pPr>
      <w:r>
        <w:rPr>
          <w:noProof/>
        </w:rPr>
        <w:t>(6)</w:t>
      </w:r>
      <w:r>
        <w:rPr>
          <w:noProof/>
        </w:rPr>
        <w:tab/>
        <w:t>Pöytäkirjassa määrätyt kalastusmahdollisuudet olisi jaettava jäsenvaltioille pöytäkirjan koko soveltamiskaudeksi.</w:t>
      </w:r>
    </w:p>
    <w:p>
      <w:pPr>
        <w:pStyle w:val="ManualConsidrant"/>
        <w:rPr>
          <w:noProof/>
        </w:rPr>
      </w:pPr>
      <w:r>
        <w:rPr>
          <w:noProof/>
        </w:rPr>
        <w:t>(7)</w:t>
      </w:r>
      <w:r>
        <w:rPr>
          <w:noProof/>
        </w:rPr>
        <w:tab/>
        <w:t>Pöytäkirjaa sovelletaan väliaikaisesti sen allekirjoittamispäivästä, jotta unionin alukset voivat aloittaa kalastustoimet ripeästi. Sen vuoksi tätä asetusta olisi sovellettava samasta päivästä alkaen,</w:t>
      </w:r>
    </w:p>
    <w:p>
      <w:pPr>
        <w:ind w:left="709" w:hanging="709"/>
        <w:rPr>
          <w:rFonts w:eastAsia="Calibri"/>
          <w:noProof/>
        </w:rPr>
      </w:pPr>
    </w:p>
    <w:p>
      <w:pPr>
        <w:pStyle w:val="Formuledadoption"/>
        <w:rPr>
          <w:noProof/>
        </w:rPr>
      </w:pPr>
      <w:r>
        <w:rPr>
          <w:noProof/>
        </w:rPr>
        <w:t>ON HYVÄKSYNYT TÄMÄN ASETUKSEN:</w:t>
      </w:r>
    </w:p>
    <w:p>
      <w:pPr>
        <w:pStyle w:val="Titrearticle"/>
        <w:rPr>
          <w:noProof/>
        </w:rPr>
      </w:pPr>
      <w:r>
        <w:rPr>
          <w:noProof/>
        </w:rPr>
        <w:t>1 artikla</w:t>
      </w:r>
    </w:p>
    <w:p>
      <w:pPr>
        <w:rPr>
          <w:noProof/>
        </w:rPr>
      </w:pPr>
      <w:r>
        <w:rPr>
          <w:noProof/>
        </w:rPr>
        <w:t>Euroopan unionin ja Gambian tasavallan kalastuskumppanuussopimuksen täytäntöönpanoa koskevan pöytäkirjan, jäljempänä ’pöytäkirja’, mukaisesti vahvistetut kalastusmahdollisuudet jaetaan jäsenvaltioiden kesken seuraavasti:</w:t>
      </w:r>
    </w:p>
    <w:p>
      <w:pPr>
        <w:pStyle w:val="Point0letter"/>
        <w:numPr>
          <w:ilvl w:val="1"/>
          <w:numId w:val="5"/>
        </w:numPr>
        <w:rPr>
          <w:noProof/>
        </w:rPr>
      </w:pPr>
      <w:r>
        <w:rPr>
          <w:noProof/>
        </w:rPr>
        <w:t xml:space="preserve">nuottaa käyttävät tonnikala-alukset: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410"/>
      </w:tblGrid>
      <w:tr>
        <w:trPr>
          <w:jc w:val="center"/>
        </w:trPr>
        <w:tc>
          <w:tcPr>
            <w:tcW w:w="2693" w:type="dxa"/>
            <w:vAlign w:val="center"/>
          </w:tcPr>
          <w:p>
            <w:pPr>
              <w:pStyle w:val="Text1"/>
              <w:spacing w:before="0" w:after="240"/>
              <w:ind w:left="0"/>
              <w:jc w:val="center"/>
              <w:rPr>
                <w:noProof/>
                <w:sz w:val="22"/>
              </w:rPr>
            </w:pPr>
            <w:r>
              <w:rPr>
                <w:noProof/>
                <w:sz w:val="22"/>
              </w:rPr>
              <w:lastRenderedPageBreak/>
              <w:t>Espanja</w:t>
            </w:r>
          </w:p>
        </w:tc>
        <w:tc>
          <w:tcPr>
            <w:tcW w:w="2410" w:type="dxa"/>
            <w:vAlign w:val="center"/>
          </w:tcPr>
          <w:p>
            <w:pPr>
              <w:pStyle w:val="Text1"/>
              <w:tabs>
                <w:tab w:val="right" w:pos="1310"/>
                <w:tab w:val="left" w:pos="1451"/>
              </w:tabs>
              <w:spacing w:before="0" w:after="240"/>
              <w:ind w:left="0"/>
              <w:jc w:val="center"/>
              <w:rPr>
                <w:noProof/>
                <w:sz w:val="22"/>
              </w:rPr>
            </w:pPr>
            <w:r>
              <w:rPr>
                <w:noProof/>
                <w:sz w:val="22"/>
              </w:rPr>
              <w:t>16 alusta</w:t>
            </w:r>
          </w:p>
        </w:tc>
      </w:tr>
      <w:tr>
        <w:trPr>
          <w:trHeight w:val="589"/>
          <w:jc w:val="center"/>
        </w:trPr>
        <w:tc>
          <w:tcPr>
            <w:tcW w:w="2693" w:type="dxa"/>
            <w:vAlign w:val="center"/>
          </w:tcPr>
          <w:p>
            <w:pPr>
              <w:pStyle w:val="Text1"/>
              <w:spacing w:before="0" w:after="240"/>
              <w:ind w:left="0"/>
              <w:jc w:val="center"/>
              <w:rPr>
                <w:noProof/>
                <w:sz w:val="22"/>
              </w:rPr>
            </w:pPr>
            <w:r>
              <w:rPr>
                <w:noProof/>
                <w:sz w:val="22"/>
              </w:rPr>
              <w:t>Ranska</w:t>
            </w:r>
          </w:p>
        </w:tc>
        <w:tc>
          <w:tcPr>
            <w:tcW w:w="2410" w:type="dxa"/>
            <w:vAlign w:val="center"/>
          </w:tcPr>
          <w:p>
            <w:pPr>
              <w:pStyle w:val="Text1"/>
              <w:tabs>
                <w:tab w:val="right" w:pos="1310"/>
                <w:tab w:val="left" w:pos="1451"/>
              </w:tabs>
              <w:spacing w:before="0" w:after="240"/>
              <w:ind w:left="0"/>
              <w:jc w:val="center"/>
              <w:rPr>
                <w:noProof/>
                <w:sz w:val="22"/>
              </w:rPr>
            </w:pPr>
            <w:r>
              <w:rPr>
                <w:noProof/>
                <w:sz w:val="22"/>
              </w:rPr>
              <w:t>12 alusta</w:t>
            </w:r>
          </w:p>
        </w:tc>
      </w:tr>
    </w:tbl>
    <w:p>
      <w:pPr>
        <w:pStyle w:val="Point0letter"/>
        <w:numPr>
          <w:ilvl w:val="1"/>
          <w:numId w:val="10"/>
        </w:numPr>
        <w:rPr>
          <w:noProof/>
        </w:rPr>
      </w:pPr>
      <w:r>
        <w:rPr>
          <w:noProof/>
        </w:rPr>
        <w:t xml:space="preserve">vapapyydysalukset: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410"/>
      </w:tblGrid>
      <w:tr>
        <w:trPr>
          <w:jc w:val="center"/>
        </w:trPr>
        <w:tc>
          <w:tcPr>
            <w:tcW w:w="2693" w:type="dxa"/>
            <w:vAlign w:val="center"/>
          </w:tcPr>
          <w:p>
            <w:pPr>
              <w:pStyle w:val="Text1"/>
              <w:spacing w:before="0" w:after="240"/>
              <w:ind w:left="0"/>
              <w:jc w:val="center"/>
              <w:rPr>
                <w:noProof/>
                <w:sz w:val="22"/>
              </w:rPr>
            </w:pPr>
            <w:r>
              <w:rPr>
                <w:noProof/>
                <w:sz w:val="22"/>
              </w:rPr>
              <w:t>Espanja</w:t>
            </w:r>
          </w:p>
        </w:tc>
        <w:tc>
          <w:tcPr>
            <w:tcW w:w="2410" w:type="dxa"/>
            <w:vAlign w:val="center"/>
          </w:tcPr>
          <w:p>
            <w:pPr>
              <w:pStyle w:val="Text1"/>
              <w:tabs>
                <w:tab w:val="right" w:pos="1310"/>
                <w:tab w:val="left" w:pos="1451"/>
              </w:tabs>
              <w:spacing w:before="0" w:after="240"/>
              <w:ind w:left="0"/>
              <w:jc w:val="center"/>
              <w:rPr>
                <w:noProof/>
                <w:sz w:val="22"/>
              </w:rPr>
            </w:pPr>
            <w:r>
              <w:rPr>
                <w:noProof/>
                <w:sz w:val="22"/>
              </w:rPr>
              <w:t>8 alusta</w:t>
            </w:r>
          </w:p>
        </w:tc>
      </w:tr>
      <w:tr>
        <w:trPr>
          <w:jc w:val="center"/>
        </w:trPr>
        <w:tc>
          <w:tcPr>
            <w:tcW w:w="2693" w:type="dxa"/>
            <w:vAlign w:val="center"/>
          </w:tcPr>
          <w:p>
            <w:pPr>
              <w:pStyle w:val="Text1"/>
              <w:spacing w:before="0" w:after="240"/>
              <w:ind w:left="0"/>
              <w:jc w:val="center"/>
              <w:rPr>
                <w:noProof/>
                <w:sz w:val="22"/>
              </w:rPr>
            </w:pPr>
            <w:r>
              <w:rPr>
                <w:noProof/>
                <w:sz w:val="22"/>
              </w:rPr>
              <w:t>Ranska</w:t>
            </w:r>
          </w:p>
        </w:tc>
        <w:tc>
          <w:tcPr>
            <w:tcW w:w="2410" w:type="dxa"/>
            <w:vAlign w:val="center"/>
          </w:tcPr>
          <w:p>
            <w:pPr>
              <w:pStyle w:val="Text1"/>
              <w:tabs>
                <w:tab w:val="right" w:pos="1310"/>
                <w:tab w:val="left" w:pos="1451"/>
              </w:tabs>
              <w:spacing w:before="0" w:after="240"/>
              <w:ind w:left="0"/>
              <w:jc w:val="center"/>
              <w:rPr>
                <w:noProof/>
                <w:sz w:val="22"/>
              </w:rPr>
            </w:pPr>
            <w:r>
              <w:rPr>
                <w:noProof/>
                <w:sz w:val="22"/>
              </w:rPr>
              <w:t>2 alusta</w:t>
            </w:r>
          </w:p>
        </w:tc>
      </w:tr>
    </w:tbl>
    <w:p>
      <w:pPr>
        <w:pStyle w:val="Point0letter"/>
        <w:numPr>
          <w:ilvl w:val="1"/>
          <w:numId w:val="10"/>
        </w:numPr>
        <w:rPr>
          <w:noProof/>
        </w:rPr>
      </w:pPr>
      <w:r>
        <w:rPr>
          <w:noProof/>
        </w:rPr>
        <w:t xml:space="preserve">syvänmeren pohjatroolarit: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410"/>
        <w:gridCol w:w="2410"/>
        <w:gridCol w:w="2410"/>
      </w:tblGrid>
      <w:tr>
        <w:trPr>
          <w:jc w:val="center"/>
        </w:trPr>
        <w:tc>
          <w:tcPr>
            <w:tcW w:w="2693" w:type="dxa"/>
            <w:vAlign w:val="center"/>
          </w:tcPr>
          <w:p>
            <w:pPr>
              <w:pStyle w:val="Text1"/>
              <w:spacing w:before="0" w:after="240"/>
              <w:ind w:left="0"/>
              <w:jc w:val="center"/>
              <w:rPr>
                <w:noProof/>
                <w:sz w:val="22"/>
              </w:rPr>
            </w:pPr>
            <w:r>
              <w:rPr>
                <w:noProof/>
                <w:sz w:val="22"/>
              </w:rPr>
              <w:t>Jäsenvaltio</w:t>
            </w:r>
          </w:p>
        </w:tc>
        <w:tc>
          <w:tcPr>
            <w:tcW w:w="2410" w:type="dxa"/>
            <w:vAlign w:val="center"/>
          </w:tcPr>
          <w:p>
            <w:pPr>
              <w:pStyle w:val="Text1"/>
              <w:tabs>
                <w:tab w:val="right" w:pos="1310"/>
                <w:tab w:val="left" w:pos="1451"/>
              </w:tabs>
              <w:spacing w:before="0" w:after="240"/>
              <w:ind w:left="0"/>
              <w:jc w:val="center"/>
              <w:rPr>
                <w:noProof/>
                <w:sz w:val="22"/>
              </w:rPr>
            </w:pPr>
            <w:r>
              <w:rPr>
                <w:noProof/>
                <w:sz w:val="22"/>
              </w:rPr>
              <w:t>Aktiivisten syvänmeren pohjatroolarien samanaikainen enimmäismäärä</w:t>
            </w:r>
          </w:p>
        </w:tc>
        <w:tc>
          <w:tcPr>
            <w:tcW w:w="2410" w:type="dxa"/>
            <w:vAlign w:val="center"/>
          </w:tcPr>
          <w:p>
            <w:pPr>
              <w:pStyle w:val="Text1"/>
              <w:tabs>
                <w:tab w:val="right" w:pos="1310"/>
                <w:tab w:val="left" w:pos="1451"/>
              </w:tabs>
              <w:spacing w:before="0" w:after="240"/>
              <w:ind w:left="0"/>
              <w:jc w:val="center"/>
              <w:rPr>
                <w:noProof/>
                <w:sz w:val="22"/>
              </w:rPr>
            </w:pPr>
            <w:r>
              <w:rPr>
                <w:noProof/>
                <w:sz w:val="22"/>
              </w:rPr>
              <w:t>Kolmen kuukauden kalastuslupien määrä vuodessa</w:t>
            </w:r>
            <w:r>
              <w:rPr>
                <w:rStyle w:val="FootnoteReference"/>
                <w:noProof/>
                <w:sz w:val="22"/>
              </w:rPr>
              <w:footnoteReference w:id="2"/>
            </w:r>
          </w:p>
        </w:tc>
        <w:tc>
          <w:tcPr>
            <w:tcW w:w="2410" w:type="dxa"/>
            <w:vAlign w:val="center"/>
          </w:tcPr>
          <w:p>
            <w:pPr>
              <w:pStyle w:val="Text1"/>
              <w:tabs>
                <w:tab w:val="right" w:pos="1310"/>
                <w:tab w:val="left" w:pos="1451"/>
              </w:tabs>
              <w:spacing w:before="0" w:after="240"/>
              <w:ind w:left="0"/>
              <w:jc w:val="center"/>
              <w:rPr>
                <w:noProof/>
                <w:sz w:val="22"/>
              </w:rPr>
            </w:pPr>
            <w:r>
              <w:rPr>
                <w:noProof/>
                <w:sz w:val="22"/>
              </w:rPr>
              <w:t>Pöytäkirjan liitteessä olevassa lisäyksessä 2 b määritellyt kohdelajit, tonnia</w:t>
            </w:r>
          </w:p>
        </w:tc>
      </w:tr>
      <w:tr>
        <w:trPr>
          <w:trHeight w:val="746"/>
          <w:jc w:val="center"/>
        </w:trPr>
        <w:tc>
          <w:tcPr>
            <w:tcW w:w="2693" w:type="dxa"/>
            <w:vAlign w:val="center"/>
          </w:tcPr>
          <w:p>
            <w:pPr>
              <w:pStyle w:val="Text1"/>
              <w:spacing w:before="0" w:after="240"/>
              <w:ind w:left="0"/>
              <w:jc w:val="center"/>
              <w:rPr>
                <w:noProof/>
                <w:sz w:val="22"/>
              </w:rPr>
            </w:pPr>
            <w:r>
              <w:rPr>
                <w:noProof/>
                <w:sz w:val="22"/>
              </w:rPr>
              <w:t>Espanja</w:t>
            </w:r>
          </w:p>
        </w:tc>
        <w:tc>
          <w:tcPr>
            <w:tcW w:w="2410" w:type="dxa"/>
            <w:vMerge w:val="restart"/>
            <w:vAlign w:val="center"/>
          </w:tcPr>
          <w:p>
            <w:pPr>
              <w:pStyle w:val="Text1"/>
              <w:tabs>
                <w:tab w:val="right" w:pos="1310"/>
                <w:tab w:val="left" w:pos="1451"/>
              </w:tabs>
              <w:spacing w:before="0" w:after="240"/>
              <w:ind w:left="0"/>
              <w:jc w:val="center"/>
              <w:rPr>
                <w:noProof/>
                <w:sz w:val="22"/>
              </w:rPr>
            </w:pPr>
            <w:r>
              <w:rPr>
                <w:noProof/>
                <w:sz w:val="22"/>
              </w:rPr>
              <w:t>3</w:t>
            </w:r>
          </w:p>
        </w:tc>
        <w:tc>
          <w:tcPr>
            <w:tcW w:w="2410" w:type="dxa"/>
            <w:vAlign w:val="center"/>
          </w:tcPr>
          <w:p>
            <w:pPr>
              <w:pStyle w:val="Text1"/>
              <w:tabs>
                <w:tab w:val="right" w:pos="1310"/>
                <w:tab w:val="left" w:pos="1451"/>
              </w:tabs>
              <w:spacing w:before="0" w:after="240"/>
              <w:ind w:left="0"/>
              <w:jc w:val="center"/>
              <w:rPr>
                <w:noProof/>
                <w:sz w:val="22"/>
              </w:rPr>
            </w:pPr>
            <w:r>
              <w:rPr>
                <w:noProof/>
                <w:sz w:val="22"/>
              </w:rPr>
              <w:t>10</w:t>
            </w:r>
          </w:p>
        </w:tc>
        <w:tc>
          <w:tcPr>
            <w:tcW w:w="2410" w:type="dxa"/>
            <w:vAlign w:val="center"/>
          </w:tcPr>
          <w:p>
            <w:pPr>
              <w:pStyle w:val="Text1"/>
              <w:tabs>
                <w:tab w:val="right" w:pos="1310"/>
                <w:tab w:val="left" w:pos="1451"/>
              </w:tabs>
              <w:spacing w:before="0" w:after="240"/>
              <w:ind w:left="0"/>
              <w:jc w:val="center"/>
              <w:rPr>
                <w:noProof/>
                <w:sz w:val="22"/>
              </w:rPr>
            </w:pPr>
            <w:r>
              <w:rPr>
                <w:noProof/>
                <w:sz w:val="22"/>
              </w:rPr>
              <w:t>625</w:t>
            </w:r>
          </w:p>
        </w:tc>
      </w:tr>
      <w:tr>
        <w:trPr>
          <w:trHeight w:val="746"/>
          <w:jc w:val="center"/>
        </w:trPr>
        <w:tc>
          <w:tcPr>
            <w:tcW w:w="2693" w:type="dxa"/>
            <w:vAlign w:val="center"/>
          </w:tcPr>
          <w:p>
            <w:pPr>
              <w:pStyle w:val="Text1"/>
              <w:spacing w:before="0" w:after="240"/>
              <w:ind w:left="0"/>
              <w:jc w:val="center"/>
              <w:rPr>
                <w:noProof/>
                <w:sz w:val="22"/>
              </w:rPr>
            </w:pPr>
            <w:r>
              <w:rPr>
                <w:noProof/>
                <w:sz w:val="22"/>
              </w:rPr>
              <w:t>Kreikka</w:t>
            </w:r>
          </w:p>
        </w:tc>
        <w:tc>
          <w:tcPr>
            <w:tcW w:w="2410" w:type="dxa"/>
            <w:vMerge/>
            <w:vAlign w:val="center"/>
          </w:tcPr>
          <w:p>
            <w:pPr>
              <w:pStyle w:val="Text1"/>
              <w:tabs>
                <w:tab w:val="right" w:pos="1310"/>
                <w:tab w:val="left" w:pos="1451"/>
              </w:tabs>
              <w:spacing w:before="0" w:after="240"/>
              <w:ind w:left="0"/>
              <w:jc w:val="center"/>
              <w:rPr>
                <w:noProof/>
                <w:sz w:val="22"/>
              </w:rPr>
            </w:pPr>
          </w:p>
        </w:tc>
        <w:tc>
          <w:tcPr>
            <w:tcW w:w="2410" w:type="dxa"/>
            <w:vAlign w:val="center"/>
          </w:tcPr>
          <w:p>
            <w:pPr>
              <w:pStyle w:val="Text1"/>
              <w:tabs>
                <w:tab w:val="right" w:pos="1310"/>
                <w:tab w:val="left" w:pos="1451"/>
              </w:tabs>
              <w:spacing w:before="0" w:after="240"/>
              <w:ind w:left="0"/>
              <w:jc w:val="center"/>
              <w:rPr>
                <w:noProof/>
                <w:sz w:val="22"/>
              </w:rPr>
            </w:pPr>
            <w:r>
              <w:rPr>
                <w:noProof/>
                <w:sz w:val="22"/>
              </w:rPr>
              <w:t>2 (kahdelle kolmen kuukauden jaksolle)</w:t>
            </w:r>
          </w:p>
        </w:tc>
        <w:tc>
          <w:tcPr>
            <w:tcW w:w="2410" w:type="dxa"/>
            <w:vAlign w:val="center"/>
          </w:tcPr>
          <w:p>
            <w:pPr>
              <w:pStyle w:val="Text1"/>
              <w:tabs>
                <w:tab w:val="right" w:pos="1310"/>
                <w:tab w:val="left" w:pos="1451"/>
              </w:tabs>
              <w:spacing w:before="0" w:after="240"/>
              <w:ind w:left="0"/>
              <w:jc w:val="center"/>
              <w:rPr>
                <w:noProof/>
                <w:sz w:val="22"/>
              </w:rPr>
            </w:pPr>
            <w:r>
              <w:rPr>
                <w:noProof/>
                <w:sz w:val="22"/>
              </w:rPr>
              <w:t>125</w:t>
            </w:r>
          </w:p>
        </w:tc>
      </w:tr>
    </w:tbl>
    <w:p>
      <w:pPr>
        <w:pStyle w:val="Titrearticle"/>
        <w:rPr>
          <w:noProof/>
        </w:rPr>
      </w:pPr>
      <w:r>
        <w:rPr>
          <w:noProof/>
        </w:rPr>
        <w:t>2 artikla</w:t>
      </w:r>
    </w:p>
    <w:p>
      <w:pPr>
        <w:rPr>
          <w:noProof/>
        </w:rPr>
      </w:pPr>
      <w:r>
        <w:rPr>
          <w:noProof/>
        </w:rPr>
        <w:t xml:space="preserve">Tämä päätös tulee voimaan sitä päivää seuraavana päivänä, jona se julkaistaan </w:t>
      </w:r>
      <w:r>
        <w:rPr>
          <w:i/>
          <w:noProof/>
        </w:rPr>
        <w:t>Euroopan unionin virallisessa lehdessä</w:t>
      </w:r>
      <w:r>
        <w:rPr>
          <w:noProof/>
        </w:rPr>
        <w:t>.</w:t>
      </w:r>
    </w:p>
    <w:p>
      <w:pPr>
        <w:rPr>
          <w:noProof/>
        </w:rPr>
      </w:pPr>
      <w:r>
        <w:rPr>
          <w:noProof/>
        </w:rPr>
        <w:t>Sitä sovelletaan pöytäkirjan soveltamisen alkamispäivästä.</w:t>
      </w:r>
    </w:p>
    <w:p>
      <w:pPr>
        <w:pStyle w:val="Applicationdirecte"/>
        <w:rPr>
          <w:noProof/>
        </w:rPr>
      </w:pPr>
      <w:r>
        <w:rPr>
          <w:noProof/>
        </w:rPr>
        <w:t>Tämä asetus on kaikilta osiltaan velvoittava, ja sitä sovelletaan sellaisenaan kaikissa jäsenvaltioissa.</w:t>
      </w:r>
    </w:p>
    <w:p>
      <w:pPr>
        <w:pStyle w:val="Fait"/>
        <w:rPr>
          <w:noProof/>
        </w:rPr>
      </w:pPr>
      <w:r>
        <w:t>Tehty Brysselissä</w:t>
      </w:r>
    </w:p>
    <w:p>
      <w:pPr>
        <w:pStyle w:val="Institutionquisigne"/>
        <w:rPr>
          <w:noProof/>
        </w:rPr>
      </w:pPr>
      <w:r>
        <w:rPr>
          <w:noProof/>
        </w:rPr>
        <w:tab/>
        <w:t>Neuvoston puolesta</w:t>
      </w:r>
    </w:p>
    <w:p>
      <w:pPr>
        <w:pStyle w:val="Personnequisigne"/>
        <w:rPr>
          <w:noProof/>
        </w:rPr>
      </w:pPr>
      <w:r>
        <w:rPr>
          <w:noProof/>
        </w:rPr>
        <w:tab/>
        <w:t>Puheenjohtaja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0" w:firstLine="0"/>
      </w:pPr>
      <w:r>
        <w:rPr>
          <w:rStyle w:val="FootnoteReference"/>
        </w:rPr>
        <w:footnoteRef/>
      </w:r>
      <w:r>
        <w:tab/>
        <w:t>EUVL L ..., ..., s. .</w:t>
      </w:r>
    </w:p>
  </w:footnote>
  <w:footnote w:id="2">
    <w:p>
      <w:pPr>
        <w:pStyle w:val="FootnoteText"/>
      </w:pPr>
      <w:r>
        <w:rPr>
          <w:rStyle w:val="FootnoteReference"/>
        </w:rPr>
        <w:footnoteRef/>
      </w:r>
      <w:r>
        <w:tab/>
        <w:t xml:space="preserve">Asianomaisten jäsenvaltioiden on yhteistyössä komission kanssa koordinoitava kolmeksi kuukaudeksi myönnettyjen kalastuslupien käyttöä.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F12FB0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A28DE7C"/>
    <w:lvl w:ilvl="0">
      <w:start w:val="1"/>
      <w:numFmt w:val="decimal"/>
      <w:pStyle w:val="ListNumber3"/>
      <w:lvlText w:val="%1."/>
      <w:lvlJc w:val="left"/>
      <w:pPr>
        <w:tabs>
          <w:tab w:val="num" w:pos="926"/>
        </w:tabs>
        <w:ind w:left="926" w:hanging="360"/>
      </w:pPr>
    </w:lvl>
  </w:abstractNum>
  <w:abstractNum w:abstractNumId="2">
    <w:nsid w:val="FFFFFF7F"/>
    <w:multiLevelType w:val="singleLevel"/>
    <w:tmpl w:val="CBD43C98"/>
    <w:lvl w:ilvl="0">
      <w:start w:val="1"/>
      <w:numFmt w:val="decimal"/>
      <w:pStyle w:val="ListNumber2"/>
      <w:lvlText w:val="%1."/>
      <w:lvlJc w:val="left"/>
      <w:pPr>
        <w:tabs>
          <w:tab w:val="num" w:pos="643"/>
        </w:tabs>
        <w:ind w:left="643" w:hanging="360"/>
      </w:pPr>
    </w:lvl>
  </w:abstractNum>
  <w:abstractNum w:abstractNumId="3">
    <w:nsid w:val="FFFFFF81"/>
    <w:multiLevelType w:val="singleLevel"/>
    <w:tmpl w:val="4378BC1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2EAC3A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FB8F9B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9084040"/>
    <w:lvl w:ilvl="0">
      <w:start w:val="1"/>
      <w:numFmt w:val="decimal"/>
      <w:pStyle w:val="ListNumber"/>
      <w:lvlText w:val="%1."/>
      <w:lvlJc w:val="left"/>
      <w:pPr>
        <w:tabs>
          <w:tab w:val="num" w:pos="360"/>
        </w:tabs>
        <w:ind w:left="360" w:hanging="360"/>
      </w:pPr>
    </w:lvl>
  </w:abstractNum>
  <w:abstractNum w:abstractNumId="7">
    <w:nsid w:val="FFFFFF89"/>
    <w:multiLevelType w:val="singleLevel"/>
    <w:tmpl w:val="4BA43C1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7"/>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8"/>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3"/>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5 13:06:2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2D1D1D6-2C26-424D-B557-7EE239EB9EFE"/>
    <w:docVar w:name="LW_COVERPAGE_TYPE" w:val="1"/>
    <w:docVar w:name="LW_CROSSREFERENCE" w:val="&lt;UNUSED&gt;"/>
    <w:docVar w:name="LW_DocType" w:val="COM"/>
    <w:docVar w:name="LW_EMISSION" w:val="12.3.2019"/>
    <w:docVar w:name="LW_EMISSION_ISODATE" w:val="2019-03-12"/>
    <w:docVar w:name="LW_EMISSION_LOCATION" w:val="BRX"/>
    <w:docVar w:name="LW_EMISSION_PREFIX" w:val="Bryssel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NLE"/>
    <w:docVar w:name="LW_REF.II.NEW.CP_NUMBER" w:val="0074"/>
    <w:docVar w:name="LW_REF.II.NEW.CP_YEAR" w:val="2019"/>
    <w:docVar w:name="LW_REF.INST.NEW" w:val="COM"/>
    <w:docVar w:name="LW_REF.INST.NEW_ADOPTED" w:val="final"/>
    <w:docVar w:name="LW_REF.INST.NEW_TEXT" w:val="(2019) 13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hdotus"/>
    <w:docVar w:name="LW_SUPERTITRE" w:val="&lt;UNUSED&gt;"/>
    <w:docVar w:name="LW_TITRE.OBJ.CP" w:val="Euroopan unionin ja Gambian tasavallan välisen kestävää kalastusta koskevan kumppanuussopimuksen pöytäkirjan mukaisten kalastusmahdollisuuksien jakamisesta"/>
    <w:docVar w:name="LW_TYPE.DOC.CP" w:val="NEUVOSTON ASET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uiPriority w:val="99"/>
    <w:semiHidden/>
    <w:unhideWhenUsed/>
    <w:pPr>
      <w:numPr>
        <w:numId w:val="1"/>
      </w:numPr>
      <w:contextualSpacing/>
    </w:pPr>
    <w:rPr>
      <w:rFonts w:eastAsia="Calibri"/>
    </w:rPr>
  </w:style>
  <w:style w:type="paragraph" w:styleId="ListBullet">
    <w:name w:val="List Bullet"/>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uiPriority w:val="99"/>
    <w:semiHidden/>
    <w:unhideWhenUsed/>
    <w:pPr>
      <w:numPr>
        <w:numId w:val="1"/>
      </w:numPr>
      <w:contextualSpacing/>
    </w:pPr>
    <w:rPr>
      <w:rFonts w:eastAsia="Calibri"/>
    </w:rPr>
  </w:style>
  <w:style w:type="paragraph" w:styleId="ListBullet">
    <w:name w:val="List Bullet"/>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3D8B1FA-E218-4E21-A95D-DE65FF36D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5</Pages>
  <Words>602</Words>
  <Characters>5172</Characters>
  <Application>Microsoft Office Word</Application>
  <DocSecurity>0</DocSecurity>
  <Lines>129</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cp:lastPrinted>2018-11-06T10:24:00Z</cp:lastPrinted>
  <dcterms:created xsi:type="dcterms:W3CDTF">2019-02-21T15:17:00Z</dcterms:created>
  <dcterms:modified xsi:type="dcterms:W3CDTF">2019-03-05T12:06:00Z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