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4793764-8DEF-4DDC-98FA-013C57E01F1C" style="width:450.45pt;height:351.9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t>Αιτιολόγηση και στόχοι της πρότασης</w:t>
      </w:r>
    </w:p>
    <w:p>
      <w:pPr>
        <w:rPr>
          <w:rFonts w:eastAsia="Calibri"/>
          <w:noProof/>
        </w:rPr>
      </w:pPr>
      <w:r>
        <w:rPr>
          <w:noProof/>
        </w:rPr>
        <w:t xml:space="preserve">Το Συμβούλιο εξουσιοδότησε την Ευρωπαϊκή Επιτροπή να διαπραγματευθεί, εξ ονόματος της Ευρωπαϊκής Ένωσης, νέα συμφωνία μεταξύ της Ευρωπαϊκής Ένωσης και της Δημοκρατίας της Γκάμπιας, και πρωτόκολλο για τον καθορισμό των αλιευτικών δυνατοτήτων και της χρηματικής αντιπαροχής. Αποτέλεσμα των διαπραγματεύσεων αυτών ήταν η μονογράφηση συμφωνίας και πρωτοκόλλου από τους διαπραγματευτές στις 19 Οκτωβρίου 2018. Η νέα συμφωνία καταργεί και αντικαθιστά την ισχύουσα συμφωνία η οποία τέθηκε σε ισχύ στις 2 Ιουνίου 1987· καλύπτει περίοδο έξι ετών από την ημερομηνία έναρξης της προσωρινής εφαρμογής της, η οποία δύναται να ανανεωθεί με σιωπηρή παράταση. Το νέο πρωτόκολλο καλύπτει εξαετή περίοδο από την ημερομηνία προσωρινής εφαρμογής που ορίζεται στο άρθρο 13, ήτοι από την ημερομηνία υπογραφής του από τα μέρη.  </w:t>
      </w:r>
    </w:p>
    <w:p>
      <w:pPr>
        <w:pStyle w:val="ManualHeading2"/>
        <w:rPr>
          <w:rFonts w:eastAsia="Arial Unicode MS"/>
          <w:noProof/>
          <w:color w:val="000000"/>
          <w:u w:color="000000"/>
          <w:bdr w:val="nil"/>
        </w:rPr>
      </w:pPr>
      <w:r>
        <w:rPr>
          <w:noProof/>
          <w:color w:val="000000"/>
          <w:u w:color="000000"/>
          <w:bdr w:val="nil"/>
        </w:rPr>
        <w:t>•</w:t>
      </w:r>
      <w:r>
        <w:rPr>
          <w:noProof/>
        </w:rPr>
        <w:tab/>
        <w:t>Συνέπεια με τις ισχύουσες διατάξεις στον τομέα πολιτικής</w:t>
      </w:r>
    </w:p>
    <w:p>
      <w:pPr>
        <w:spacing w:before="0" w:after="0"/>
        <w:rPr>
          <w:rFonts w:eastAsia="Calibri"/>
          <w:noProof/>
        </w:rPr>
      </w:pPr>
      <w:r>
        <w:rPr>
          <w:noProof/>
        </w:rPr>
        <w:t>Ο κύριος στόχος της νέας συμφωνίας σύμπραξης είναι η κατάρτιση επικαιροποιημένου πλαισίου το οποίο θα λαμβάνει υπόψη τις προτεραιότητες της μεταρρυθμισμένης κοινής αλιευτικής πολιτικής</w:t>
      </w:r>
      <w:r>
        <w:rPr>
          <w:rStyle w:val="FootnoteReference"/>
          <w:noProof/>
        </w:rPr>
        <w:footnoteReference w:id="1"/>
      </w:r>
      <w:r>
        <w:rPr>
          <w:noProof/>
        </w:rPr>
        <w:t xml:space="preserve"> και της εξωτερικής της διάστασης με στόχο τη σύναψη στρατηγικής σύμπραξης σε θέματα αλιείας μεταξύ της Ευρωπαϊκής Ένωσης και της Δημοκρατίας της Γκάμπιας.</w:t>
      </w:r>
    </w:p>
    <w:p>
      <w:pPr>
        <w:rPr>
          <w:rFonts w:eastAsia="Calibri"/>
          <w:noProof/>
        </w:rPr>
      </w:pPr>
      <w:r>
        <w:rPr>
          <w:noProof/>
        </w:rPr>
        <w:t>Στόχος του πρωτοκόλλου είναι η παροχή αλιευτικών δυνατοτήτων για τα σκάφη της Ευρωπαϊκής Ένωσης στα ύδατα της Γκάμπιας, λαμβανομένων υπόψη των διαθέσιμων επιστημονικών αξιολογήσεων, ιδίως εκείνων της Επιτροπής Αλιείας για τον Κεντροανατολικό Ατλαντικό (COPACE) και σύμφωνα με τις βέλτιστες διαθέσιμες επιστημονικές γνωμοδοτήσεις και τις συστάσεις της Διεθνούς Επιτροπής για τη Διατήρηση των Θυννοειδών του Ατλαντικού (ICCAT), εντός των ορίων του διαθέσιμου πλεονάσματος. Η Επιτροπή βασίστηκε, μεταξύ άλλων, στα αποτελέσματα αξιολόγησης των προοπτικών, η οποία πραγματοποιήθηκε από εξωτερικούς εμπειρογνώμονες, σχετικά με το ενδεχόμενο σύναψης νέας συμφωνίας και πρωτοκόλλου. Στόχος είναι επίσης να ενισχυθεί η συνεργασία μεταξύ της Ευρωπαϊκής Ένωσης και της Δημοκρατίας της Γκάμπιας, με σκοπό την προώθηση βιώσιμης αλιευτικής πολιτικής και  υπεύθυνης εκμετάλλευσης των αλιευτικών πόρων στην αλιευτική ζώνη της Γκάμπιας, προς το συμφέρον και των δύο μερών.</w:t>
      </w:r>
    </w:p>
    <w:p>
      <w:pPr>
        <w:rPr>
          <w:rFonts w:eastAsia="Calibri"/>
          <w:noProof/>
        </w:rPr>
      </w:pPr>
      <w:r>
        <w:rPr>
          <w:noProof/>
        </w:rPr>
        <w:t>Το πρωτόκολλο προβλέπει αλιευτικές δυνατότητες στις ακόλουθες κατηγορίες:</w:t>
      </w:r>
    </w:p>
    <w:p>
      <w:pPr>
        <w:rPr>
          <w:rFonts w:eastAsia="Calibri"/>
          <w:noProof/>
        </w:rPr>
      </w:pPr>
      <w:r>
        <w:rPr>
          <w:noProof/>
        </w:rPr>
        <w:t>-</w:t>
      </w:r>
      <w:r>
        <w:rPr>
          <w:noProof/>
        </w:rPr>
        <w:tab/>
        <w:t>28 θυνναλιευτικά γρι-γρι·</w:t>
      </w:r>
    </w:p>
    <w:p>
      <w:pPr>
        <w:rPr>
          <w:rFonts w:eastAsia="Calibri"/>
          <w:noProof/>
        </w:rPr>
      </w:pPr>
      <w:r>
        <w:rPr>
          <w:noProof/>
        </w:rPr>
        <w:t>-</w:t>
      </w:r>
      <w:r>
        <w:rPr>
          <w:noProof/>
        </w:rPr>
        <w:tab/>
        <w:t>10 θυνναλιευτικά με καλάμι·</w:t>
      </w:r>
    </w:p>
    <w:p>
      <w:pPr>
        <w:rPr>
          <w:rFonts w:eastAsia="Calibri"/>
          <w:noProof/>
        </w:rPr>
      </w:pPr>
      <w:r>
        <w:rPr>
          <w:noProof/>
        </w:rPr>
        <w:t>-</w:t>
      </w:r>
      <w:r>
        <w:rPr>
          <w:noProof/>
        </w:rPr>
        <w:tab/>
        <w:t>3 μηχανότρατες (για αλιεία μαύρου μερλούκιου, βενθοπελαγικού είδους βαθέων υδάτων).</w:t>
      </w:r>
    </w:p>
    <w:p>
      <w:pPr>
        <w:pStyle w:val="ManualHeading2"/>
        <w:rPr>
          <w:rFonts w:eastAsia="Arial Unicode MS"/>
          <w:noProof/>
        </w:rPr>
      </w:pPr>
      <w:r>
        <w:rPr>
          <w:noProof/>
          <w:color w:val="000000"/>
          <w:u w:color="000000"/>
          <w:bdr w:val="nil"/>
        </w:rPr>
        <w:t>•</w:t>
      </w:r>
      <w:r>
        <w:rPr>
          <w:noProof/>
        </w:rPr>
        <w:tab/>
        <w:t>Συνέπεια με άλλες πολιτικές της Ένωσης</w:t>
      </w:r>
    </w:p>
    <w:p>
      <w:pPr>
        <w:spacing w:before="0" w:after="240"/>
        <w:rPr>
          <w:noProof/>
        </w:rPr>
      </w:pPr>
      <w:r>
        <w:rPr>
          <w:noProof/>
        </w:rPr>
        <w:t xml:space="preserve">Η διαπραγμάτευση νέας συμφωνίας αλιευτικής σύμπραξης με την Γκάμπια εντάσσεται στο πλαίσιο της εξωτερικής δράσης της Ένωσης έναντι των χωρών ΑΚΕ και λαμβάνει ιδίως υπόψη τους στόχους της Ένωσης σχετικά με τον σεβασμό των δημοκρατικών αρχών και των ανθρωπίνων δικαιωμάτων. </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bdr w:val="none" w:sz="0" w:space="0" w:color="auto" w:frame="1"/>
        </w:rPr>
      </w:pPr>
      <w:r>
        <w:rPr>
          <w:noProof/>
        </w:rPr>
        <w:t>•</w:t>
      </w:r>
      <w:r>
        <w:rPr>
          <w:noProof/>
        </w:rPr>
        <w:tab/>
        <w:t>Νομική βάση</w:t>
      </w:r>
    </w:p>
    <w:p>
      <w:pPr>
        <w:spacing w:before="0" w:after="240"/>
        <w:rPr>
          <w:rFonts w:eastAsia="Arial Unicode MS"/>
          <w:noProof/>
        </w:rPr>
      </w:pPr>
      <w:r>
        <w:rPr>
          <w:noProof/>
        </w:rPr>
        <w:t xml:space="preserve">Η νομική βάση που έχει επιλεγεί είναι η Συνθήκη για τη λειτουργία της Ευρωπαϊκής Ένωσης, της οποίας το άρθρο 43 παράγραφος 2 θεσπίζει την κοινή αλιευτική πολιτική και το άρθρο 218 παράγραφος 6 θεσπίζει το στάδιο που αφορά τη διαδικασία διαπραγμάτευσης και σύναψης συμφωνιών μεταξύ της Ένωσης και τρίτων χωρών. </w:t>
      </w:r>
    </w:p>
    <w:p>
      <w:pPr>
        <w:pStyle w:val="ManualHeading2"/>
        <w:rPr>
          <w:rFonts w:eastAsia="Arial Unicode MS"/>
          <w:noProof/>
          <w:bdr w:val="none" w:sz="0" w:space="0" w:color="auto" w:frame="1"/>
        </w:rPr>
      </w:pPr>
      <w:r>
        <w:rPr>
          <w:noProof/>
        </w:rPr>
        <w:t>•</w:t>
      </w:r>
      <w:r>
        <w:rPr>
          <w:noProof/>
        </w:rPr>
        <w:tab/>
        <w:t>Επικουρικότητα (σε περίπτωση μη αποκλειστικής αρμοδιότητας)</w:t>
      </w:r>
    </w:p>
    <w:p>
      <w:pPr>
        <w:spacing w:before="0" w:after="240"/>
        <w:rPr>
          <w:rFonts w:eastAsia="Arial Unicode MS"/>
          <w:noProof/>
        </w:rPr>
      </w:pPr>
      <w:r>
        <w:rPr>
          <w:noProof/>
        </w:rPr>
        <w:t>Η πρόταση εμπίπτει στην αποκλειστική αρμοδιότητα της Ευρωπαϊκής Ένωσης.</w:t>
      </w:r>
    </w:p>
    <w:p>
      <w:pPr>
        <w:pStyle w:val="ManualHeading2"/>
        <w:rPr>
          <w:rFonts w:eastAsia="Arial Unicode MS"/>
          <w:noProof/>
          <w:bdr w:val="none" w:sz="0" w:space="0" w:color="auto" w:frame="1"/>
        </w:rPr>
      </w:pPr>
      <w:r>
        <w:rPr>
          <w:noProof/>
        </w:rPr>
        <w:t>•</w:t>
      </w:r>
      <w:r>
        <w:rPr>
          <w:noProof/>
        </w:rPr>
        <w:tab/>
        <w:t>Αναλογικότητα</w:t>
      </w:r>
    </w:p>
    <w:p>
      <w:pPr>
        <w:spacing w:before="0" w:after="240"/>
        <w:rPr>
          <w:rFonts w:eastAsia="Arial Unicode MS"/>
          <w:noProof/>
        </w:rPr>
      </w:pPr>
      <w:r>
        <w:rPr>
          <w:noProof/>
        </w:rPr>
        <w:t xml:space="preserve">Η πρόταση είναι αναλογική προς τον επιδιωκόμενο στόχο, που συνίσταται στον καθορισμό νομικού, περιβαλλοντικού, οικονομικού και κοινωνικού πλαισίου διακυβέρνησης για τις αλιευτικές δραστηριότητες σκαφών της Ένωσης σε ύδατα τρίτων χωρών, όπως ορίζεται στο άρθρο 31 του κανονισμού σχετικά με την κοινή αλιευτική πολιτική. Συμμορφώνεται με τις διατάξεις αυτές, καθώς και με τις διατάξεις που αφορούν τη χρηματοδοτική συνδρομή προς τρίτες χώρες και οι οποίες καθορίζονται στο άρθρο 32 του ίδιου κανονισμού. </w:t>
      </w:r>
    </w:p>
    <w:p>
      <w:pPr>
        <w:pStyle w:val="ManualHeading1"/>
        <w:rPr>
          <w:noProof/>
        </w:rPr>
      </w:pPr>
      <w:r>
        <w:rPr>
          <w:noProof/>
        </w:rPr>
        <w:t xml:space="preserve"> 3.</w:t>
      </w:r>
      <w:r>
        <w:rPr>
          <w:noProof/>
        </w:rPr>
        <w:tab/>
        <w:t>ΔΗΜΟΣΙΟΝΟΜΙΚΕΣ ΕΠΙΠΤΩΣΕΙΣ</w:t>
      </w:r>
    </w:p>
    <w:p>
      <w:pPr>
        <w:rPr>
          <w:rFonts w:eastAsia="Calibri"/>
          <w:noProof/>
        </w:rPr>
      </w:pPr>
      <w:r>
        <w:rPr>
          <w:noProof/>
        </w:rPr>
        <w:t>Η ετήσια χρηματική αντιπαροχή ύψους 550 000 EUR βασίζεται στα εξής:</w:t>
      </w:r>
    </w:p>
    <w:p>
      <w:pPr>
        <w:rPr>
          <w:rFonts w:eastAsia="Calibri"/>
          <w:noProof/>
        </w:rPr>
      </w:pPr>
      <w:r>
        <w:rPr>
          <w:noProof/>
        </w:rPr>
        <w:t xml:space="preserve">α) σε ένα ετήσιο ποσό για πρόσβαση στους αλιευτικούς πόρους στην αλιευτική ζώνη της Γκάμπιας ύψους 275 000 EUR, που αντιστοιχεί σε βάρος αναφοράς, για άκρως μεταναστευτικά είδη, 3 300 τόνων ετησίως, και  </w:t>
      </w:r>
    </w:p>
    <w:p>
      <w:pPr>
        <w:rPr>
          <w:rFonts w:eastAsia="Calibri"/>
          <w:noProof/>
        </w:rPr>
      </w:pPr>
      <w:r>
        <w:rPr>
          <w:noProof/>
        </w:rPr>
        <w:t>β) στη στήριξη της ανάπτυξης της τομεακής πολιτικής αλιείας της Γκάμπιας, ύψους 275 000 EUR ετησίως. Η εν λόγω στήριξη ανταποκρίνεται στους στόχους της εθνικής πολιτικής στον τομέα της βιώσιμης διαχείρισης των αλιευτικών πόρων εσωτερικών υδάτων και των θαλάσσιων αλιευτικών πόρων της Γκάμπιας.</w:t>
      </w:r>
    </w:p>
    <w:p>
      <w:pPr>
        <w:pStyle w:val="ManualHeading1"/>
        <w:rPr>
          <w:noProof/>
        </w:rPr>
      </w:pPr>
      <w:r>
        <w:rPr>
          <w:noProof/>
        </w:rPr>
        <w:t>4.</w:t>
      </w:r>
      <w:r>
        <w:rPr>
          <w:noProof/>
        </w:rPr>
        <w:tab/>
        <w:t>ΛΟΙΠΑ ΣΤΟΙΧΕΙΑ</w:t>
      </w:r>
    </w:p>
    <w:p>
      <w:pPr>
        <w:pStyle w:val="ManualHeading2"/>
        <w:rPr>
          <w:rFonts w:eastAsia="Arial Unicode MS"/>
          <w:noProof/>
          <w:bdr w:val="none" w:sz="0" w:space="0" w:color="auto" w:frame="1"/>
        </w:rPr>
      </w:pPr>
      <w:r>
        <w:rPr>
          <w:noProof/>
        </w:rPr>
        <w:t>•</w:t>
      </w:r>
      <w:r>
        <w:rPr>
          <w:noProof/>
        </w:rPr>
        <w:tab/>
        <w:t>Σχέδια εφαρμογής και ρυθμίσεις παρακολούθησης, αξιολόγησης και υποβολής εκθέσεων</w:t>
      </w:r>
    </w:p>
    <w:p>
      <w:pPr>
        <w:spacing w:before="0" w:after="240"/>
        <w:rPr>
          <w:rFonts w:eastAsia="Arial Unicode MS"/>
          <w:noProof/>
        </w:rPr>
      </w:pPr>
      <w:r>
        <w:rPr>
          <w:noProof/>
        </w:rPr>
        <w:t>Οι ρυθμίσεις παρακολούθησης προβλέπονται στο πρωτόκολλο που περιλαμβάνεται στη νέα συμφωνία σύμπραξης.</w:t>
      </w:r>
    </w:p>
    <w:p>
      <w:pPr>
        <w:rPr>
          <w:rFonts w:eastAsia="Calibri"/>
          <w:noProof/>
        </w:rPr>
      </w:pP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2019/0076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σχετικά με τη σύναψη συμφωνίας σύμπραξης βιώσιμης αλιείας μεταξύ της Ευρωπαϊκής Ένωσης και της Δημοκρατίας της Γκάμπιας και του πρωτόκολλου εφαρμογής της</w:t>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43 παράγραφος 2, σε συνδυασμό με το άρθρο 218 παράγραφος 6 στοιχείο α) σημείο v) και το άρθρο 218 παράγραφος 7,</w:t>
      </w:r>
    </w:p>
    <w:p>
      <w:pPr>
        <w:rPr>
          <w:noProof/>
        </w:rPr>
      </w:pPr>
      <w:r>
        <w:rPr>
          <w:noProof/>
        </w:rPr>
        <w:t>Έχοντας υπόψη την πρόταση της Ευρωπαϊκής Επιτροπής,</w:t>
      </w:r>
    </w:p>
    <w:p>
      <w:pPr>
        <w:rPr>
          <w:noProof/>
        </w:rPr>
      </w:pPr>
      <w:r>
        <w:rPr>
          <w:noProof/>
        </w:rPr>
        <w:t>Έχοντας υπόψη την έγκριση του Ευρωπαϊκού Κοινοβουλίου</w:t>
      </w:r>
      <w:r>
        <w:rPr>
          <w:rStyle w:val="FootnoteReference"/>
          <w:noProof/>
        </w:rPr>
        <w:footnoteReference w:id="2"/>
      </w:r>
      <w:r>
        <w:rPr>
          <w:noProof/>
        </w:rPr>
        <w:t>,</w:t>
      </w:r>
    </w:p>
    <w:p>
      <w:pPr>
        <w:rPr>
          <w:noProof/>
        </w:rPr>
      </w:pPr>
      <w:r>
        <w:rPr>
          <w:noProof/>
        </w:rPr>
        <w:t>Εκτιμώντας τα ακόλουθα:</w:t>
      </w:r>
    </w:p>
    <w:p>
      <w:pPr>
        <w:ind w:left="709" w:hanging="709"/>
        <w:rPr>
          <w:rFonts w:eastAsia="Calibri"/>
          <w:noProof/>
        </w:rPr>
      </w:pPr>
      <w:r>
        <w:rPr>
          <w:noProof/>
        </w:rPr>
        <w:t>(1)</w:t>
      </w:r>
      <w:r>
        <w:rPr>
          <w:noProof/>
        </w:rPr>
        <w:tab/>
        <w:t>Η Επιτροπή διαπραγματεύτηκε, εξ ονόματος της Ευρωπαϊκής Ένωσης, νέα συμφωνία σύμπραξης βιώσιμης αλιείας μεταξύ της Ευρωπαϊκής Ένωσης και της Δημοκρατίας της Γκάμπιας (εφεξής «η συμφωνία σύμπραξης»), καθώς και νέο πρωτόκολλο εφαρμογής της συμφωνίας σύμπραξης («το πρωτόκολλο»).</w:t>
      </w:r>
    </w:p>
    <w:p>
      <w:pPr>
        <w:ind w:left="709" w:hanging="709"/>
        <w:rPr>
          <w:rFonts w:eastAsia="Calibri"/>
          <w:noProof/>
        </w:rPr>
      </w:pPr>
      <w:r>
        <w:rPr>
          <w:noProof/>
        </w:rPr>
        <w:t>(2)</w:t>
      </w:r>
      <w:r>
        <w:rPr>
          <w:noProof/>
        </w:rPr>
        <w:tab/>
        <w:t>Η συμφωνία αλιευτικής σύμπραξης και το πρωτόκολλο μονογραφήθηκαν μετά το πέρας των διαπραγματεύσεων στις 19 Οκτωβρίου 2018.</w:t>
      </w:r>
    </w:p>
    <w:p>
      <w:pPr>
        <w:ind w:left="709" w:hanging="709"/>
        <w:rPr>
          <w:rFonts w:eastAsia="Calibri"/>
          <w:noProof/>
        </w:rPr>
      </w:pPr>
      <w:r>
        <w:rPr>
          <w:noProof/>
        </w:rPr>
        <w:t>(3)</w:t>
      </w:r>
      <w:r>
        <w:rPr>
          <w:noProof/>
        </w:rPr>
        <w:tab/>
        <w:t>Η συμφωνία συνεργασίας καταργεί την προηγούμενη συμφωνία μεταξύ της κυβέρνησης της Δημοκρατίας της Γκάμπιας και της Ευρωπαϊκής Οικονομικής Κοινότητας για την αλιεία στα ανοικτά των ακτών της Γκάμπιας, που τέθηκε σε ισχύ στις 2 Ιουνίου 1987.</w:t>
      </w:r>
    </w:p>
    <w:p>
      <w:pPr>
        <w:pStyle w:val="ManualConsidrant"/>
        <w:rPr>
          <w:noProof/>
        </w:rPr>
      </w:pPr>
      <w:r>
        <w:rPr>
          <w:noProof/>
        </w:rPr>
        <w:t>(4)</w:t>
      </w:r>
      <w:r>
        <w:rPr>
          <w:noProof/>
        </w:rPr>
        <w:tab/>
        <w:t>Σύμφωνα με την απόφαση 2018/.../ΕΕ του Συμβουλίου</w:t>
      </w:r>
      <w:r>
        <w:rPr>
          <w:rStyle w:val="FootnoteReference"/>
          <w:noProof/>
        </w:rPr>
        <w:footnoteReference w:id="3"/>
      </w:r>
      <w:r>
        <w:rPr>
          <w:noProof/>
        </w:rPr>
        <w:t>, η νέα συμφωνία σύμπραξης και το πρωτόκολλο υπεγράφησαν στις... [</w:t>
      </w:r>
      <w:r>
        <w:rPr>
          <w:i/>
          <w:noProof/>
        </w:rPr>
        <w:t>να προστεθεί η ημερομηνία υπογραφής</w:t>
      </w:r>
      <w:r>
        <w:rPr>
          <w:noProof/>
        </w:rPr>
        <w:t>].</w:t>
      </w:r>
    </w:p>
    <w:p>
      <w:pPr>
        <w:pStyle w:val="ManualConsidrant"/>
        <w:rPr>
          <w:noProof/>
        </w:rPr>
      </w:pPr>
      <w:r>
        <w:rPr>
          <w:noProof/>
        </w:rPr>
        <w:t>(5)</w:t>
      </w:r>
      <w:r>
        <w:rPr>
          <w:noProof/>
        </w:rPr>
        <w:tab/>
        <w:t xml:space="preserve">Η συμφωνία σύμπραξης και το πρωτόκολλο εφαρμόστηκαν σε προσωρινή βάση από την ημερομηνία υπογραφής τους. </w:t>
      </w:r>
    </w:p>
    <w:p>
      <w:pPr>
        <w:pStyle w:val="ManualConsidrant"/>
        <w:rPr>
          <w:noProof/>
        </w:rPr>
      </w:pPr>
      <w:r>
        <w:rPr>
          <w:noProof/>
        </w:rPr>
        <w:t>(6)</w:t>
      </w:r>
      <w:r>
        <w:rPr>
          <w:noProof/>
        </w:rPr>
        <w:tab/>
        <w:t>Η συμφωνία σύμπραξης και το πρωτόκολλο θα πρέπει να εγκριθούν εξ ονόματος της Ευρωπαϊκής Ένωσης.</w:t>
      </w:r>
    </w:p>
    <w:p>
      <w:pPr>
        <w:pStyle w:val="ManualConsidrant"/>
        <w:rPr>
          <w:noProof/>
        </w:rPr>
      </w:pPr>
      <w:r>
        <w:rPr>
          <w:noProof/>
        </w:rPr>
        <w:t>(7)</w:t>
      </w:r>
      <w:r>
        <w:rPr>
          <w:noProof/>
        </w:rPr>
        <w:tab/>
        <w:t>Με το άρθρο 9 της συμφωνίας σύμπραξης συστήνεται μεικτή επιτροπή επιφορτισμένη με την παρακολούθηση της εφαρμογής της. Επιπλέον, σύμφωνα με τα άρθρα 5, 6 και 8 του πρωτοκόλλου, η μεικτή επιτροπή μπορεί να εγκρίνει ορισμένες τροποποιήσεις του πρωτοκόλλου. Προκειμένου να διευκολυνθεί η έγκριση των εν λόγω τροποποιήσεων, η Ευρωπαϊκή Επιτροπή θα πρέπει να εξουσιοδοτηθεί, με την επιφύλαξη ειδικών όρων, να τις εγκρίνει βάσει απλουστευμένης διαδικασίας,</w:t>
      </w:r>
    </w:p>
    <w:p>
      <w:pPr>
        <w:pStyle w:val="ManualConsidrant"/>
        <w:rPr>
          <w:noProof/>
        </w:rPr>
      </w:pPr>
    </w:p>
    <w:p>
      <w:pPr>
        <w:ind w:left="709" w:hanging="709"/>
        <w:rPr>
          <w:rFonts w:eastAsia="Calibri"/>
          <w:noProof/>
        </w:rPr>
      </w:pPr>
    </w:p>
    <w:p>
      <w:pPr>
        <w:pStyle w:val="Formuledadoption"/>
        <w:rPr>
          <w:noProof/>
        </w:rPr>
      </w:pPr>
      <w:r>
        <w:rPr>
          <w:noProof/>
        </w:rPr>
        <w:t xml:space="preserve">ΕΞΕΔΩΣΕ ΤΗΝ ΠΑΡΟΥΣΑ ΑΠΟΦΑΣΗ: </w:t>
      </w:r>
    </w:p>
    <w:p>
      <w:pPr>
        <w:pStyle w:val="Titrearticle"/>
        <w:rPr>
          <w:noProof/>
        </w:rPr>
      </w:pPr>
      <w:r>
        <w:rPr>
          <w:noProof/>
        </w:rPr>
        <w:t>Άρθρο 1</w:t>
      </w:r>
    </w:p>
    <w:p>
      <w:pPr>
        <w:rPr>
          <w:noProof/>
        </w:rPr>
      </w:pPr>
      <w:r>
        <w:rPr>
          <w:noProof/>
        </w:rPr>
        <w:t>Η συμφωνία σύμπραξης βιώσιμης αλιείας μεταξύ της Ευρωπαϊκής Ένωσης και της Δημοκρατίας της Γκάμπιας («συμφωνία σύμπραξης»), καθώς και το πρωτόκολλο εφαρμογής της («το πρωτόκολλο») εγκρίνονται εξ ονόματος της Ένωσης.</w:t>
      </w:r>
    </w:p>
    <w:p>
      <w:pPr>
        <w:rPr>
          <w:noProof/>
        </w:rPr>
      </w:pPr>
      <w:r>
        <w:rPr>
          <w:noProof/>
        </w:rPr>
        <w:t xml:space="preserve">Το κείμενο της συμφωνίας σύμπραξης και του πρωτοκόλλου επισυνάπτονται στην παρούσα απόφαση ως παράρτημα Ι. </w:t>
      </w:r>
    </w:p>
    <w:p>
      <w:pPr>
        <w:pStyle w:val="Titrearticle"/>
        <w:rPr>
          <w:noProof/>
        </w:rPr>
      </w:pPr>
      <w:r>
        <w:rPr>
          <w:noProof/>
        </w:rPr>
        <w:t>Άρθρο 2</w:t>
      </w:r>
    </w:p>
    <w:p>
      <w:pPr>
        <w:rPr>
          <w:noProof/>
        </w:rPr>
      </w:pPr>
      <w:r>
        <w:rPr>
          <w:noProof/>
        </w:rPr>
        <w:t xml:space="preserve">Σύμφωνα με τις διατάξεις και τους όρους που παρατίθενται στο παράρτημα ΙΙ της παρούσας απόφασης, ανατίθεται στην Επιτροπή η εξουσία να εγκρίνει, εξ ονόματος της Ένωσης, τροποποιήσεις του πρωτοκόλλου που θεσπίζει η μεικτή επιτροπή η οποία έχει συσταθεί βάσει του άρθρου 9 της συμφωνίας σύμπραξης. </w:t>
      </w:r>
    </w:p>
    <w:p>
      <w:pPr>
        <w:pStyle w:val="Titrearticle"/>
        <w:rPr>
          <w:noProof/>
        </w:rPr>
      </w:pPr>
      <w:r>
        <w:rPr>
          <w:noProof/>
        </w:rPr>
        <w:t>Άρθρο 3</w:t>
      </w:r>
    </w:p>
    <w:p>
      <w:pPr>
        <w:rPr>
          <w:noProof/>
        </w:rPr>
      </w:pPr>
      <w:r>
        <w:rPr>
          <w:noProof/>
        </w:rPr>
        <w:t xml:space="preserve">Ο πρόεδρος του Συμβουλίου ορίζει το πρόσωπο που εξουσιοδοτείται να προβεί, εξ ονόματος της Ευρωπαϊκής Ένωσης, στην κοινοποίηση που προβλέπεται στο άρθρο 18 της συμφωνίας σύμπραξης και στο άρθρο 16 του πρωτοκόλλου, προκειμένου να εκφρασθεί η συναίνεση της Ευρωπαϊκής Ένωσης να δεσμευθεί από την ως άνω συμφωνία και το πρωτόκολλό της. </w:t>
      </w:r>
    </w:p>
    <w:p>
      <w:pPr>
        <w:pStyle w:val="Titrearticle"/>
        <w:rPr>
          <w:noProof/>
        </w:rPr>
      </w:pPr>
      <w:r>
        <w:rPr>
          <w:noProof/>
        </w:rPr>
        <w:t>Άρθρο 4</w:t>
      </w:r>
    </w:p>
    <w:p>
      <w:pPr>
        <w:rPr>
          <w:noProof/>
        </w:rPr>
      </w:pPr>
      <w:r>
        <w:rPr>
          <w:noProof/>
        </w:rPr>
        <w:t xml:space="preserve">Η παρούσα απόφαση αρχίζει να ισχύει την επομένη της δημοσίευσή της στην </w:t>
      </w:r>
      <w:r>
        <w:rPr>
          <w:i/>
          <w:noProof/>
        </w:rPr>
        <w:t>Επίσημη Εφημερίδα της Ευρωπαϊκής Ένωσης</w:t>
      </w:r>
      <w:r>
        <w:rPr>
          <w:noProof/>
        </w:rPr>
        <w:t>.</w:t>
      </w:r>
    </w:p>
    <w:p>
      <w:pPr>
        <w:rPr>
          <w:noProof/>
        </w:rPr>
      </w:pP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ΕΕ 354 της 28.12.2013, σ.22.</w:t>
      </w:r>
    </w:p>
  </w:footnote>
  <w:footnote w:id="2">
    <w:p>
      <w:pPr>
        <w:pStyle w:val="FootnoteText"/>
        <w:rPr>
          <w:lang w:val="fr-BE"/>
        </w:rPr>
      </w:pPr>
      <w:r>
        <w:rPr>
          <w:rStyle w:val="FootnoteReference"/>
        </w:rPr>
        <w:footnoteRef/>
      </w:r>
      <w:r>
        <w:tab/>
      </w:r>
    </w:p>
  </w:footnote>
  <w:footnote w:id="3">
    <w:p>
      <w:pPr>
        <w:pStyle w:val="FootnoteText"/>
        <w:ind w:left="0" w:firstLine="0"/>
      </w:pPr>
      <w:r>
        <w:rPr>
          <w:rStyle w:val="FootnoteReference"/>
        </w:rPr>
        <w:footnoteRef/>
      </w:r>
      <w:r>
        <w:tab/>
        <w:t>ΕΕ L ..., ..., 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59AFAD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8260E1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EC044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F9A026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7260D0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FE04EA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CEAEDA6"/>
    <w:lvl w:ilvl="0">
      <w:start w:val="1"/>
      <w:numFmt w:val="decimal"/>
      <w:pStyle w:val="ListNumber"/>
      <w:lvlText w:val="%1."/>
      <w:lvlJc w:val="left"/>
      <w:pPr>
        <w:tabs>
          <w:tab w:val="num" w:pos="360"/>
        </w:tabs>
        <w:ind w:left="360" w:hanging="360"/>
      </w:pPr>
    </w:lvl>
  </w:abstractNum>
  <w:abstractNum w:abstractNumId="7">
    <w:nsid w:val="FFFFFF89"/>
    <w:multiLevelType w:val="singleLevel"/>
    <w:tmpl w:val="ED72C66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5 13:33:1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4793764-8DEF-4DDC-98FA-013C57E01F1C"/>
    <w:docVar w:name="LW_COVERPAGE_TYPE" w:val="1"/>
    <w:docVar w:name="LW_CROSSREFERENCE" w:val="&lt;UNUSED&gt;"/>
    <w:docVar w:name="LW_DocType" w:val="COM"/>
    <w:docVar w:name="LW_EMISSION" w:val="12.3.2019"/>
    <w:docVar w:name="LW_EMISSION_ISODATE" w:val="2019-03-12"/>
    <w:docVar w:name="LW_EMISSION_LOCATION" w:val="BRX"/>
    <w:docVar w:name="LW_EMISSION_PREFIX" w:val="Βρυξέλλες,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076"/>
    <w:docVar w:name="LW_REF.II.NEW.CP_YEAR" w:val="2019"/>
    <w:docVar w:name="LW_REF.INST.NEW" w:val="COM"/>
    <w:docVar w:name="LW_REF.INST.NEW_ADOPTED" w:val="final"/>
    <w:docVar w:name="LW_REF.INST.NEW_TEXT" w:val="(2019) 1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63?\u967?\u949?\u964?\u953?\u954?\u940? \u956?\u949? \u964?\u951? \u963?\u973?\u957?\u945?\u968?\u951? \u963?\u965?\u956?\u966?\u969?\u957?\u943?\u945?\u962? \u963?\u973?\u956?\u960?\u961?\u945?\u958?\u951?\u962? \u946?\u953?\u974?\u963?\u953?\u956?\u951?\u962? \u945?\u955?\u953?\u949?\u943?\u945?\u962? \u956?\u949?\u964?\u945?\u958?\u973? \u964?\u951?\u962? \u917?\u965?\u961?\u969?\u960?\u945?\u970?\u954?\u942?\u962? \u904?\u957?\u969?\u963?\u951?\u962? \u954?\u945?\u953? \u964?\u951?\u962? \u916?\u951?\u956?\u959?\u954?\u961?\u945?\u964?\u943?\u945?\u962? \u964?\u951?\u962? \u915?\u954?\u940?\u956?\u960?\u953?\u945?\u962? \u954?\u945?\u953? \u964?\u959?\u965? \u960?\u961?\u969?\u964?\u972?\u954?\u959?\u955?\u955?\u959?\u965? \u949?\u966?\u945?\u961?\u956?\u959?\u947?\u942?\u962? \u964?\u951?\u962?"/>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after="0"/>
    </w:pPr>
    <w:rPr>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after="0"/>
    </w:pPr>
    <w:rPr>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1582">
      <w:bodyDiv w:val="1"/>
      <w:marLeft w:val="0"/>
      <w:marRight w:val="0"/>
      <w:marTop w:val="0"/>
      <w:marBottom w:val="0"/>
      <w:divBdr>
        <w:top w:val="none" w:sz="0" w:space="0" w:color="auto"/>
        <w:left w:val="none" w:sz="0" w:space="0" w:color="auto"/>
        <w:bottom w:val="none" w:sz="0" w:space="0" w:color="auto"/>
        <w:right w:val="none" w:sz="0" w:space="0" w:color="auto"/>
      </w:divBdr>
    </w:div>
    <w:div w:id="472526516">
      <w:bodyDiv w:val="1"/>
      <w:marLeft w:val="0"/>
      <w:marRight w:val="0"/>
      <w:marTop w:val="0"/>
      <w:marBottom w:val="0"/>
      <w:divBdr>
        <w:top w:val="none" w:sz="0" w:space="0" w:color="auto"/>
        <w:left w:val="none" w:sz="0" w:space="0" w:color="auto"/>
        <w:bottom w:val="none" w:sz="0" w:space="0" w:color="auto"/>
        <w:right w:val="none" w:sz="0" w:space="0" w:color="auto"/>
      </w:divBdr>
    </w:div>
    <w:div w:id="586234201">
      <w:bodyDiv w:val="1"/>
      <w:marLeft w:val="0"/>
      <w:marRight w:val="0"/>
      <w:marTop w:val="0"/>
      <w:marBottom w:val="0"/>
      <w:divBdr>
        <w:top w:val="none" w:sz="0" w:space="0" w:color="auto"/>
        <w:left w:val="none" w:sz="0" w:space="0" w:color="auto"/>
        <w:bottom w:val="none" w:sz="0" w:space="0" w:color="auto"/>
        <w:right w:val="none" w:sz="0" w:space="0" w:color="auto"/>
      </w:divBdr>
    </w:div>
    <w:div w:id="703603524">
      <w:bodyDiv w:val="1"/>
      <w:marLeft w:val="0"/>
      <w:marRight w:val="0"/>
      <w:marTop w:val="0"/>
      <w:marBottom w:val="0"/>
      <w:divBdr>
        <w:top w:val="none" w:sz="0" w:space="0" w:color="auto"/>
        <w:left w:val="none" w:sz="0" w:space="0" w:color="auto"/>
        <w:bottom w:val="none" w:sz="0" w:space="0" w:color="auto"/>
        <w:right w:val="none" w:sz="0" w:space="0" w:color="auto"/>
      </w:divBdr>
    </w:div>
    <w:div w:id="1091707584">
      <w:bodyDiv w:val="1"/>
      <w:marLeft w:val="0"/>
      <w:marRight w:val="0"/>
      <w:marTop w:val="0"/>
      <w:marBottom w:val="0"/>
      <w:divBdr>
        <w:top w:val="none" w:sz="0" w:space="0" w:color="auto"/>
        <w:left w:val="none" w:sz="0" w:space="0" w:color="auto"/>
        <w:bottom w:val="none" w:sz="0" w:space="0" w:color="auto"/>
        <w:right w:val="none" w:sz="0" w:space="0" w:color="auto"/>
      </w:divBdr>
    </w:div>
    <w:div w:id="1780486511">
      <w:bodyDiv w:val="1"/>
      <w:marLeft w:val="0"/>
      <w:marRight w:val="0"/>
      <w:marTop w:val="0"/>
      <w:marBottom w:val="0"/>
      <w:divBdr>
        <w:top w:val="none" w:sz="0" w:space="0" w:color="auto"/>
        <w:left w:val="none" w:sz="0" w:space="0" w:color="auto"/>
        <w:bottom w:val="none" w:sz="0" w:space="0" w:color="auto"/>
        <w:right w:val="none" w:sz="0" w:space="0" w:color="auto"/>
      </w:divBdr>
    </w:div>
    <w:div w:id="19959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5</Pages>
  <Words>1121</Words>
  <Characters>6705</Characters>
  <Application>Microsoft Office Word</Application>
  <DocSecurity>0</DocSecurity>
  <Lines>136</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cp:lastPrinted>2018-12-06T14:17:00Z</cp:lastPrinted>
  <dcterms:created xsi:type="dcterms:W3CDTF">2019-02-21T00:22:00Z</dcterms:created>
  <dcterms:modified xsi:type="dcterms:W3CDTF">2019-03-05T12:33:00Z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