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3349170-5948-4560-BF65-5CB7088C82A2" style="width:450.45pt;height:366.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rFonts w:eastAsia="Calibri"/>
          <w:noProof/>
        </w:rPr>
      </w:pPr>
      <w:r>
        <w:rPr>
          <w:noProof/>
        </w:rPr>
        <w:t xml:space="preserve">Consiliul a autorizat Comisia Europeană să negocieze, în numele Uniunii Europene, un nou acord între Uniunea Europeană și Republica Gambia și un protocol de stabilire a posibilităților de pescuit și a contribuției financiare. După încheierea respectivelor negocieri, la 19 octombrie 2018, negociatorii au parafat un acord și un protocol. Noul acord abrogă și înlocuiește acordul existent, care a intrat în vigoare la 2 iunie 1987 și acoperă o perioadă de șase ani de la data aplicării sale provizorii, putând fi reînnoit prin acord tacit. Noul protocol acoperă o perioadă de șase ani de la data aplicării provizorii, stabilită la articolul 13, și anume data semnării de către părți.  </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spacing w:before="0" w:after="0"/>
        <w:rPr>
          <w:rFonts w:eastAsia="Calibri"/>
          <w:noProof/>
        </w:rPr>
      </w:pPr>
      <w:r>
        <w:rPr>
          <w:noProof/>
        </w:rPr>
        <w:t>Obiectivul principal al noului acord este de a furniza un cadru actualizat, și anume, care să țină seama de prioritățile politicii comune reformate în domeniul pescuitului</w:t>
      </w:r>
      <w:r>
        <w:rPr>
          <w:rStyle w:val="FootnoteReference"/>
          <w:noProof/>
        </w:rPr>
        <w:footnoteReference w:id="1"/>
      </w:r>
      <w:r>
        <w:rPr>
          <w:noProof/>
        </w:rPr>
        <w:t xml:space="preserve"> și de dimensiunea externă a acesteia, în vederea realizării unui parteneriat strategic în domeniul pescuitului între Uniunea Europeană și Gambia.</w:t>
      </w:r>
    </w:p>
    <w:p>
      <w:pPr>
        <w:rPr>
          <w:rFonts w:eastAsia="Calibri"/>
          <w:noProof/>
        </w:rPr>
      </w:pPr>
      <w:r>
        <w:rPr>
          <w:noProof/>
        </w:rPr>
        <w:t>Obiectivul protocolului este de a oferi posibilități de pescuit pentru navele Uniunii Europene în apele Gambiei, ținând cont de evaluările științifice disponibile, în special de cele realizate de Comitetul pentru pescuit în zona central-estică a Atlanticului (CECAF), și respectând cele mai bune avize științifice disponibile și recomandările Comisiei Internaționale pentru Conservarea Tonului din Oceanul Atlantic (ICCAT), în limitele surplusului disponibil. Comisia și-a bazat poziția, printre altele, pe rezultatele unei evaluări prospective privind oportunitatea încheierii unui nou acord și a unui nou protocol, realizată de experți externi. În egală măsură, se urmărește obiectivul de a redinamiza cooperarea dintre Uniunea Europeană și Republica Gambia în vederea favorizării unei politici durabile în domeniul pescuitului și a exploatării responsabile a resurselor piscicole în zona de pescuit a Gambiei, în interesul ambelor părți.</w:t>
      </w:r>
    </w:p>
    <w:p>
      <w:pPr>
        <w:rPr>
          <w:rFonts w:eastAsia="Calibri"/>
          <w:noProof/>
        </w:rPr>
      </w:pPr>
      <w:r>
        <w:rPr>
          <w:noProof/>
        </w:rPr>
        <w:t>Protocolul prevede posibilități de pescuit pentru următoarele categorii:</w:t>
      </w:r>
    </w:p>
    <w:p>
      <w:pPr>
        <w:rPr>
          <w:rFonts w:eastAsia="Calibri"/>
          <w:noProof/>
        </w:rPr>
      </w:pPr>
      <w:r>
        <w:rPr>
          <w:noProof/>
        </w:rPr>
        <w:t>–</w:t>
      </w:r>
      <w:r>
        <w:rPr>
          <w:noProof/>
        </w:rPr>
        <w:tab/>
        <w:t>28 de nave de pescuit ton cu plasă-pungă;</w:t>
      </w:r>
    </w:p>
    <w:p>
      <w:pPr>
        <w:rPr>
          <w:rFonts w:eastAsia="Calibri"/>
          <w:noProof/>
        </w:rPr>
      </w:pPr>
      <w:r>
        <w:rPr>
          <w:noProof/>
        </w:rPr>
        <w:t>–</w:t>
      </w:r>
      <w:r>
        <w:rPr>
          <w:noProof/>
        </w:rPr>
        <w:tab/>
        <w:t>10 nave de pescuit cu momeală;</w:t>
      </w:r>
    </w:p>
    <w:p>
      <w:pPr>
        <w:rPr>
          <w:rFonts w:eastAsia="Calibri"/>
          <w:noProof/>
        </w:rPr>
      </w:pPr>
      <w:r>
        <w:rPr>
          <w:noProof/>
        </w:rPr>
        <w:t>–</w:t>
      </w:r>
      <w:r>
        <w:rPr>
          <w:noProof/>
        </w:rPr>
        <w:tab/>
        <w:t>3 traulere (pentru pescuitul merluciului senegalez, specie demersală de adâncime).</w:t>
      </w:r>
    </w:p>
    <w:p>
      <w:pPr>
        <w:pStyle w:val="ManualHeading2"/>
        <w:rPr>
          <w:rFonts w:eastAsia="Arial Unicode MS"/>
          <w:noProof/>
        </w:rPr>
      </w:pPr>
      <w:r>
        <w:rPr>
          <w:noProof/>
          <w:color w:val="000000"/>
          <w:u w:color="000000"/>
          <w:bdr w:val="nil"/>
        </w:rPr>
        <w:t>•</w:t>
      </w:r>
      <w:r>
        <w:rPr>
          <w:noProof/>
        </w:rPr>
        <w:tab/>
        <w:t>Coerența cu alte politici ale Uniunii</w:t>
      </w:r>
    </w:p>
    <w:p>
      <w:pPr>
        <w:spacing w:before="0" w:after="240"/>
        <w:rPr>
          <w:noProof/>
        </w:rPr>
      </w:pPr>
      <w:r>
        <w:rPr>
          <w:noProof/>
        </w:rPr>
        <w:t xml:space="preserve">Negocierea unui Acord de parteneriat în domeniul pescuitului încheiat cu Gambia face parte din acțiunea externă a Uniunii față de țările ACP și ține seama în special de obiectivele Uniunii în ceea ce privește respectarea principiilor democratice și a drepturilor omului. </w:t>
      </w:r>
    </w:p>
    <w:p>
      <w:pPr>
        <w:pStyle w:val="ManualHeading1"/>
        <w:rPr>
          <w:noProof/>
        </w:rPr>
      </w:pPr>
      <w:r>
        <w:rPr>
          <w:noProof/>
        </w:rPr>
        <w:t>2.</w:t>
      </w:r>
      <w:r>
        <w:rPr>
          <w:noProof/>
        </w:rPr>
        <w:tab/>
        <w:t>TEMEIUL JURIDIC, SUBSIDIARITATEA ȘI PROPORȚIONALITATEA</w:t>
      </w:r>
    </w:p>
    <w:p>
      <w:pPr>
        <w:pStyle w:val="ManualHeading2"/>
        <w:rPr>
          <w:rFonts w:eastAsia="Arial Unicode MS"/>
          <w:noProof/>
          <w:bdr w:val="none" w:sz="0" w:space="0" w:color="auto" w:frame="1"/>
        </w:rPr>
      </w:pPr>
      <w:r>
        <w:rPr>
          <w:noProof/>
        </w:rPr>
        <w:t>•</w:t>
      </w:r>
      <w:r>
        <w:rPr>
          <w:noProof/>
        </w:rPr>
        <w:tab/>
        <w:t>Temei juridic</w:t>
      </w:r>
    </w:p>
    <w:p>
      <w:pPr>
        <w:spacing w:before="0" w:after="240"/>
        <w:rPr>
          <w:rFonts w:eastAsia="Arial Unicode MS"/>
          <w:noProof/>
        </w:rPr>
      </w:pPr>
      <w:r>
        <w:rPr>
          <w:noProof/>
        </w:rPr>
        <w:t xml:space="preserve">Temeiul juridic ales este Tratatul privind funcționarea Uniunii Europene, articolul 43 alineatul (2), care stabilește politica comună în domeniul pescuitului, și articolul 218 alineatul (6) litera (a) punctul (v), care stabilește etapa relevantă a procedurii de negociere și de încheiere a acordurilor între Uniune și țările terțe. </w:t>
      </w:r>
    </w:p>
    <w:p>
      <w:pPr>
        <w:pStyle w:val="ManualHeading2"/>
        <w:rPr>
          <w:rFonts w:eastAsia="Arial Unicode MS"/>
          <w:noProof/>
          <w:bdr w:val="none" w:sz="0" w:space="0" w:color="auto" w:frame="1"/>
        </w:rPr>
      </w:pPr>
      <w:r>
        <w:rPr>
          <w:noProof/>
        </w:rPr>
        <w:t>•</w:t>
      </w:r>
      <w:r>
        <w:rPr>
          <w:noProof/>
        </w:rPr>
        <w:tab/>
        <w:t>Subsidiaritatea (pentru competența neexclusivă)</w:t>
      </w:r>
    </w:p>
    <w:p>
      <w:pPr>
        <w:spacing w:before="0" w:after="240"/>
        <w:rPr>
          <w:rFonts w:eastAsia="Arial Unicode MS"/>
          <w:noProof/>
        </w:rPr>
      </w:pPr>
      <w:r>
        <w:rPr>
          <w:noProof/>
        </w:rPr>
        <w:t>Propunerea intră în sfera competenței exclusive a Uniunii Europene.</w:t>
      </w:r>
    </w:p>
    <w:p>
      <w:pPr>
        <w:pStyle w:val="ManualHeading2"/>
        <w:rPr>
          <w:rFonts w:eastAsia="Arial Unicode MS"/>
          <w:noProof/>
          <w:bdr w:val="none" w:sz="0" w:space="0" w:color="auto" w:frame="1"/>
        </w:rPr>
      </w:pPr>
      <w:r>
        <w:rPr>
          <w:noProof/>
        </w:rPr>
        <w:t>•</w:t>
      </w:r>
      <w:r>
        <w:rPr>
          <w:noProof/>
        </w:rPr>
        <w:tab/>
        <w:t>Proporționalitatea</w:t>
      </w:r>
    </w:p>
    <w:p>
      <w:pPr>
        <w:spacing w:before="0" w:after="240"/>
        <w:rPr>
          <w:rFonts w:eastAsia="Arial Unicode MS"/>
          <w:noProof/>
        </w:rPr>
      </w:pPr>
      <w:r>
        <w:rPr>
          <w:noProof/>
        </w:rPr>
        <w:t xml:space="preserve">Propunerea este proporțională cu obiectivul de stabilire a unui cadru de guvernanță juridic, economic, social și de mediu pentru activitățile de pescuit desfășurate de navele Uniunii în apele țărilor terțe, astfel cum se prevede la articolul 31 din Regulamentul privind politica comună în domeniul pescuitului. Ea respectă aceste dispoziții, precum și cele referitoare la asistența financiară acordată țărilor terțe, prevăzute la articolul 32 din regulamentul menționat. </w:t>
      </w:r>
    </w:p>
    <w:p>
      <w:pPr>
        <w:pStyle w:val="ManualHeading1"/>
        <w:rPr>
          <w:noProof/>
        </w:rPr>
      </w:pPr>
      <w:r>
        <w:rPr>
          <w:noProof/>
        </w:rPr>
        <w:t xml:space="preserve"> 3.</w:t>
      </w:r>
      <w:r>
        <w:rPr>
          <w:noProof/>
        </w:rPr>
        <w:tab/>
        <w:t>IMPLICAȚII BUGETARE</w:t>
      </w:r>
    </w:p>
    <w:p>
      <w:pPr>
        <w:rPr>
          <w:rFonts w:eastAsia="Calibri"/>
          <w:noProof/>
        </w:rPr>
      </w:pPr>
      <w:r>
        <w:rPr>
          <w:noProof/>
        </w:rPr>
        <w:t>Contribuția financiară anuală este de 550 000 EUR și se bazează pe:</w:t>
      </w:r>
    </w:p>
    <w:p>
      <w:pPr>
        <w:rPr>
          <w:rFonts w:eastAsia="Calibri"/>
          <w:noProof/>
        </w:rPr>
      </w:pPr>
      <w:r>
        <w:rPr>
          <w:noProof/>
        </w:rPr>
        <w:t xml:space="preserve">a) o sumă anuală pentru accesul la resursele piscicole din zona de pescuit a Gambiei, în valoare de 275 000 EUR, corespunzând unui tonaj de referință de 3 300 de tone pe an pentru speciile mari migratoare,  </w:t>
      </w:r>
    </w:p>
    <w:p>
      <w:pPr>
        <w:rPr>
          <w:rFonts w:eastAsia="Calibri"/>
          <w:noProof/>
        </w:rPr>
      </w:pPr>
      <w:r>
        <w:rPr>
          <w:noProof/>
        </w:rPr>
        <w:t>b) un sprijin pentru dezvoltarea politicii sectoriale în domeniul pescuitului din Gambia, în valoare de 275 000 EUR pe an. Acest sprijin răspunde obiectivelor politicii naționale în materie de gestionare sustenabilă a resurselor piscicole continentale și maritime ale Gambiei.</w:t>
      </w:r>
    </w:p>
    <w:p>
      <w:pPr>
        <w:pStyle w:val="ManualHeading1"/>
        <w:rPr>
          <w:noProof/>
        </w:rPr>
      </w:pPr>
      <w:r>
        <w:rPr>
          <w:noProof/>
        </w:rPr>
        <w:t>4.</w:t>
      </w:r>
      <w:r>
        <w:rPr>
          <w:noProof/>
        </w:rPr>
        <w:tab/>
        <w:t>ALTE ELEMENTE</w:t>
      </w:r>
    </w:p>
    <w:p>
      <w:pPr>
        <w:pStyle w:val="ManualHeading2"/>
        <w:rPr>
          <w:rFonts w:eastAsia="Arial Unicode MS"/>
          <w:noProof/>
          <w:bdr w:val="none" w:sz="0" w:space="0" w:color="auto" w:frame="1"/>
        </w:rPr>
      </w:pPr>
      <w:r>
        <w:rPr>
          <w:noProof/>
        </w:rPr>
        <w:t>•</w:t>
      </w:r>
      <w:r>
        <w:rPr>
          <w:noProof/>
        </w:rPr>
        <w:tab/>
        <w:t>Planurile de punere în aplicare și măsurile de monitorizare, evaluare și raportare</w:t>
      </w:r>
    </w:p>
    <w:p>
      <w:pPr>
        <w:spacing w:before="0" w:after="240"/>
        <w:rPr>
          <w:rFonts w:eastAsia="Arial Unicode MS"/>
          <w:noProof/>
        </w:rPr>
      </w:pPr>
      <w:r>
        <w:rPr>
          <w:noProof/>
        </w:rPr>
        <w:t>Modalitățile de monitorizare sunt prevăzute în protocolul inclus în noul acord de parteneriat.</w:t>
      </w:r>
    </w:p>
    <w:p>
      <w:pPr>
        <w:rPr>
          <w:rFonts w:eastAsia="Calibri"/>
          <w:noProof/>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2019/0076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încheierea unui acord de parteneriat în domeniul pescuitului sustenabil între Uniunea Europeană și Republica Gambia și a protocolului de punere în aplicare a acestuia</w:t>
      </w:r>
    </w:p>
    <w:p>
      <w:pPr>
        <w:pStyle w:val="Institutionquiagit"/>
        <w:rPr>
          <w:noProof/>
        </w:rPr>
      </w:pPr>
      <w:r>
        <w:rPr>
          <w:noProof/>
        </w:rPr>
        <w:t>CONSILIUL UNIUNII EUROPENE,</w:t>
      </w:r>
    </w:p>
    <w:p>
      <w:pPr>
        <w:rPr>
          <w:noProof/>
        </w:rPr>
      </w:pPr>
      <w:r>
        <w:rPr>
          <w:noProof/>
        </w:rPr>
        <w:t>având în vedere Tratatul privind funcționarea Uniunii Europene, în special articolul 43 alineatul (2), coroborat cu articolul 218 alineatul (6) litera (a) și cu articolul 218 alineatul (7),</w:t>
      </w:r>
    </w:p>
    <w:p>
      <w:pPr>
        <w:rPr>
          <w:noProof/>
        </w:rPr>
      </w:pPr>
      <w:r>
        <w:rPr>
          <w:noProof/>
        </w:rPr>
        <w:t>având în vedere propunerea Comisiei Europene,</w:t>
      </w:r>
    </w:p>
    <w:p>
      <w:pPr>
        <w:rPr>
          <w:noProof/>
        </w:rPr>
      </w:pPr>
      <w:r>
        <w:rPr>
          <w:noProof/>
        </w:rPr>
        <w:t>având în vedere aprobarea Parlamentului European</w:t>
      </w:r>
      <w:r>
        <w:rPr>
          <w:rStyle w:val="FootnoteReference"/>
          <w:noProof/>
        </w:rPr>
        <w:footnoteReference w:id="2"/>
      </w:r>
      <w:r>
        <w:rPr>
          <w:noProof/>
        </w:rPr>
        <w:t>,</w:t>
      </w:r>
    </w:p>
    <w:p>
      <w:pPr>
        <w:rPr>
          <w:noProof/>
        </w:rPr>
      </w:pPr>
      <w:r>
        <w:rPr>
          <w:noProof/>
        </w:rPr>
        <w:t>întrucât:</w:t>
      </w:r>
    </w:p>
    <w:p>
      <w:pPr>
        <w:ind w:left="709" w:hanging="709"/>
        <w:rPr>
          <w:rFonts w:eastAsia="Calibri"/>
          <w:noProof/>
        </w:rPr>
      </w:pPr>
      <w:r>
        <w:rPr>
          <w:noProof/>
        </w:rPr>
        <w:t>(1)</w:t>
      </w:r>
      <w:r>
        <w:rPr>
          <w:noProof/>
        </w:rPr>
        <w:tab/>
        <w:t>Comisia a negociat, în numele Uniunii Europene, un nou acord de parteneriat în domeniul pescuitului sustenabil între Uniunea Europeană și Republica Gambia (denumit în continuare „acordul de parteneriat”), precum și un nou protocol de punere în aplicare a acordului de parteneriat (denumit în continuare „protocolul”).</w:t>
      </w:r>
    </w:p>
    <w:p>
      <w:pPr>
        <w:ind w:left="709" w:hanging="709"/>
        <w:rPr>
          <w:rFonts w:eastAsia="Calibri"/>
          <w:noProof/>
        </w:rPr>
      </w:pPr>
      <w:r>
        <w:rPr>
          <w:noProof/>
        </w:rPr>
        <w:t>(2)</w:t>
      </w:r>
      <w:r>
        <w:rPr>
          <w:noProof/>
        </w:rPr>
        <w:tab/>
        <w:t>Acordul de parteneriat și protocolul au fost parafate după încheierea negocierilor, la 19 octombrie 2018.</w:t>
      </w:r>
    </w:p>
    <w:p>
      <w:pPr>
        <w:ind w:left="709" w:hanging="709"/>
        <w:rPr>
          <w:rFonts w:eastAsia="Calibri"/>
          <w:noProof/>
        </w:rPr>
      </w:pPr>
      <w:r>
        <w:rPr>
          <w:noProof/>
        </w:rPr>
        <w:t>(3)</w:t>
      </w:r>
      <w:r>
        <w:rPr>
          <w:noProof/>
        </w:rPr>
        <w:tab/>
        <w:t>Acordul de parteneriat abrogă acordul precedent încheiat între Guvernul Republicii Gambia și Comunitatea Economică Europeană privind pescuitul în largul coastelor Gambiei, care a intrat în vigoare la 2 iunie 1987.</w:t>
      </w:r>
    </w:p>
    <w:p>
      <w:pPr>
        <w:pStyle w:val="ManualConsidrant"/>
        <w:rPr>
          <w:noProof/>
        </w:rPr>
      </w:pPr>
      <w:r>
        <w:rPr>
          <w:noProof/>
        </w:rPr>
        <w:t>(4)</w:t>
      </w:r>
      <w:r>
        <w:rPr>
          <w:noProof/>
        </w:rPr>
        <w:tab/>
        <w:t>În conformitate cu Decizia 2018/.../UE a Consiliului</w:t>
      </w:r>
      <w:r>
        <w:rPr>
          <w:rStyle w:val="FootnoteReference"/>
          <w:noProof/>
        </w:rPr>
        <w:footnoteReference w:id="3"/>
      </w:r>
      <w:r>
        <w:rPr>
          <w:noProof/>
        </w:rPr>
        <w:t>, noul acord de parteneriat și protocolul au fost semnate la... [</w:t>
      </w:r>
      <w:r>
        <w:rPr>
          <w:i/>
          <w:noProof/>
        </w:rPr>
        <w:t>a se introduce data semnării</w:t>
      </w:r>
      <w:r>
        <w:rPr>
          <w:noProof/>
        </w:rPr>
        <w:t>].</w:t>
      </w:r>
    </w:p>
    <w:p>
      <w:pPr>
        <w:pStyle w:val="ManualConsidrant"/>
        <w:rPr>
          <w:noProof/>
        </w:rPr>
      </w:pPr>
      <w:r>
        <w:rPr>
          <w:noProof/>
        </w:rPr>
        <w:t>(5)</w:t>
      </w:r>
      <w:r>
        <w:rPr>
          <w:noProof/>
        </w:rPr>
        <w:tab/>
        <w:t xml:space="preserve">Acordul de parteneriat și protocolul s-au aplicat cu titlu provizoriu de la data semnării lor. </w:t>
      </w:r>
    </w:p>
    <w:p>
      <w:pPr>
        <w:pStyle w:val="ManualConsidrant"/>
        <w:rPr>
          <w:noProof/>
        </w:rPr>
      </w:pPr>
      <w:r>
        <w:rPr>
          <w:noProof/>
        </w:rPr>
        <w:t>(6)</w:t>
      </w:r>
      <w:r>
        <w:rPr>
          <w:noProof/>
        </w:rPr>
        <w:tab/>
        <w:t>Este oportun ca acordul de parteneriat și protocolul să fie aprobate în numele Uniunii.</w:t>
      </w:r>
    </w:p>
    <w:p>
      <w:pPr>
        <w:pStyle w:val="ManualConsidrant"/>
        <w:rPr>
          <w:noProof/>
        </w:rPr>
      </w:pPr>
      <w:r>
        <w:rPr>
          <w:noProof/>
        </w:rPr>
        <w:t>(7)</w:t>
      </w:r>
      <w:r>
        <w:rPr>
          <w:noProof/>
        </w:rPr>
        <w:tab/>
        <w:t>Articolul 9 din acordul de parteneriat instituie comitetul mixt însărcinat cu controlul aplicării sale. În plus, în temeiul articolelor 5, 6 și 8 din protocol, comitetul mixt poate aproba anumite modificări ale protocolului. Pentru a facilita aprobarea modificărilor respective, Comisia ar trebui să fie împuternicită să aprobe aceste modificări, sub rezerva îndeplinirii unor condiții specifice, conform unei proceduri simplificate,</w:t>
      </w:r>
    </w:p>
    <w:p>
      <w:pPr>
        <w:pStyle w:val="ManualConsidrant"/>
        <w:rPr>
          <w:noProof/>
        </w:rPr>
      </w:pPr>
    </w:p>
    <w:p>
      <w:pPr>
        <w:ind w:left="709" w:hanging="709"/>
        <w:rPr>
          <w:rFonts w:eastAsia="Calibri"/>
          <w:noProof/>
        </w:rPr>
      </w:pP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Acordul de parteneriat în domeniul pescuitului sustenabil dintre Uniunea Europeană și Republica Gambia (denumit în continuare „acordul de parteneriat”) și protocolul de punere în aplicare a acestuia (denumit în continuare „protocolul”) se aprobă în numele Uniunii.</w:t>
      </w:r>
    </w:p>
    <w:p>
      <w:pPr>
        <w:rPr>
          <w:noProof/>
        </w:rPr>
      </w:pPr>
      <w:r>
        <w:rPr>
          <w:noProof/>
        </w:rPr>
        <w:t xml:space="preserve">Textul acordului de parteneriat și cel al protocolului sunt atașate la prezenta decizie ca anexa I. </w:t>
      </w:r>
    </w:p>
    <w:p>
      <w:pPr>
        <w:pStyle w:val="Titrearticle"/>
        <w:rPr>
          <w:noProof/>
        </w:rPr>
      </w:pPr>
      <w:r>
        <w:rPr>
          <w:noProof/>
        </w:rPr>
        <w:t>Articolul 2</w:t>
      </w:r>
    </w:p>
    <w:p>
      <w:pPr>
        <w:rPr>
          <w:noProof/>
        </w:rPr>
      </w:pPr>
      <w:r>
        <w:rPr>
          <w:noProof/>
        </w:rPr>
        <w:t xml:space="preserve">În conformitate cu dispozițiile și condițiile stabilite în anexa II la prezenta decizie, Comisia este împuternicită să aprobe, în numele Uniunii, modificările aduse protocolului adoptate de comitetul mixt instituit în temeiul articolului 9 din acordul de parteneriat. </w:t>
      </w:r>
    </w:p>
    <w:p>
      <w:pPr>
        <w:pStyle w:val="Titrearticle"/>
        <w:rPr>
          <w:noProof/>
        </w:rPr>
      </w:pPr>
      <w:r>
        <w:rPr>
          <w:noProof/>
        </w:rPr>
        <w:t>Articolul 3</w:t>
      </w:r>
    </w:p>
    <w:p>
      <w:pPr>
        <w:rPr>
          <w:noProof/>
        </w:rPr>
      </w:pPr>
      <w:r>
        <w:rPr>
          <w:noProof/>
        </w:rPr>
        <w:t xml:space="preserve">Președintele Consiliului desemnează persoana împuternicită să efectueze, în numele Uniunii Europene, notificarea prevăzută la articolul 18 din acordul de parteneriat și la articolul 16 din protocol, pentru a exprima consimțământul Uniunii Europene de a-și asuma obligații în temeiul actelor respective. </w:t>
      </w:r>
    </w:p>
    <w:p>
      <w:pPr>
        <w:pStyle w:val="Titrearticle"/>
        <w:rPr>
          <w:noProof/>
        </w:rPr>
      </w:pPr>
      <w:r>
        <w:rPr>
          <w:noProof/>
        </w:rPr>
        <w:t>Articolul 4</w:t>
      </w:r>
    </w:p>
    <w:p>
      <w:pPr>
        <w:rPr>
          <w:noProof/>
        </w:rPr>
      </w:pPr>
      <w:r>
        <w:rPr>
          <w:noProof/>
        </w:rPr>
        <w:t xml:space="preserve">Prezenta decizie intră în vigoare în ziua următoare datei publicării în </w:t>
      </w:r>
      <w:r>
        <w:rPr>
          <w:i/>
          <w:noProof/>
        </w:rPr>
        <w:t>Jurnalul Oficial al Uniunii Europene</w:t>
      </w:r>
      <w:r>
        <w:rPr>
          <w:noProof/>
        </w:rPr>
        <w:t>.</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354, 28.12.2013, p. 22.</w:t>
      </w:r>
    </w:p>
  </w:footnote>
  <w:footnote w:id="2">
    <w:p>
      <w:pPr>
        <w:pStyle w:val="FootnoteText"/>
        <w:rPr>
          <w:lang w:val="fr-BE"/>
        </w:rPr>
      </w:pPr>
      <w:r>
        <w:rPr>
          <w:rStyle w:val="FootnoteReference"/>
        </w:rPr>
        <w:footnoteRef/>
      </w:r>
      <w:r>
        <w:tab/>
      </w:r>
    </w:p>
  </w:footnote>
  <w:footnote w:id="3">
    <w:p>
      <w:pPr>
        <w:pStyle w:val="FootnoteText"/>
        <w:ind w:left="0" w:firstLine="0"/>
      </w:pPr>
      <w:r>
        <w:rPr>
          <w:rStyle w:val="FootnoteReference"/>
        </w:rPr>
        <w:footnoteRef/>
      </w:r>
      <w:r>
        <w:tab/>
        <w:t>JO L ...,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AFA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260E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C044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A026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260D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E04E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EAEDA6"/>
    <w:lvl w:ilvl="0">
      <w:start w:val="1"/>
      <w:numFmt w:val="decimal"/>
      <w:pStyle w:val="ListNumber"/>
      <w:lvlText w:val="%1."/>
      <w:lvlJc w:val="left"/>
      <w:pPr>
        <w:tabs>
          <w:tab w:val="num" w:pos="360"/>
        </w:tabs>
        <w:ind w:left="360" w:hanging="360"/>
      </w:pPr>
    </w:lvl>
  </w:abstractNum>
  <w:abstractNum w:abstractNumId="7">
    <w:nsid w:val="FFFFFF89"/>
    <w:multiLevelType w:val="singleLevel"/>
    <w:tmpl w:val="ED72C6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32: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3349170-5948-4560-BF65-5CB7088C82A2"/>
    <w:docVar w:name="LW_COVERPAGE_TYPE" w:val="1"/>
    <w:docVar w:name="LW_CROSSREFERENCE" w:val="&lt;UNUSED&gt;"/>
    <w:docVar w:name="LW_DocType" w:val="COM"/>
    <w:docVar w:name="LW_EMISSION" w:val="12.3.2019"/>
    <w:docVar w:name="LW_EMISSION_ISODATE" w:val="2019-03-12"/>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76"/>
    <w:docVar w:name="LW_REF.II.NEW.CP_YEAR" w:val="2019"/>
    <w:docVar w:name="LW_REF.INST.NEW" w:val="COM"/>
    <w:docVar w:name="LW_REF.INST.NEW_ADOPTED" w:val="final"/>
    <w:docVar w:name="LW_REF.INST.NEW_TEXT" w:val="(2019)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încheierea unui acord de parteneriat în domeniul pescuitului sustenabil între Uniunea European\u259? \u537?i Republica Gambia \u537?i a protocolului de punere în aplicare a acestuia"/>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0"/>
    </w:pPr>
    <w:rPr>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582">
      <w:bodyDiv w:val="1"/>
      <w:marLeft w:val="0"/>
      <w:marRight w:val="0"/>
      <w:marTop w:val="0"/>
      <w:marBottom w:val="0"/>
      <w:divBdr>
        <w:top w:val="none" w:sz="0" w:space="0" w:color="auto"/>
        <w:left w:val="none" w:sz="0" w:space="0" w:color="auto"/>
        <w:bottom w:val="none" w:sz="0" w:space="0" w:color="auto"/>
        <w:right w:val="none" w:sz="0" w:space="0" w:color="auto"/>
      </w:divBdr>
    </w:div>
    <w:div w:id="472526516">
      <w:bodyDiv w:val="1"/>
      <w:marLeft w:val="0"/>
      <w:marRight w:val="0"/>
      <w:marTop w:val="0"/>
      <w:marBottom w:val="0"/>
      <w:divBdr>
        <w:top w:val="none" w:sz="0" w:space="0" w:color="auto"/>
        <w:left w:val="none" w:sz="0" w:space="0" w:color="auto"/>
        <w:bottom w:val="none" w:sz="0" w:space="0" w:color="auto"/>
        <w:right w:val="none" w:sz="0" w:space="0" w:color="auto"/>
      </w:divBdr>
    </w:div>
    <w:div w:id="586234201">
      <w:bodyDiv w:val="1"/>
      <w:marLeft w:val="0"/>
      <w:marRight w:val="0"/>
      <w:marTop w:val="0"/>
      <w:marBottom w:val="0"/>
      <w:divBdr>
        <w:top w:val="none" w:sz="0" w:space="0" w:color="auto"/>
        <w:left w:val="none" w:sz="0" w:space="0" w:color="auto"/>
        <w:bottom w:val="none" w:sz="0" w:space="0" w:color="auto"/>
        <w:right w:val="none" w:sz="0" w:space="0" w:color="auto"/>
      </w:divBdr>
    </w:div>
    <w:div w:id="703603524">
      <w:bodyDiv w:val="1"/>
      <w:marLeft w:val="0"/>
      <w:marRight w:val="0"/>
      <w:marTop w:val="0"/>
      <w:marBottom w:val="0"/>
      <w:divBdr>
        <w:top w:val="none" w:sz="0" w:space="0" w:color="auto"/>
        <w:left w:val="none" w:sz="0" w:space="0" w:color="auto"/>
        <w:bottom w:val="none" w:sz="0" w:space="0" w:color="auto"/>
        <w:right w:val="none" w:sz="0" w:space="0" w:color="auto"/>
      </w:divBdr>
    </w:div>
    <w:div w:id="1091707584">
      <w:bodyDiv w:val="1"/>
      <w:marLeft w:val="0"/>
      <w:marRight w:val="0"/>
      <w:marTop w:val="0"/>
      <w:marBottom w:val="0"/>
      <w:divBdr>
        <w:top w:val="none" w:sz="0" w:space="0" w:color="auto"/>
        <w:left w:val="none" w:sz="0" w:space="0" w:color="auto"/>
        <w:bottom w:val="none" w:sz="0" w:space="0" w:color="auto"/>
        <w:right w:val="none" w:sz="0" w:space="0" w:color="auto"/>
      </w:divBdr>
    </w:div>
    <w:div w:id="1780486511">
      <w:bodyDiv w:val="1"/>
      <w:marLeft w:val="0"/>
      <w:marRight w:val="0"/>
      <w:marTop w:val="0"/>
      <w:marBottom w:val="0"/>
      <w:divBdr>
        <w:top w:val="none" w:sz="0" w:space="0" w:color="auto"/>
        <w:left w:val="none" w:sz="0" w:space="0" w:color="auto"/>
        <w:bottom w:val="none" w:sz="0" w:space="0" w:color="auto"/>
        <w:right w:val="none" w:sz="0" w:space="0" w:color="auto"/>
      </w:divBdr>
    </w:div>
    <w:div w:id="199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1085</Words>
  <Characters>6515</Characters>
  <Application>Microsoft Office Word</Application>
  <DocSecurity>0</DocSecurity>
  <Lines>122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2018-12-06T14:17:00Z</cp:lastPrinted>
  <dcterms:created xsi:type="dcterms:W3CDTF">2019-02-21T14:38:00Z</dcterms:created>
  <dcterms:modified xsi:type="dcterms:W3CDTF">2019-03-05T12:32:00Z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