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CE" w:rsidRDefault="00757A5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4DAAC5C-821D-4070-91B8-AFD469F9652E" style="width:450.75pt;height:307.5pt">
            <v:imagedata r:id="rId8" o:title=""/>
          </v:shape>
        </w:pict>
      </w:r>
    </w:p>
    <w:bookmarkEnd w:id="0"/>
    <w:p w:rsidR="00277CCE" w:rsidRDefault="00277CCE">
      <w:pPr>
        <w:rPr>
          <w:noProof/>
        </w:rPr>
        <w:sectPr w:rsidR="00277CC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277CCE" w:rsidRDefault="00757A58">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WSTĘP</w:t>
      </w:r>
    </w:p>
    <w:p w:rsidR="00277CCE" w:rsidRDefault="00277CCE">
      <w:pPr>
        <w:jc w:val="both"/>
        <w:rPr>
          <w:rFonts w:ascii="Times New Roman" w:hAnsi="Times New Roman"/>
          <w:b/>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 xml:space="preserve">W ciągu ostatnich czterech lat UE podejmowała bezprecedensowe działania, aby stawić czoła wyzwaniu, jakim jest migracja, dzięki czemu </w:t>
      </w:r>
      <w:r>
        <w:rPr>
          <w:rFonts w:ascii="Times New Roman" w:hAnsi="Times New Roman"/>
          <w:noProof/>
          <w:color w:val="000000"/>
          <w:sz w:val="24"/>
        </w:rPr>
        <w:t>liczba nieuregulowanych przyjazdów spadła do najniższego poziomu od 5 lat. UE zaoferowała milionom osób ochronę i wsparcie, ratując życie na morzu oraz zapewniając lepsze warunki życia i źródła utrzymania. Zapewniała państwom członkowskim wsparcie na grani</w:t>
      </w:r>
      <w:r>
        <w:rPr>
          <w:rFonts w:ascii="Times New Roman" w:hAnsi="Times New Roman"/>
          <w:noProof/>
          <w:color w:val="000000"/>
          <w:sz w:val="24"/>
        </w:rPr>
        <w:t>cach zewnętrznych przy przyjmowaniu dużej liczby migrantów oraz finansowała wiele projektów na całym swoim terytorium, aby wspierać integrację uchodźców i innych obywateli państw trzecich, którzy legalnie przebywają na terytorium UE.</w:t>
      </w:r>
      <w:r>
        <w:rPr>
          <w:rFonts w:ascii="Times New Roman" w:hAnsi="Times New Roman"/>
          <w:noProof/>
          <w:sz w:val="24"/>
        </w:rPr>
        <w:t xml:space="preserve"> Przyczyniła się do zap</w:t>
      </w:r>
      <w:r>
        <w:rPr>
          <w:rFonts w:ascii="Times New Roman" w:hAnsi="Times New Roman"/>
          <w:noProof/>
          <w:sz w:val="24"/>
        </w:rPr>
        <w:t>obiegania nielegalnej migracji, w tym poprzez zwalczanie sieci przemytniczych, a także zwalczanie handlu ludźmi. Współpracowała z partnerami z całego świata, by eliminować przyczyny i promować właściwe zarządzanie migracjami, w tym readmisją migrantów prze</w:t>
      </w:r>
      <w:r>
        <w:rPr>
          <w:rFonts w:ascii="Times New Roman" w:hAnsi="Times New Roman"/>
          <w:noProof/>
          <w:sz w:val="24"/>
        </w:rPr>
        <w:t>bywających nielegalnie na terenie UE.</w:t>
      </w:r>
      <w:r>
        <w:rPr>
          <w:rFonts w:ascii="Times New Roman" w:hAnsi="Times New Roman"/>
          <w:noProof/>
          <w:color w:val="000000"/>
          <w:sz w:val="24"/>
        </w:rPr>
        <w:t xml:space="preserve"> Prowadziła prace nad opracowaniem legalnych dróg migracji jako alternatywy dla niebezpiecznych dróg szlakami przemytu. W tym względzie, jako część kompleksowego podejścia, udało się zrealizować wszystkie założenia Euro</w:t>
      </w:r>
      <w:r>
        <w:rPr>
          <w:rFonts w:ascii="Times New Roman" w:hAnsi="Times New Roman"/>
          <w:noProof/>
          <w:color w:val="000000"/>
          <w:sz w:val="24"/>
        </w:rPr>
        <w:t>pejskiego programu w zakresie migracji</w:t>
      </w:r>
      <w:r>
        <w:rPr>
          <w:rStyle w:val="FootnoteReference"/>
          <w:rFonts w:ascii="Times New Roman" w:hAnsi="Times New Roman"/>
          <w:noProof/>
          <w:color w:val="000000"/>
          <w:sz w:val="24"/>
        </w:rPr>
        <w:footnoteReference w:id="2"/>
      </w:r>
      <w:r>
        <w:rPr>
          <w:rFonts w:ascii="Times New Roman" w:hAnsi="Times New Roman"/>
          <w:noProof/>
          <w:color w:val="000000"/>
          <w:sz w:val="24"/>
        </w:rPr>
        <w:t xml:space="preserve"> z 2015 r.</w:t>
      </w:r>
    </w:p>
    <w:p w:rsidR="00277CCE" w:rsidRDefault="00277CCE">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277CCE">
        <w:tc>
          <w:tcPr>
            <w:tcW w:w="9286" w:type="dxa"/>
          </w:tcPr>
          <w:p w:rsidR="00277CCE" w:rsidRDefault="00757A58">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Kluczowe postępy w realizacji Europejskiego programu w zakresie migracji</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W 2018 r. na granicach zewnętrznych UE wykryto 150 000 nieuregulowanych przyjazdów, co oznacza spadek o 25 % w porównaniu z 2017 r. Był to najniższa liczba nieuregulowanych przyjazdów w ciągu ostatnich pięciu lat – niższa o ponad 90 % od liczby nieuregulow</w:t>
            </w:r>
            <w:r>
              <w:rPr>
                <w:rFonts w:ascii="Times New Roman" w:hAnsi="Times New Roman"/>
                <w:noProof/>
                <w:color w:val="000000"/>
                <w:sz w:val="24"/>
              </w:rPr>
              <w:t xml:space="preserve">anych przyjazdów w szczytowym okresie kryzysu migracyjnego, tj. w 2015 r. </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Od 2015 r. UE uczestniczyła prawie w 730 000 działań ratunkowych morzu.</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Z programów finansowanych z unijnego kryzysowego funduszu powierniczego na rzecz stabilności oraz eliminowani</w:t>
            </w:r>
            <w:r>
              <w:rPr>
                <w:rFonts w:ascii="Times New Roman" w:hAnsi="Times New Roman"/>
                <w:noProof/>
                <w:color w:val="000000"/>
                <w:sz w:val="24"/>
              </w:rPr>
              <w:t>a przyczyn migracji nieuregulowanej i wysiedleń w Afryce</w:t>
            </w:r>
            <w:r>
              <w:rPr>
                <w:rStyle w:val="FootnoteReference"/>
                <w:rFonts w:ascii="Times New Roman" w:hAnsi="Times New Roman"/>
                <w:noProof/>
                <w:color w:val="000000"/>
                <w:sz w:val="24"/>
              </w:rPr>
              <w:footnoteReference w:id="3"/>
            </w:r>
            <w:r>
              <w:rPr>
                <w:rFonts w:ascii="Times New Roman" w:hAnsi="Times New Roman"/>
                <w:noProof/>
                <w:color w:val="000000"/>
                <w:sz w:val="24"/>
              </w:rPr>
              <w:t xml:space="preserve"> skorzystały miliony osób ubiegających się o azyl, uchodźców i wysiedleńców – ponad 5,3 miliona osób wymagających szczególnego traktowania otrzymało podstawowe wsparcie, prawie milion osób objęto kam</w:t>
            </w:r>
            <w:r>
              <w:rPr>
                <w:rFonts w:ascii="Times New Roman" w:hAnsi="Times New Roman"/>
                <w:noProof/>
                <w:color w:val="000000"/>
                <w:sz w:val="24"/>
              </w:rPr>
              <w:t>paniami informacyjnymi, a ponad 60 000 osób uzyskało pomoc w reintegracji po powrocie.</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 xml:space="preserve">Od powstania w 2017 r. kryzysowy fundusz powierniczy na rzecz stabilności oraz eliminowania przyczyn migracji nieuregulowanej i wysiedleń w Afryce miał również kluczowe </w:t>
            </w:r>
            <w:r>
              <w:rPr>
                <w:rFonts w:ascii="Times New Roman" w:hAnsi="Times New Roman"/>
                <w:noProof/>
                <w:sz w:val="24"/>
              </w:rPr>
              <w:t xml:space="preserve">znaczenie w kontekście wspomaganych dobrowolnych powrotów ponad 37 000 migrantów wymagających szczególnego traktowania z Libii do ich krajów pochodzenia. </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Działania były ukierunkowane na zwalczanie sieci przemytu nielegalnych imigrantów: tylko w 2018 r. Eu</w:t>
            </w:r>
            <w:r>
              <w:rPr>
                <w:rFonts w:ascii="Times New Roman" w:hAnsi="Times New Roman"/>
                <w:noProof/>
                <w:color w:val="000000"/>
                <w:sz w:val="24"/>
              </w:rPr>
              <w:t>ropejskie Centrum Zwalczania Przemytu Migrantów odegrało kluczową rolę w ponad stu priorytetowych sprawach dotyczących przemytu. Wspólne zespoły dochodzeniowo-śledcze zwalczają przemyt w takich państwach jak Niger.</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34 710 osób potrzebujących ochrony między</w:t>
            </w:r>
            <w:r>
              <w:rPr>
                <w:rFonts w:ascii="Times New Roman" w:hAnsi="Times New Roman"/>
                <w:noProof/>
                <w:color w:val="000000"/>
                <w:sz w:val="24"/>
              </w:rPr>
              <w:t>narodowej zostało przesiedlonych z Włoch i Grecji.</w:t>
            </w:r>
            <w:r>
              <w:rPr>
                <w:rFonts w:ascii="Times New Roman" w:hAnsi="Times New Roman"/>
                <w:noProof/>
                <w:color w:val="000000"/>
                <w:sz w:val="24"/>
                <w:highlight w:val="yellow"/>
              </w:rPr>
              <w:t xml:space="preserve"> </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Od 2015 r. do UE przesiedlono ponad 50 000 osób potrzebujących ochrony </w:t>
            </w:r>
            <w:r>
              <w:rPr>
                <w:rFonts w:ascii="Times New Roman" w:hAnsi="Times New Roman"/>
                <w:noProof/>
                <w:color w:val="000000"/>
                <w:sz w:val="24"/>
              </w:rPr>
              <w:lastRenderedPageBreak/>
              <w:t>międzynarodowej.</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W ramach Funduszu Azylu, Migracji i Integracji w latach 2015–2017 przekazano ponad 140 mln EUR na wsparcie działań n</w:t>
            </w:r>
            <w:r>
              <w:rPr>
                <w:rFonts w:ascii="Times New Roman" w:hAnsi="Times New Roman"/>
                <w:noProof/>
                <w:color w:val="000000"/>
                <w:sz w:val="24"/>
              </w:rPr>
              <w:t>a rzecz integracji i legalnej migracji</w:t>
            </w:r>
            <w:r>
              <w:rPr>
                <w:rStyle w:val="FootnoteReference"/>
                <w:rFonts w:ascii="Times New Roman" w:hAnsi="Times New Roman"/>
                <w:noProof/>
                <w:color w:val="000000"/>
                <w:sz w:val="24"/>
              </w:rPr>
              <w:footnoteReference w:id="4"/>
            </w:r>
            <w:r>
              <w:rPr>
                <w:rFonts w:ascii="Times New Roman" w:hAnsi="Times New Roman"/>
                <w:noProof/>
                <w:color w:val="000000"/>
                <w:sz w:val="24"/>
              </w:rPr>
              <w:t>.</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 xml:space="preserve">Formalne umowy o readmisji lub praktyczne porozumienia w sprawie powrotów i readmisji zawarto na chwilę obecną z 23 krajami pochodzenia i tranzytu. </w:t>
            </w:r>
          </w:p>
          <w:p w:rsidR="00277CCE" w:rsidRDefault="00757A58">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rPr>
              <w:t>Jednocześnie ponad 80 % pomocy humanitarnej UE w 2018 r. przeznacz</w:t>
            </w:r>
            <w:r>
              <w:rPr>
                <w:rFonts w:ascii="Times New Roman" w:hAnsi="Times New Roman"/>
                <w:noProof/>
                <w:color w:val="000000"/>
                <w:sz w:val="24"/>
              </w:rPr>
              <w:t>ono na zaspokojenie potrzeb wysiedleńców</w:t>
            </w:r>
            <w:r>
              <w:rPr>
                <w:rStyle w:val="FootnoteReference"/>
                <w:rFonts w:ascii="Times New Roman" w:hAnsi="Times New Roman"/>
                <w:noProof/>
                <w:color w:val="000000"/>
                <w:sz w:val="24"/>
              </w:rPr>
              <w:footnoteReference w:id="5"/>
            </w:r>
            <w:r>
              <w:rPr>
                <w:noProof/>
              </w:rPr>
              <w:t>.</w:t>
            </w:r>
            <w:r>
              <w:rPr>
                <w:rFonts w:ascii="Times New Roman" w:hAnsi="Times New Roman"/>
                <w:noProof/>
                <w:color w:val="000000"/>
                <w:sz w:val="24"/>
              </w:rPr>
              <w:t xml:space="preserve"> </w:t>
            </w:r>
          </w:p>
        </w:tc>
      </w:tr>
    </w:tbl>
    <w:p w:rsidR="00277CCE" w:rsidRDefault="00757A58">
      <w:pPr>
        <w:tabs>
          <w:tab w:val="left" w:pos="1985"/>
        </w:tabs>
        <w:spacing w:before="120"/>
        <w:jc w:val="both"/>
        <w:rPr>
          <w:rFonts w:ascii="Times New Roman" w:hAnsi="Times New Roman"/>
          <w:noProof/>
          <w:color w:val="000000"/>
          <w:sz w:val="24"/>
          <w:szCs w:val="24"/>
        </w:rPr>
      </w:pPr>
      <w:r>
        <w:rPr>
          <w:rFonts w:ascii="Times New Roman" w:hAnsi="Times New Roman"/>
          <w:noProof/>
          <w:color w:val="000000"/>
          <w:sz w:val="24"/>
        </w:rPr>
        <w:lastRenderedPageBreak/>
        <w:t>Działania te należy kontynuować. Fakt, że zmalała liczba osób o nieuregulowanym statusie przybywających do UE, nie stanowi gwarancji na przyszłość, biorąc pod uwagę prawdopodobieństwo kontynuacji presji migracyjnej. Zwalczanie podstawowych przyczyn nielega</w:t>
      </w:r>
      <w:r>
        <w:rPr>
          <w:rFonts w:ascii="Times New Roman" w:hAnsi="Times New Roman"/>
          <w:noProof/>
          <w:color w:val="000000"/>
          <w:sz w:val="24"/>
        </w:rPr>
        <w:t>lnej migracji to bez wątpienia projekt długoterminowy, natomiast niedawny wzrost liczby osób nieuregulowanym statusie przybywających do zachodniej części regionu śródziemnomorskiego pokazuje, że sytuacja jest w dalszym ciągu nieustabilizowana i przemytnicy</w:t>
      </w:r>
      <w:r>
        <w:rPr>
          <w:rFonts w:ascii="Times New Roman" w:hAnsi="Times New Roman"/>
          <w:noProof/>
          <w:color w:val="000000"/>
          <w:sz w:val="24"/>
        </w:rPr>
        <w:t xml:space="preserve"> wciąż poszukują nowych możliwości. Najważniejsze problemy pozostają nierozwiązane: musimy opracować system azylowy, który będzie nadawał się do realizacji zamierzonych celów oraz zapewni solidarność i ograniczy wtórne przepływy; musimy doprowadzić do więk</w:t>
      </w:r>
      <w:r>
        <w:rPr>
          <w:rFonts w:ascii="Times New Roman" w:hAnsi="Times New Roman"/>
          <w:noProof/>
          <w:color w:val="000000"/>
          <w:sz w:val="24"/>
        </w:rPr>
        <w:t>szej liczby powrotów dzięki środkom wprowadzonym zarówno w państwach członkowskich, jak i w państwach trzecich; musimy być lepiej przygotowani na granicach zewnętrznych; zwalczać nowe strategie przemytników i nadal usprawniać bezpieczne i legalne kanały do</w:t>
      </w:r>
      <w:r>
        <w:rPr>
          <w:rFonts w:ascii="Times New Roman" w:hAnsi="Times New Roman"/>
          <w:noProof/>
          <w:color w:val="000000"/>
          <w:sz w:val="24"/>
        </w:rPr>
        <w:t>stępu dla osób potrzebujących ochrony międzynarodowej i legalnych migrantów. Zarządzanie migracjami wymaga zrównoważonych, długotrwałych i zjednoczonych wysiłków ze strony UE, opartych na zasadach solidarności i wspólnej odpowiedzialności. Zasadnicze znacz</w:t>
      </w:r>
      <w:r>
        <w:rPr>
          <w:rFonts w:ascii="Times New Roman" w:hAnsi="Times New Roman"/>
          <w:noProof/>
          <w:color w:val="000000"/>
          <w:sz w:val="24"/>
        </w:rPr>
        <w:t xml:space="preserve">enie ma utrzymanie tendencji odchodzenia od rozwiązań </w:t>
      </w:r>
      <w:r>
        <w:rPr>
          <w:rFonts w:ascii="Times New Roman" w:hAnsi="Times New Roman"/>
          <w:i/>
          <w:noProof/>
          <w:color w:val="000000"/>
          <w:sz w:val="24"/>
        </w:rPr>
        <w:t>ad hoc</w:t>
      </w:r>
      <w:r>
        <w:rPr>
          <w:rFonts w:ascii="Times New Roman" w:hAnsi="Times New Roman"/>
          <w:noProof/>
          <w:color w:val="000000"/>
          <w:sz w:val="24"/>
        </w:rPr>
        <w:t xml:space="preserve"> na rzecz zrównoważonych struktur oraz skutecznych ram prawnych dostosowanych do przyszłych wyzwań. Cele te można osiągnąć w oparciu o cztery lata wspólnej pracy</w:t>
      </w:r>
      <w:r>
        <w:rPr>
          <w:rStyle w:val="FootnoteReference"/>
          <w:rFonts w:ascii="Times New Roman" w:hAnsi="Times New Roman"/>
          <w:noProof/>
          <w:color w:val="000000"/>
          <w:sz w:val="24"/>
        </w:rPr>
        <w:footnoteReference w:id="6"/>
      </w:r>
      <w:r>
        <w:rPr>
          <w:rFonts w:ascii="Times New Roman" w:hAnsi="Times New Roman"/>
          <w:noProof/>
          <w:color w:val="000000"/>
          <w:sz w:val="24"/>
        </w:rPr>
        <w:t>.</w:t>
      </w:r>
    </w:p>
    <w:p w:rsidR="00277CCE" w:rsidRDefault="00277CCE">
      <w:pPr>
        <w:jc w:val="both"/>
        <w:rPr>
          <w:rFonts w:ascii="Times New Roman" w:hAnsi="Times New Roman"/>
          <w:noProof/>
          <w:color w:val="000000"/>
          <w:sz w:val="24"/>
          <w:szCs w:val="24"/>
        </w:rPr>
      </w:pPr>
    </w:p>
    <w:p w:rsidR="00277CCE" w:rsidRDefault="00757A58">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Gdy UE i państwa członkowskie d</w:t>
      </w:r>
      <w:r>
        <w:rPr>
          <w:rFonts w:ascii="Times New Roman" w:hAnsi="Times New Roman"/>
          <w:noProof/>
          <w:color w:val="000000"/>
          <w:sz w:val="24"/>
        </w:rPr>
        <w:t>ziałały jednomyślnie, zacieśnianie współpracy z najważniejszymi państwami partnerskimi, takimi jak Turcja czy Niger, prowadziło do znacznego zmniejszenia liczby przybywających osób o nieuregulowanym statusie. Wspólne działanie przyniosło efekty pod względe</w:t>
      </w:r>
      <w:r>
        <w:rPr>
          <w:rFonts w:ascii="Times New Roman" w:hAnsi="Times New Roman"/>
          <w:noProof/>
          <w:color w:val="000000"/>
          <w:sz w:val="24"/>
        </w:rPr>
        <w:t xml:space="preserve">m zwalczania przemytu migrantów i wyszukania alternatywnych legalnych dróg migracji oraz doprowadziło do zawarcia sześciu nowych porozumień o readmisji z najważniejszymi krajami pochodzenia. Współpraca z Afryką i Unią Afrykańską osiągnęła nowy poziom. </w:t>
      </w:r>
    </w:p>
    <w:p w:rsidR="00277CCE" w:rsidRDefault="00277CCE">
      <w:pPr>
        <w:pStyle w:val="ListParagraph"/>
        <w:ind w:left="0"/>
        <w:jc w:val="both"/>
        <w:rPr>
          <w:rFonts w:ascii="Times New Roman" w:hAnsi="Times New Roman"/>
          <w:noProof/>
          <w:color w:val="000000"/>
          <w:sz w:val="24"/>
          <w:szCs w:val="24"/>
        </w:rPr>
      </w:pPr>
    </w:p>
    <w:p w:rsidR="00277CCE" w:rsidRDefault="00757A58">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Ws</w:t>
      </w:r>
      <w:r>
        <w:rPr>
          <w:rFonts w:ascii="Times New Roman" w:hAnsi="Times New Roman"/>
          <w:noProof/>
          <w:color w:val="000000"/>
          <w:sz w:val="24"/>
        </w:rPr>
        <w:t>zystkie te inicjatywy już teraz przynoszą efekty oraz mogą zapewniać ich jeszcze więcej w przyszłości. Zasadnicze znaczenie ma zastosowanie kompleksowego podejścia przedstawionego w czterech filarach Europejskiego programu w zakresie migracji oraz wdrożeni</w:t>
      </w:r>
      <w:r>
        <w:rPr>
          <w:rFonts w:ascii="Times New Roman" w:hAnsi="Times New Roman"/>
          <w:noProof/>
          <w:color w:val="000000"/>
          <w:sz w:val="24"/>
        </w:rPr>
        <w:t>e trwałych ram tego podejścia.</w:t>
      </w:r>
    </w:p>
    <w:p w:rsidR="00277CCE" w:rsidRDefault="00277CCE">
      <w:pPr>
        <w:pStyle w:val="ListParagraph"/>
        <w:ind w:left="0"/>
        <w:jc w:val="both"/>
        <w:rPr>
          <w:rFonts w:ascii="Times New Roman" w:hAnsi="Times New Roman"/>
          <w:noProof/>
          <w:color w:val="000000"/>
          <w:sz w:val="24"/>
          <w:szCs w:val="24"/>
        </w:rPr>
      </w:pPr>
    </w:p>
    <w:p w:rsidR="00277CCE" w:rsidRDefault="00277CCE">
      <w:pPr>
        <w:pStyle w:val="ListParagraph"/>
        <w:ind w:left="0"/>
        <w:jc w:val="both"/>
        <w:rPr>
          <w:rFonts w:ascii="Times New Roman" w:hAnsi="Times New Roman"/>
          <w:noProof/>
          <w:color w:val="000000"/>
          <w:sz w:val="24"/>
          <w:szCs w:val="24"/>
        </w:rPr>
      </w:pPr>
    </w:p>
    <w:p w:rsidR="00277CCE" w:rsidRDefault="00757A58">
      <w:pPr>
        <w:pStyle w:val="ListParagraph"/>
        <w:numPr>
          <w:ilvl w:val="0"/>
          <w:numId w:val="2"/>
        </w:numPr>
        <w:jc w:val="both"/>
        <w:rPr>
          <w:rFonts w:ascii="Times New Roman" w:hAnsi="Times New Roman"/>
          <w:b/>
          <w:noProof/>
          <w:sz w:val="24"/>
          <w:szCs w:val="24"/>
        </w:rPr>
      </w:pPr>
      <w:r>
        <w:rPr>
          <w:rFonts w:ascii="Times New Roman" w:hAnsi="Times New Roman"/>
          <w:b/>
          <w:noProof/>
          <w:sz w:val="24"/>
        </w:rPr>
        <w:t>AKTUALNA SYTUACJA</w:t>
      </w:r>
    </w:p>
    <w:p w:rsidR="00277CCE" w:rsidRDefault="00277CCE">
      <w:pPr>
        <w:jc w:val="both"/>
        <w:rPr>
          <w:rFonts w:ascii="Times New Roman" w:hAnsi="Times New Roman"/>
          <w:i/>
          <w:noProof/>
          <w:sz w:val="24"/>
          <w:szCs w:val="24"/>
        </w:rPr>
      </w:pPr>
    </w:p>
    <w:p w:rsidR="00277CCE" w:rsidRDefault="00757A58">
      <w:pPr>
        <w:keepNext/>
        <w:spacing w:after="120"/>
        <w:jc w:val="both"/>
        <w:rPr>
          <w:rFonts w:ascii="Times New Roman" w:hAnsi="Times New Roman"/>
          <w:i/>
          <w:noProof/>
          <w:sz w:val="24"/>
          <w:szCs w:val="24"/>
        </w:rPr>
      </w:pPr>
      <w:r>
        <w:rPr>
          <w:rFonts w:ascii="Times New Roman" w:hAnsi="Times New Roman"/>
          <w:i/>
          <w:noProof/>
          <w:sz w:val="24"/>
        </w:rPr>
        <w:t>Przybywające osoby o nieuregulowanym statusie</w:t>
      </w:r>
    </w:p>
    <w:p w:rsidR="00277CCE" w:rsidRDefault="00757A58">
      <w:pPr>
        <w:spacing w:after="120"/>
        <w:jc w:val="both"/>
        <w:rPr>
          <w:rFonts w:ascii="Times New Roman" w:hAnsi="Times New Roman"/>
          <w:noProof/>
          <w:sz w:val="24"/>
          <w:szCs w:val="24"/>
        </w:rPr>
      </w:pPr>
      <w:r>
        <w:rPr>
          <w:rFonts w:ascii="Times New Roman" w:hAnsi="Times New Roman"/>
          <w:noProof/>
          <w:sz w:val="24"/>
        </w:rPr>
        <w:t>Aktualna sytuacja wskazuje na stały i znaczny spadek w porównaniu z 2015 r., kiedy liczba przybywających osób o nieuregulowanym statusie była największa</w:t>
      </w:r>
      <w:r>
        <w:rPr>
          <w:rStyle w:val="FootnoteReference"/>
          <w:rFonts w:ascii="Times New Roman" w:hAnsi="Times New Roman"/>
          <w:noProof/>
          <w:sz w:val="24"/>
        </w:rPr>
        <w:footnoteReference w:id="7"/>
      </w:r>
      <w:r>
        <w:rPr>
          <w:rFonts w:ascii="Times New Roman" w:hAnsi="Times New Roman"/>
          <w:noProof/>
          <w:sz w:val="24"/>
        </w:rPr>
        <w:t xml:space="preserve">. Niektóre tendencje wciąż jednak utrzymywały się w 2018 r. i na początku 2019 r., co wskazuje na potrzebę podjęcia zrównoważonych działań oraz zdolności reagowania na zmieniające się okoliczności. </w:t>
      </w:r>
    </w:p>
    <w:p w:rsidR="00277CCE" w:rsidRDefault="00757A58">
      <w:pPr>
        <w:spacing w:after="200" w:line="276" w:lineRule="auto"/>
        <w:rPr>
          <w:rFonts w:ascii="Times New Roman" w:hAnsi="Times New Roman"/>
          <w:i/>
          <w:noProof/>
          <w:sz w:val="24"/>
          <w:szCs w:val="24"/>
        </w:rPr>
      </w:pPr>
      <w:r>
        <w:rPr>
          <w:noProof/>
        </w:rPr>
        <w:br w:type="page"/>
      </w:r>
    </w:p>
    <w:p w:rsidR="00277CCE" w:rsidRDefault="00277CCE">
      <w:pPr>
        <w:jc w:val="center"/>
        <w:rPr>
          <w:rFonts w:ascii="Times New Roman" w:hAnsi="Times New Roman"/>
          <w:i/>
          <w:noProof/>
          <w:sz w:val="24"/>
          <w:szCs w:val="24"/>
        </w:rPr>
      </w:pPr>
    </w:p>
    <w:p w:rsidR="00277CCE" w:rsidRDefault="00757A58">
      <w:pPr>
        <w:spacing w:after="360"/>
        <w:jc w:val="center"/>
        <w:rPr>
          <w:rFonts w:ascii="Times New Roman" w:hAnsi="Times New Roman"/>
          <w:i/>
          <w:noProof/>
          <w:sz w:val="24"/>
          <w:szCs w:val="24"/>
        </w:rPr>
      </w:pPr>
      <w:r>
        <w:rPr>
          <w:rFonts w:ascii="Times New Roman" w:hAnsi="Times New Roman"/>
          <w:i/>
          <w:noProof/>
          <w:sz w:val="24"/>
        </w:rPr>
        <w:t>Liczba przypadków niedozwolonego przekroczenia granicy</w:t>
      </w:r>
      <w:r>
        <w:rPr>
          <w:rFonts w:ascii="Times New Roman" w:hAnsi="Times New Roman"/>
          <w:i/>
          <w:noProof/>
          <w:sz w:val="24"/>
        </w:rPr>
        <w:t xml:space="preserve"> na trzech głównych szlakach</w:t>
      </w:r>
    </w:p>
    <w:p w:rsidR="00277CCE" w:rsidRDefault="00757A58">
      <w:pPr>
        <w:jc w:val="both"/>
        <w:rPr>
          <w:rFonts w:ascii="Times New Roman" w:hAnsi="Times New Roman"/>
          <w:noProof/>
          <w:sz w:val="24"/>
          <w:szCs w:val="24"/>
        </w:rPr>
      </w:pPr>
      <w:r>
        <w:rPr>
          <w:noProof/>
          <w:lang w:val="en-GB" w:eastAsia="en-GB" w:bidi="ar-SA"/>
        </w:rPr>
        <w:drawing>
          <wp:inline distT="0" distB="0" distL="0" distR="0">
            <wp:extent cx="5759450" cy="3184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184772"/>
                    </a:xfrm>
                    <a:prstGeom prst="rect">
                      <a:avLst/>
                    </a:prstGeom>
                    <a:noFill/>
                    <a:ln>
                      <a:noFill/>
                    </a:ln>
                  </pic:spPr>
                </pic:pic>
              </a:graphicData>
            </a:graphic>
          </wp:inline>
        </w:drawing>
      </w:r>
    </w:p>
    <w:p w:rsidR="00277CCE" w:rsidRDefault="00277CCE">
      <w:pPr>
        <w:spacing w:after="120"/>
        <w:jc w:val="both"/>
        <w:rPr>
          <w:rFonts w:ascii="Times New Roman" w:hAnsi="Times New Roman"/>
          <w:noProof/>
          <w:sz w:val="24"/>
          <w:szCs w:val="24"/>
        </w:rPr>
      </w:pPr>
    </w:p>
    <w:p w:rsidR="00277CCE" w:rsidRDefault="00757A58">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rPr>
        <w:t xml:space="preserve">Na szlaku </w:t>
      </w:r>
      <w:r>
        <w:rPr>
          <w:rFonts w:ascii="Times New Roman" w:hAnsi="Times New Roman"/>
          <w:i/>
          <w:noProof/>
          <w:sz w:val="24"/>
        </w:rPr>
        <w:t>zachodniośródziemnomorskim/atlantyckim</w:t>
      </w:r>
      <w:r>
        <w:rPr>
          <w:rFonts w:ascii="Times New Roman" w:hAnsi="Times New Roman"/>
          <w:noProof/>
          <w:sz w:val="24"/>
        </w:rPr>
        <w:t xml:space="preserve"> liczba przybywających osób o nieuregulowanym statusie wzrosła w ubiegłym roku i utrzymuje się na wysokim poziomie. W 2018 r. łączna liczba osób przybywających do Hiszpanii (prawie 65 000 osób) była o 131 % większa w porównaniu z 2017 r. Tendencja ta utrzy</w:t>
      </w:r>
      <w:r>
        <w:rPr>
          <w:rFonts w:ascii="Times New Roman" w:hAnsi="Times New Roman"/>
          <w:noProof/>
          <w:sz w:val="24"/>
        </w:rPr>
        <w:t>mała się do 2019 r.</w:t>
      </w:r>
      <w:r>
        <w:rPr>
          <w:rStyle w:val="FootnoteReference"/>
          <w:rFonts w:ascii="Times New Roman" w:hAnsi="Times New Roman"/>
          <w:noProof/>
          <w:sz w:val="24"/>
        </w:rPr>
        <w:footnoteReference w:id="8"/>
      </w:r>
      <w:r>
        <w:rPr>
          <w:rFonts w:ascii="Times New Roman" w:hAnsi="Times New Roman"/>
          <w:noProof/>
          <w:sz w:val="24"/>
        </w:rPr>
        <w:t xml:space="preserve"> Marokańczycy byli największą grupą, która przyjeżdżała do Hiszpanii w 2018 r. (1/5 przekroczeń granicy), a w dalszej kolejności byli to obywatele państw Afryki Zachodniej – Gwinei, Mali, Wybrzeża Kości Słoniowej, Gambii – a także Algie</w:t>
      </w:r>
      <w:r>
        <w:rPr>
          <w:rFonts w:ascii="Times New Roman" w:hAnsi="Times New Roman"/>
          <w:noProof/>
          <w:sz w:val="24"/>
        </w:rPr>
        <w:t>rii.</w:t>
      </w:r>
    </w:p>
    <w:p w:rsidR="00277CCE" w:rsidRDefault="00757A58">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noProof/>
          <w:sz w:val="24"/>
        </w:rPr>
        <w:t xml:space="preserve">W </w:t>
      </w:r>
      <w:r>
        <w:rPr>
          <w:rFonts w:ascii="Times New Roman" w:hAnsi="Times New Roman"/>
          <w:i/>
          <w:noProof/>
          <w:sz w:val="24"/>
        </w:rPr>
        <w:t>środkowej części basenu Morza Śródziemnego</w:t>
      </w:r>
      <w:r>
        <w:rPr>
          <w:rFonts w:ascii="Times New Roman" w:hAnsi="Times New Roman"/>
          <w:noProof/>
          <w:sz w:val="24"/>
        </w:rPr>
        <w:t xml:space="preserve"> liczba przybywających osób o nieuregulowanym statusie utrzymuje się na niskim poziomie. W przypadku Włoch w 2018 r. odnotowano spadek łącznej liczby przybywających osób o nieuregulowanym statusie o 80 % w p</w:t>
      </w:r>
      <w:r>
        <w:rPr>
          <w:rFonts w:ascii="Times New Roman" w:hAnsi="Times New Roman"/>
          <w:noProof/>
          <w:sz w:val="24"/>
        </w:rPr>
        <w:t>orównaniu z 2017 r. Tendencja ta utrzymywała się w 2019 r., kiedy to osiągnięto poziom sprzed kryzysu. Choć Libia wciąż stanowiła kraj wyjazdu w ponad połowie przypadków z 2018 r., libijska straż przybrzeżna nadal przechwytuje lub ratuje na morzu dużą licz</w:t>
      </w:r>
      <w:r>
        <w:rPr>
          <w:rFonts w:ascii="Times New Roman" w:hAnsi="Times New Roman"/>
          <w:noProof/>
          <w:sz w:val="24"/>
        </w:rPr>
        <w:t>bę osób – około 15 000 w 2018 r., przy czym wśród tych osób najliczniejszą grupę stanowiły osoby z Sudanu (14 %), Nigerii (12 %) i Erytrei (12 %)</w:t>
      </w:r>
      <w:r>
        <w:rPr>
          <w:rStyle w:val="FootnoteReference"/>
          <w:rFonts w:ascii="Times New Roman" w:hAnsi="Times New Roman"/>
          <w:noProof/>
          <w:sz w:val="24"/>
        </w:rPr>
        <w:footnoteReference w:id="9"/>
      </w:r>
      <w:r>
        <w:rPr>
          <w:rFonts w:ascii="Times New Roman" w:hAnsi="Times New Roman"/>
          <w:noProof/>
          <w:sz w:val="24"/>
        </w:rPr>
        <w:t xml:space="preserve">. Jako kraj wyjazdu do Włoch coraz większą rolę odgrywa Tunezja (przede wszystkim w przypadku Tunezyjczyków); </w:t>
      </w:r>
      <w:r>
        <w:rPr>
          <w:rFonts w:ascii="Times New Roman" w:hAnsi="Times New Roman"/>
          <w:noProof/>
          <w:sz w:val="24"/>
        </w:rPr>
        <w:t xml:space="preserve">w drugiej połowie 2018 r. również na Malcie odnotowano wzrost liczby przyjazdów. </w:t>
      </w:r>
    </w:p>
    <w:p w:rsidR="00277CCE" w:rsidRDefault="00757A58">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rPr>
        <w:t xml:space="preserve">We </w:t>
      </w:r>
      <w:r>
        <w:rPr>
          <w:rFonts w:ascii="Times New Roman" w:hAnsi="Times New Roman"/>
          <w:i/>
          <w:noProof/>
          <w:sz w:val="24"/>
        </w:rPr>
        <w:t>wschodniej części basenu Morza Śródziemnego</w:t>
      </w:r>
      <w:r>
        <w:rPr>
          <w:rFonts w:ascii="Times New Roman" w:hAnsi="Times New Roman"/>
          <w:noProof/>
          <w:sz w:val="24"/>
        </w:rPr>
        <w:t xml:space="preserve"> w ciągu całego 2018 r. liczba przybywających osób o nieuregulowanym statusie wzrastała i w 2019 r. w przypadku Grecji jest ona </w:t>
      </w:r>
      <w:r>
        <w:rPr>
          <w:rFonts w:ascii="Times New Roman" w:hAnsi="Times New Roman"/>
          <w:noProof/>
          <w:sz w:val="24"/>
        </w:rPr>
        <w:t>obecnie o ponad 30 % większa w porównaniu z rokiem ubiegłym. Tendencja ta jest przyczyną ciągłej presji na wyspy Morza Egejskiego oraz na lądową granicę grecko-turecką, ponieważ liczba powrotów do Turcji jest zdecydowanie zbyt mała, żeby złagodzić tę presj</w:t>
      </w:r>
      <w:r>
        <w:rPr>
          <w:rFonts w:ascii="Times New Roman" w:hAnsi="Times New Roman"/>
          <w:noProof/>
          <w:sz w:val="24"/>
        </w:rPr>
        <w:t>ę oraz przeciwdziałać modelowi działalności przemytników</w:t>
      </w:r>
      <w:r>
        <w:rPr>
          <w:rStyle w:val="FootnoteReference"/>
          <w:rFonts w:ascii="Times New Roman" w:hAnsi="Times New Roman"/>
          <w:noProof/>
          <w:sz w:val="24"/>
        </w:rPr>
        <w:footnoteReference w:id="10"/>
      </w:r>
      <w:r>
        <w:rPr>
          <w:rFonts w:ascii="Times New Roman" w:hAnsi="Times New Roman"/>
          <w:noProof/>
          <w:sz w:val="24"/>
        </w:rPr>
        <w:t>. Afgańczycy są największą grupą przybywającą na wyspy w 2018 r. i, jak dotąd, w 2019 r., natomiast Turcy stanowili najliczniejszą grupę przybywającą do UE przez granicę lądową. Odnotowano też wzrost</w:t>
      </w:r>
      <w:r>
        <w:rPr>
          <w:rFonts w:ascii="Times New Roman" w:hAnsi="Times New Roman"/>
          <w:noProof/>
          <w:sz w:val="24"/>
        </w:rPr>
        <w:t xml:space="preserve"> liczby osób przybywających na Cypr, w przypadku których przedostanie się na obszary Cypru kontrolowane przez rząd odbywa się zarówno drogą morską, jak i lądową.</w:t>
      </w:r>
    </w:p>
    <w:p w:rsidR="00277CCE" w:rsidRDefault="00757A58">
      <w:pPr>
        <w:jc w:val="both"/>
        <w:rPr>
          <w:rFonts w:ascii="Times New Roman" w:hAnsi="Times New Roman"/>
          <w:noProof/>
          <w:sz w:val="24"/>
          <w:szCs w:val="24"/>
        </w:rPr>
      </w:pPr>
      <w:r>
        <w:rPr>
          <w:rFonts w:ascii="Times New Roman" w:hAnsi="Times New Roman"/>
          <w:noProof/>
          <w:sz w:val="24"/>
        </w:rPr>
        <w:t xml:space="preserve">W 2018 r. znaczny wzrost liczby wtórnych przepływów odnotowano również na </w:t>
      </w:r>
      <w:r>
        <w:rPr>
          <w:rFonts w:ascii="Times New Roman" w:hAnsi="Times New Roman"/>
          <w:i/>
          <w:iCs/>
          <w:noProof/>
          <w:sz w:val="24"/>
        </w:rPr>
        <w:t>Bałkanach Zachodnich</w:t>
      </w:r>
      <w:r>
        <w:rPr>
          <w:rFonts w:ascii="Times New Roman" w:hAnsi="Times New Roman"/>
          <w:noProof/>
          <w:sz w:val="24"/>
        </w:rPr>
        <w:t>, nawet pomimo spadku, jaki miał miejsce pod koniec roku wraz z nastaniem zimy. W 2018 r. liczba przybywających osób o nieuregulowanym statusie była cztery razy większa niż w 2017 r., przy czym główny szlak przebiegał przez region obejmujący Serbię oraz Bo</w:t>
      </w:r>
      <w:r>
        <w:rPr>
          <w:rFonts w:ascii="Times New Roman" w:hAnsi="Times New Roman"/>
          <w:noProof/>
          <w:sz w:val="24"/>
        </w:rPr>
        <w:t>śnię i Hercegowinę. W przypadku Bośni i Hercegowiny w 2018 r. odnotowano około 24 000 przybywających osób o nieuregulowanym statusie, a pod koniec roku na terenie tego państwa przebywało około 5 000 migrantów. Natężenie przyjazdów tym szlakiem jednak zmala</w:t>
      </w:r>
      <w:r>
        <w:rPr>
          <w:rFonts w:ascii="Times New Roman" w:hAnsi="Times New Roman"/>
          <w:noProof/>
          <w:sz w:val="24"/>
        </w:rPr>
        <w:t>ło po zniesieniu przez Serbię w dniu 17 października 2018 r. ruchu bezwizowego dla obywateli Iranu. Obecnie w kontekście serbskiej polityki ruchu bezwizowego monitorowany jest wzrost przyjazdów obywateli Indii.</w:t>
      </w:r>
    </w:p>
    <w:p w:rsidR="00277CCE" w:rsidRDefault="00277CCE">
      <w:pPr>
        <w:jc w:val="both"/>
        <w:rPr>
          <w:rFonts w:ascii="Times New Roman" w:hAnsi="Times New Roman"/>
          <w:noProof/>
          <w:sz w:val="24"/>
          <w:szCs w:val="24"/>
        </w:rPr>
      </w:pPr>
    </w:p>
    <w:p w:rsidR="00277CCE" w:rsidRDefault="00757A58">
      <w:pPr>
        <w:jc w:val="both"/>
        <w:rPr>
          <w:rFonts w:ascii="Times New Roman" w:hAnsi="Times New Roman"/>
          <w:noProof/>
          <w:sz w:val="24"/>
          <w:szCs w:val="24"/>
        </w:rPr>
      </w:pPr>
      <w:r>
        <w:rPr>
          <w:rFonts w:ascii="Times New Roman" w:hAnsi="Times New Roman"/>
          <w:noProof/>
          <w:sz w:val="24"/>
        </w:rPr>
        <w:t>Choć dzięki staraniom UE, państw członkowski</w:t>
      </w:r>
      <w:r>
        <w:rPr>
          <w:rFonts w:ascii="Times New Roman" w:hAnsi="Times New Roman"/>
          <w:noProof/>
          <w:sz w:val="24"/>
        </w:rPr>
        <w:t>ch i innych partnerów liczba zgonów na Morzu Śródziemnym od 2016 r. stale maleje, modele działalności przemytników sprawiają, że migranci wciąż przypłacają życiem przeprawy morskie. W 2018 r. zginęło prawie 2 300 osób, w 2017 r. – ponad 3 100 osób, a w 201</w:t>
      </w:r>
      <w:r>
        <w:rPr>
          <w:rFonts w:ascii="Times New Roman" w:hAnsi="Times New Roman"/>
          <w:noProof/>
          <w:sz w:val="24"/>
        </w:rPr>
        <w:t>9 r. do tej pory 220 osób</w:t>
      </w:r>
      <w:r>
        <w:rPr>
          <w:rStyle w:val="FootnoteReference"/>
          <w:rFonts w:ascii="Times New Roman" w:hAnsi="Times New Roman"/>
          <w:noProof/>
          <w:sz w:val="24"/>
        </w:rPr>
        <w:footnoteReference w:id="11"/>
      </w:r>
      <w:r>
        <w:rPr>
          <w:noProof/>
        </w:rPr>
        <w:t>.</w:t>
      </w:r>
    </w:p>
    <w:p w:rsidR="00277CCE" w:rsidRDefault="00277CCE">
      <w:pPr>
        <w:jc w:val="both"/>
        <w:rPr>
          <w:rFonts w:ascii="Times New Roman" w:hAnsi="Times New Roman"/>
          <w:b/>
          <w:i/>
          <w:noProof/>
          <w:sz w:val="24"/>
          <w:szCs w:val="24"/>
        </w:rPr>
      </w:pPr>
    </w:p>
    <w:p w:rsidR="00277CCE" w:rsidRDefault="00757A58">
      <w:pPr>
        <w:keepNext/>
        <w:spacing w:after="120"/>
        <w:jc w:val="both"/>
        <w:rPr>
          <w:rFonts w:ascii="Times New Roman" w:hAnsi="Times New Roman"/>
          <w:i/>
          <w:noProof/>
          <w:sz w:val="24"/>
          <w:szCs w:val="24"/>
        </w:rPr>
      </w:pPr>
      <w:r>
        <w:rPr>
          <w:rFonts w:ascii="Times New Roman" w:hAnsi="Times New Roman"/>
          <w:i/>
          <w:noProof/>
          <w:sz w:val="24"/>
        </w:rPr>
        <w:t>Azyl</w:t>
      </w:r>
    </w:p>
    <w:p w:rsidR="00277CCE" w:rsidRDefault="00757A58">
      <w:pPr>
        <w:jc w:val="both"/>
        <w:rPr>
          <w:rFonts w:ascii="Times New Roman" w:hAnsi="Times New Roman"/>
          <w:noProof/>
          <w:sz w:val="24"/>
          <w:szCs w:val="24"/>
        </w:rPr>
      </w:pPr>
      <w:r>
        <w:rPr>
          <w:rFonts w:ascii="Times New Roman" w:hAnsi="Times New Roman"/>
          <w:noProof/>
          <w:sz w:val="24"/>
        </w:rPr>
        <w:t xml:space="preserve">W 2018 r. do państw członkowskich UE i państw stowarzyszonych w ramach Schengen wpłynęło około 634 700 wniosków o udzielenie ochrony międzynarodowej. Jest to liczba o 10 % mniejsza w porównaniu z 2017 r. i zbliżona do </w:t>
      </w:r>
      <w:r>
        <w:rPr>
          <w:rFonts w:ascii="Times New Roman" w:hAnsi="Times New Roman"/>
          <w:noProof/>
          <w:sz w:val="24"/>
        </w:rPr>
        <w:t>poziomu z 2014 r.</w:t>
      </w:r>
      <w:r>
        <w:rPr>
          <w:rStyle w:val="FootnoteReference"/>
          <w:rFonts w:ascii="Times New Roman" w:hAnsi="Times New Roman"/>
          <w:noProof/>
          <w:sz w:val="24"/>
        </w:rPr>
        <w:footnoteReference w:id="12"/>
      </w:r>
      <w:r>
        <w:rPr>
          <w:rFonts w:ascii="Times New Roman" w:hAnsi="Times New Roman"/>
          <w:noProof/>
          <w:sz w:val="24"/>
        </w:rPr>
        <w:t xml:space="preserve"> W 2018 r. najwięcej wniosków złożono w Niemczech, Francji, Grecji, Hiszpanii i Włoszech (72 % wszystkich wniosków, które wpłynęły do państw członkowskich UE i państw stowarzyszonych w ramach Schengen)</w:t>
      </w:r>
      <w:r>
        <w:rPr>
          <w:rStyle w:val="FootnoteReference"/>
          <w:rFonts w:ascii="Times New Roman" w:hAnsi="Times New Roman"/>
          <w:noProof/>
          <w:sz w:val="24"/>
        </w:rPr>
        <w:footnoteReference w:id="13"/>
      </w:r>
      <w:r>
        <w:rPr>
          <w:rFonts w:ascii="Times New Roman" w:hAnsi="Times New Roman"/>
          <w:noProof/>
          <w:sz w:val="24"/>
        </w:rPr>
        <w:t>. Podobnie jak w 2017 r. głównymi kr</w:t>
      </w:r>
      <w:r>
        <w:rPr>
          <w:rFonts w:ascii="Times New Roman" w:hAnsi="Times New Roman"/>
          <w:noProof/>
          <w:sz w:val="24"/>
        </w:rPr>
        <w:t>ajami pochodzenia były Syria, Afganistan i Irak. Odnotowano także znaczący wzrost wniosków składanych przez migrantów z państw, których obywatele są zwolnieni z obowiązku wizowego, zwłaszcza z Wenezueli, Gruzji i Kolumbii.</w:t>
      </w:r>
    </w:p>
    <w:p w:rsidR="00277CCE" w:rsidRDefault="00277CCE">
      <w:pPr>
        <w:jc w:val="both"/>
        <w:rPr>
          <w:rFonts w:ascii="Times New Roman" w:hAnsi="Times New Roman"/>
          <w:i/>
          <w:noProof/>
          <w:sz w:val="24"/>
          <w:szCs w:val="24"/>
        </w:rPr>
      </w:pPr>
    </w:p>
    <w:p w:rsidR="00277CCE" w:rsidRDefault="00757A58">
      <w:pPr>
        <w:jc w:val="both"/>
        <w:rPr>
          <w:rFonts w:ascii="Times New Roman" w:eastAsia="Calibri" w:hAnsi="Times New Roman"/>
          <w:noProof/>
          <w:sz w:val="24"/>
        </w:rPr>
      </w:pPr>
      <w:r>
        <w:rPr>
          <w:rFonts w:ascii="Times New Roman" w:hAnsi="Times New Roman"/>
          <w:noProof/>
          <w:sz w:val="24"/>
        </w:rPr>
        <w:t>W 2018 r. odnotowano 400 000 tra</w:t>
      </w:r>
      <w:r>
        <w:rPr>
          <w:rFonts w:ascii="Times New Roman" w:hAnsi="Times New Roman"/>
          <w:noProof/>
          <w:sz w:val="24"/>
        </w:rPr>
        <w:t>fień dotyczących odcisków palców osób, które przemieściły się na terytorium innego państwa członkowskiego, na podstawie zarejestrowanych odcisków palców przechowywanych w bazie danych Eurodac</w:t>
      </w:r>
      <w:r>
        <w:rPr>
          <w:rStyle w:val="FootnoteReference"/>
          <w:rFonts w:ascii="Times New Roman" w:hAnsi="Times New Roman"/>
          <w:noProof/>
          <w:sz w:val="24"/>
        </w:rPr>
        <w:footnoteReference w:id="14"/>
      </w:r>
      <w:r>
        <w:rPr>
          <w:rFonts w:ascii="Times New Roman" w:hAnsi="Times New Roman"/>
          <w:noProof/>
          <w:sz w:val="24"/>
        </w:rPr>
        <w:t>. Francja i Niemcy to dwa państwa członkowskie, w których odnoto</w:t>
      </w:r>
      <w:r>
        <w:rPr>
          <w:rFonts w:ascii="Times New Roman" w:hAnsi="Times New Roman"/>
          <w:noProof/>
          <w:sz w:val="24"/>
        </w:rPr>
        <w:t>wano największą liczbę tych trafień (co wskazuje, że są to główne kraje docelowe wtórnego przepływu), przy czym Włochy i Grecja były dwoma państwami członkowskimi, w których istniała największa liczba zapisów odcisków palców (co wskazuje, że są to główne p</w:t>
      </w:r>
      <w:r>
        <w:rPr>
          <w:rFonts w:ascii="Times New Roman" w:hAnsi="Times New Roman"/>
          <w:noProof/>
          <w:sz w:val="24"/>
        </w:rPr>
        <w:t>aństwa pierwszego wjazdu)</w:t>
      </w:r>
      <w:r>
        <w:rPr>
          <w:rStyle w:val="FootnoteReference"/>
          <w:rFonts w:ascii="Times New Roman" w:hAnsi="Times New Roman"/>
          <w:noProof/>
          <w:sz w:val="24"/>
        </w:rPr>
        <w:footnoteReference w:id="15"/>
      </w:r>
      <w:r>
        <w:rPr>
          <w:noProof/>
        </w:rPr>
        <w:t>.</w:t>
      </w:r>
      <w:r>
        <w:rPr>
          <w:rFonts w:ascii="Times New Roman" w:hAnsi="Times New Roman"/>
          <w:noProof/>
          <w:sz w:val="24"/>
        </w:rPr>
        <w:t> </w:t>
      </w:r>
    </w:p>
    <w:p w:rsidR="00277CCE" w:rsidRDefault="00277CCE">
      <w:pPr>
        <w:jc w:val="both"/>
        <w:rPr>
          <w:rFonts w:ascii="Times New Roman" w:eastAsia="Calibri" w:hAnsi="Times New Roman"/>
          <w:noProof/>
          <w:color w:val="1F497D" w:themeColor="text2"/>
          <w:sz w:val="24"/>
        </w:rPr>
      </w:pPr>
    </w:p>
    <w:p w:rsidR="00277CCE" w:rsidRDefault="00757A58">
      <w:pPr>
        <w:spacing w:after="200" w:line="276" w:lineRule="auto"/>
        <w:rPr>
          <w:rFonts w:ascii="Times New Roman" w:hAnsi="Times New Roman"/>
          <w:noProof/>
          <w:color w:val="1F497D" w:themeColor="text2"/>
          <w:sz w:val="24"/>
          <w:szCs w:val="24"/>
        </w:rPr>
      </w:pPr>
      <w:r>
        <w:rPr>
          <w:noProof/>
        </w:rPr>
        <w:br w:type="page"/>
      </w:r>
    </w:p>
    <w:p w:rsidR="00277CCE" w:rsidRDefault="00757A58">
      <w:pPr>
        <w:pStyle w:val="ListParagraph"/>
        <w:numPr>
          <w:ilvl w:val="0"/>
          <w:numId w:val="2"/>
        </w:numPr>
        <w:rPr>
          <w:rFonts w:ascii="Times New Roman" w:hAnsi="Times New Roman"/>
          <w:b/>
          <w:noProof/>
          <w:sz w:val="24"/>
          <w:szCs w:val="24"/>
        </w:rPr>
      </w:pPr>
      <w:r>
        <w:rPr>
          <w:rFonts w:ascii="Times New Roman" w:hAnsi="Times New Roman"/>
          <w:b/>
          <w:noProof/>
          <w:sz w:val="24"/>
        </w:rPr>
        <w:t>DZIAŁANIA NIEZWŁOCZNE</w:t>
      </w:r>
    </w:p>
    <w:p w:rsidR="00277CCE" w:rsidRDefault="00277CCE">
      <w:pPr>
        <w:pStyle w:val="ListParagraph"/>
        <w:ind w:left="0"/>
        <w:jc w:val="both"/>
        <w:rPr>
          <w:rFonts w:ascii="Times New Roman" w:hAnsi="Times New Roman"/>
          <w:b/>
          <w:i/>
          <w:noProof/>
          <w:sz w:val="24"/>
          <w:szCs w:val="24"/>
        </w:rPr>
      </w:pPr>
    </w:p>
    <w:p w:rsidR="00277CCE" w:rsidRDefault="00757A58">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Szlak zachodniośródziemnomorski: współpraca z Maroko</w:t>
      </w:r>
    </w:p>
    <w:p w:rsidR="00277CCE" w:rsidRDefault="00757A58">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Mając na uwadze, że Hiszpania stanowi obecnie główny punkt nielegalnego wjazdu, rozwiązanie problemu migracji wzdłuż szlaku </w:t>
      </w:r>
      <w:r>
        <w:rPr>
          <w:rFonts w:ascii="Times New Roman" w:hAnsi="Times New Roman"/>
          <w:noProof/>
          <w:color w:val="000000"/>
          <w:sz w:val="24"/>
        </w:rPr>
        <w:t>zachodniośródziemnomorskiego powinno być najwyższym priorytetem UE. UE kładła podwaliny pod ściślejszą współpracę z Marokiem. Pod koniec 2018 r. Unia zatwierdziła pomoc w wysokości 140 mln EUR na zarządzanie granicami i wsparcie budżetowe</w:t>
      </w:r>
      <w:r>
        <w:rPr>
          <w:rStyle w:val="FootnoteReference"/>
          <w:rFonts w:ascii="Times New Roman" w:hAnsi="Times New Roman"/>
          <w:noProof/>
          <w:color w:val="000000"/>
          <w:sz w:val="24"/>
        </w:rPr>
        <w:footnoteReference w:id="16"/>
      </w:r>
      <w:r>
        <w:rPr>
          <w:rFonts w:ascii="Times New Roman" w:hAnsi="Times New Roman"/>
          <w:noProof/>
          <w:color w:val="000000"/>
          <w:sz w:val="24"/>
        </w:rPr>
        <w:t>. Maroko prowadzi</w:t>
      </w:r>
      <w:r>
        <w:rPr>
          <w:rFonts w:ascii="Times New Roman" w:hAnsi="Times New Roman"/>
          <w:noProof/>
          <w:color w:val="000000"/>
          <w:sz w:val="24"/>
        </w:rPr>
        <w:t>ło już działania ukierunkowane na wzmocnienie kontroli swoich granic oraz zapobiegło wielu wyjazdom</w:t>
      </w:r>
      <w:r>
        <w:rPr>
          <w:rStyle w:val="FootnoteReference"/>
          <w:rFonts w:ascii="Times New Roman" w:hAnsi="Times New Roman"/>
          <w:noProof/>
          <w:color w:val="000000"/>
          <w:sz w:val="24"/>
        </w:rPr>
        <w:footnoteReference w:id="17"/>
      </w:r>
      <w:r>
        <w:rPr>
          <w:rFonts w:ascii="Times New Roman" w:hAnsi="Times New Roman"/>
          <w:noProof/>
          <w:color w:val="000000"/>
          <w:sz w:val="24"/>
        </w:rPr>
        <w:t>. Działania ze strony UE zapewnią wsparcie dla tego procesu. Pierwsze płatności zostały już zrealizowane oraz ogłoszono postępowania o udzielenie zamówienia</w:t>
      </w:r>
      <w:r>
        <w:rPr>
          <w:rFonts w:ascii="Times New Roman" w:hAnsi="Times New Roman"/>
          <w:noProof/>
          <w:color w:val="000000"/>
          <w:sz w:val="24"/>
        </w:rPr>
        <w:t xml:space="preserve"> na zakup najważniejszego sprzętu: ostatnie umowy w ramach tego pakietu zostaną podpisane najpóźniej w kwietniu i konieczne będzie dalsze wdrażanie w terenie. Pomoc ta będzie również uzupełniała realizację pomocy doraźnej w kwocie 36 mln EUR na mocy porozu</w:t>
      </w:r>
      <w:r>
        <w:rPr>
          <w:rFonts w:ascii="Times New Roman" w:hAnsi="Times New Roman"/>
          <w:noProof/>
          <w:color w:val="000000"/>
          <w:sz w:val="24"/>
        </w:rPr>
        <w:t>mienia z 2018 r., przeznaczonej dla Hiszpanii na ochronę jej południowej granicy. UE zapewnia wsparcie Hiszpanii także za pośrednictwem operacji Indalo. Komisja jest gotowa zapewnić Hiszpanii wszelkiego rodzaju wsparcie finansowo-techniczne, wymagane w zwi</w:t>
      </w:r>
      <w:r>
        <w:rPr>
          <w:rFonts w:ascii="Times New Roman" w:hAnsi="Times New Roman"/>
          <w:noProof/>
          <w:color w:val="000000"/>
          <w:sz w:val="24"/>
        </w:rPr>
        <w:t>ązku z zarządzaniem przyjazdami.</w:t>
      </w:r>
    </w:p>
    <w:p w:rsidR="00277CCE" w:rsidRDefault="00277CCE">
      <w:pPr>
        <w:pStyle w:val="ListParagraph"/>
        <w:ind w:left="0"/>
        <w:jc w:val="both"/>
        <w:rPr>
          <w:rFonts w:ascii="Times New Roman" w:hAnsi="Times New Roman"/>
          <w:noProof/>
          <w:color w:val="000000"/>
          <w:sz w:val="24"/>
          <w:szCs w:val="24"/>
        </w:rPr>
      </w:pPr>
    </w:p>
    <w:p w:rsidR="00277CCE" w:rsidRDefault="00757A58">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Ogólnie rzecz biorąc, UE pracuje nad dalszym rozwijaniem stosunków z Marokiem, aby wypracować bliższe, głębsze i bardziej ambitne partnerstwo. Mobilność i migracja odegrają istotną rolę dzięki połączeniu wsparcia finansowe</w:t>
      </w:r>
      <w:r>
        <w:rPr>
          <w:rFonts w:ascii="Times New Roman" w:hAnsi="Times New Roman"/>
          <w:noProof/>
          <w:color w:val="000000"/>
          <w:sz w:val="24"/>
        </w:rPr>
        <w:t>go, bliższych kontaktów między ekspertami oraz współpracy operacyjnej, w tym wsparcia ze strony Europejskiej Agencji Straży Granicznej i Przybrzeżnej. Powinno to również obejmować wznowienie negocjacji w sprawie readmisji, ułatwień wizowych i legalnej migr</w:t>
      </w:r>
      <w:r>
        <w:rPr>
          <w:rFonts w:ascii="Times New Roman" w:hAnsi="Times New Roman"/>
          <w:noProof/>
          <w:color w:val="000000"/>
          <w:sz w:val="24"/>
        </w:rPr>
        <w:t xml:space="preserve">acji. Współpraca powinna również przewidywać rozwiązywanie problemu przepływów migracyjnych i zwalczanie przemytu na szlakach prowadzących do Maroka z państw sąsiadujących. </w:t>
      </w:r>
    </w:p>
    <w:p w:rsidR="00277CCE" w:rsidRDefault="00277CCE">
      <w:pPr>
        <w:pStyle w:val="ListParagraph"/>
        <w:ind w:left="0"/>
        <w:jc w:val="both"/>
        <w:rPr>
          <w:rFonts w:ascii="Times New Roman" w:hAnsi="Times New Roman"/>
          <w:noProof/>
          <w:color w:val="000000"/>
          <w:sz w:val="24"/>
          <w:szCs w:val="24"/>
        </w:rPr>
      </w:pPr>
    </w:p>
    <w:p w:rsidR="00277CCE" w:rsidRDefault="00757A58">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Unijny kryzysowy fundusz powierniczy na rzecz stabilności oraz eliminowania przyc</w:t>
      </w:r>
      <w:r>
        <w:rPr>
          <w:rFonts w:ascii="Times New Roman" w:hAnsi="Times New Roman"/>
          <w:noProof/>
          <w:color w:val="000000"/>
          <w:sz w:val="24"/>
        </w:rPr>
        <w:t>zyn migracji nieuregulowanej i wysiedleń w Afryce</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nie tylko zapewnia bezpośrednie wsparcie, lecz ma także na celu nawiązanie współpracy na całym szlaku prowadzącym do zachodniej części regionu śródziemnomorskiego. Nowy program współpracy transgranicznej o</w:t>
      </w:r>
      <w:r>
        <w:rPr>
          <w:rFonts w:ascii="Times New Roman" w:hAnsi="Times New Roman"/>
          <w:noProof/>
          <w:color w:val="000000"/>
          <w:sz w:val="24"/>
        </w:rPr>
        <w:t> wartości 8,6 mln EUR ma na celu wzmocnienie skoordynowanego zarządzania migracją między Marokiem, Senegalem, Mali i Wybrzeżem Kości Słoniowej, zapewniając wsparcie dla intensywniejszych regionalnych dialogów politycznych na temat migracji. Pod koniec 2018</w:t>
      </w:r>
      <w:r>
        <w:rPr>
          <w:rFonts w:ascii="Times New Roman" w:hAnsi="Times New Roman"/>
          <w:noProof/>
          <w:color w:val="000000"/>
          <w:sz w:val="24"/>
        </w:rPr>
        <w:t> r. zatwierdzono szczegółowy program wsparcia budżetowego dla Mauretanii, aby zapewnić wsparcie dla krajowej strategii rozwoju, ze szczególnym uwzględnieniem ochrony migrantów i bezpieczeństwa morskiego</w:t>
      </w:r>
      <w:r>
        <w:rPr>
          <w:rStyle w:val="FootnoteReference"/>
          <w:rFonts w:ascii="Times New Roman" w:hAnsi="Times New Roman"/>
          <w:noProof/>
          <w:color w:val="000000"/>
          <w:sz w:val="24"/>
        </w:rPr>
        <w:footnoteReference w:id="19"/>
      </w:r>
      <w:r>
        <w:rPr>
          <w:rFonts w:ascii="Times New Roman" w:hAnsi="Times New Roman"/>
          <w:noProof/>
          <w:color w:val="000000"/>
          <w:sz w:val="24"/>
        </w:rPr>
        <w:t>. Północnoafrykańską część funduszu powierniczego pow</w:t>
      </w:r>
      <w:r>
        <w:rPr>
          <w:rFonts w:ascii="Times New Roman" w:hAnsi="Times New Roman"/>
          <w:noProof/>
          <w:color w:val="000000"/>
          <w:sz w:val="24"/>
        </w:rPr>
        <w:t>inna niedługo zasilić kwota 120 mln EUR z budżetu UE</w:t>
      </w:r>
      <w:r>
        <w:rPr>
          <w:rStyle w:val="FootnoteReference"/>
          <w:rFonts w:ascii="Times New Roman" w:hAnsi="Times New Roman"/>
          <w:noProof/>
          <w:color w:val="000000"/>
          <w:sz w:val="24"/>
        </w:rPr>
        <w:footnoteReference w:id="20"/>
      </w:r>
      <w:r>
        <w:rPr>
          <w:rFonts w:ascii="Times New Roman" w:hAnsi="Times New Roman"/>
          <w:noProof/>
          <w:color w:val="000000"/>
          <w:sz w:val="24"/>
        </w:rPr>
        <w:t xml:space="preserve">. Wszystko jednak wskazuje, że dostępne obecnie zasoby – w tym niezbędne płatności uzupełniające na programy realizowane w Libii i Maroku – są niższe o nawet 86 mln EUR od tych przewidywanych na 2019 r. </w:t>
      </w:r>
      <w:r>
        <w:rPr>
          <w:rFonts w:ascii="Times New Roman" w:hAnsi="Times New Roman"/>
          <w:noProof/>
          <w:color w:val="000000"/>
          <w:sz w:val="24"/>
        </w:rPr>
        <w:t>Konieczny będzie wkład państw członkowskich, aby można było kontynuować działania.</w:t>
      </w:r>
    </w:p>
    <w:p w:rsidR="00277CCE" w:rsidRDefault="00757A58">
      <w:pPr>
        <w:spacing w:after="200" w:line="276" w:lineRule="auto"/>
        <w:rPr>
          <w:rFonts w:ascii="Times New Roman" w:hAnsi="Times New Roman"/>
          <w:noProof/>
          <w:color w:val="000000"/>
          <w:sz w:val="24"/>
          <w:szCs w:val="24"/>
        </w:rPr>
      </w:pPr>
      <w:r>
        <w:rPr>
          <w:noProof/>
        </w:rPr>
        <w:br w:type="page"/>
      </w:r>
    </w:p>
    <w:p w:rsidR="00277CCE" w:rsidRDefault="00757A58">
      <w:pPr>
        <w:keepNext/>
        <w:spacing w:after="120"/>
        <w:jc w:val="both"/>
        <w:rPr>
          <w:rFonts w:ascii="Times New Roman" w:hAnsi="Times New Roman"/>
          <w:i/>
          <w:noProof/>
          <w:sz w:val="24"/>
          <w:szCs w:val="24"/>
        </w:rPr>
      </w:pPr>
      <w:r>
        <w:rPr>
          <w:rFonts w:ascii="Times New Roman" w:hAnsi="Times New Roman"/>
          <w:i/>
          <w:noProof/>
          <w:sz w:val="24"/>
        </w:rPr>
        <w:t xml:space="preserve">Szlak środkowośródziemnomorski: poprawa warunków w Libii </w:t>
      </w: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Istnieje pilna potrzeba udzielenia pomocy osobom, które nie mogą wydostać się z Libii. Aby zapewnić bardziej huma</w:t>
      </w:r>
      <w:r>
        <w:rPr>
          <w:rFonts w:ascii="Times New Roman" w:hAnsi="Times New Roman"/>
          <w:noProof/>
          <w:color w:val="000000"/>
          <w:sz w:val="24"/>
        </w:rPr>
        <w:t>nitarne warunki, musimy opracować alternatywy dla detencji administracyjnej, bardziej uporządkowane i przejrzyste zarządzanie migrantami i uchodźcami w Libii oraz wsparcie dla osób starających się bezpiecznie wrócić do domu lub szukających schronienia w Eu</w:t>
      </w:r>
      <w:r>
        <w:rPr>
          <w:rFonts w:ascii="Times New Roman" w:hAnsi="Times New Roman"/>
          <w:noProof/>
          <w:color w:val="000000"/>
          <w:sz w:val="24"/>
        </w:rPr>
        <w:t>ropie albo gdzieś indziej.</w:t>
      </w:r>
      <w:r>
        <w:rPr>
          <w:rFonts w:ascii="Times New Roman" w:hAnsi="Times New Roman"/>
          <w:noProof/>
          <w:sz w:val="24"/>
        </w:rPr>
        <w:t xml:space="preserve"> Szczególny priorytet należy nadać osobom wymagającym szczególnego traktowania i przebywającym w ośrodkach detencyjnych: szacuje się, że obecnie w ośrodkach kontrolowanych przez rząd jedności narodowej w Libii zatrzymanych jest 6 </w:t>
      </w:r>
      <w:r>
        <w:rPr>
          <w:rFonts w:ascii="Times New Roman" w:hAnsi="Times New Roman"/>
          <w:noProof/>
          <w:sz w:val="24"/>
        </w:rPr>
        <w:t>200 migrantów</w:t>
      </w:r>
      <w:r>
        <w:rPr>
          <w:rStyle w:val="FootnoteReference"/>
          <w:rFonts w:ascii="Times New Roman" w:hAnsi="Times New Roman"/>
          <w:noProof/>
          <w:sz w:val="24"/>
        </w:rPr>
        <w:footnoteReference w:id="21"/>
      </w:r>
      <w:r>
        <w:rPr>
          <w:noProof/>
        </w:rPr>
        <w:t>.</w:t>
      </w:r>
    </w:p>
    <w:p w:rsidR="00277CCE" w:rsidRDefault="00277CCE">
      <w:pPr>
        <w:jc w:val="both"/>
        <w:rPr>
          <w:rFonts w:ascii="Times New Roman" w:hAnsi="Times New Roman"/>
          <w:noProof/>
          <w:color w:val="000000"/>
          <w:sz w:val="24"/>
          <w:szCs w:val="24"/>
        </w:rPr>
      </w:pPr>
    </w:p>
    <w:p w:rsidR="00277CCE" w:rsidRDefault="00757A58">
      <w:pPr>
        <w:contextualSpacing/>
        <w:jc w:val="both"/>
        <w:rPr>
          <w:rFonts w:ascii="Times New Roman" w:hAnsi="Times New Roman"/>
          <w:noProof/>
          <w:sz w:val="24"/>
          <w:szCs w:val="24"/>
        </w:rPr>
      </w:pPr>
      <w:r>
        <w:rPr>
          <w:rFonts w:ascii="Times New Roman" w:hAnsi="Times New Roman"/>
          <w:noProof/>
          <w:sz w:val="24"/>
        </w:rPr>
        <w:t>W obecnej sytuacji w zakresie bezpieczeństwa stanowi to główny punkt współpracy z Biurem Wysokiego Komisarza Narodów Zjednoczonych ds. uchodźców (UNHCR), Międzynarodową Organizacją do Spraw Migracji oraz trójstronną grupą zadaniową Unii Af</w:t>
      </w:r>
      <w:r>
        <w:rPr>
          <w:rFonts w:ascii="Times New Roman" w:hAnsi="Times New Roman"/>
          <w:noProof/>
          <w:sz w:val="24"/>
        </w:rPr>
        <w:t>rykańskiej, Unii Europejskiej i Organizacji Narodów Zjednoczonych. Dzięki tej współpracy już 37 000 osób wróciło do swoich domów za sprawą dobrowolnych programów powrotów, a prawie 2 500 osób ewakuowano z Libii do Nigru z pomocą kryzysowego mechanizmu tran</w:t>
      </w:r>
      <w:r>
        <w:rPr>
          <w:rFonts w:ascii="Times New Roman" w:hAnsi="Times New Roman"/>
          <w:noProof/>
          <w:sz w:val="24"/>
        </w:rPr>
        <w:t>zytowego UNHCR</w:t>
      </w:r>
      <w:r>
        <w:rPr>
          <w:rStyle w:val="FootnoteReference"/>
          <w:rFonts w:ascii="Times New Roman" w:hAnsi="Times New Roman"/>
          <w:noProof/>
          <w:sz w:val="24"/>
        </w:rPr>
        <w:footnoteReference w:id="22"/>
      </w:r>
      <w:r>
        <w:rPr>
          <w:rFonts w:ascii="Times New Roman" w:hAnsi="Times New Roman"/>
          <w:noProof/>
          <w:sz w:val="24"/>
        </w:rPr>
        <w:t>. Do tej pory udało się przesiedlić ponad 1 200 spośród tych osób, a kolejnym ważnym krokiem dla państw członkowskich będzie przesiedlenie osób, które wciąż czekają w Nigrze. Grupa zadaniowa będzie nadal apelować do władz Libii, aby ułatwiły</w:t>
      </w:r>
      <w:r>
        <w:rPr>
          <w:rFonts w:ascii="Times New Roman" w:hAnsi="Times New Roman"/>
          <w:noProof/>
          <w:sz w:val="24"/>
        </w:rPr>
        <w:t xml:space="preserve"> te działania, dotyczące przede wszystkim zniesienia wiz wyjazdowych oraz obniżenia opłat za lądowanie.</w:t>
      </w:r>
    </w:p>
    <w:p w:rsidR="00277CCE" w:rsidRDefault="00277CCE">
      <w:pPr>
        <w:autoSpaceDE w:val="0"/>
        <w:autoSpaceDN w:val="0"/>
        <w:adjustRightInd w:val="0"/>
        <w:jc w:val="both"/>
        <w:rPr>
          <w:rFonts w:ascii="Times New Roman" w:hAnsi="Times New Roman"/>
          <w:noProof/>
          <w:sz w:val="24"/>
          <w:szCs w:val="24"/>
        </w:rPr>
      </w:pPr>
    </w:p>
    <w:p w:rsidR="00277CCE" w:rsidRDefault="00757A58">
      <w:pPr>
        <w:autoSpaceDE w:val="0"/>
        <w:autoSpaceDN w:val="0"/>
        <w:adjustRightInd w:val="0"/>
        <w:jc w:val="both"/>
        <w:rPr>
          <w:rFonts w:ascii="Times New Roman" w:hAnsi="Times New Roman"/>
          <w:noProof/>
          <w:sz w:val="24"/>
          <w:szCs w:val="24"/>
        </w:rPr>
      </w:pPr>
      <w:r>
        <w:rPr>
          <w:rFonts w:ascii="Times New Roman" w:hAnsi="Times New Roman"/>
          <w:noProof/>
          <w:sz w:val="24"/>
        </w:rPr>
        <w:t>Należy przystąpić do dalszych działań, aby zająć się kwestią przerażających warunków, w jakich żyje wielu migrantów i uchodźców. Od 2016 r. fundusz pow</w:t>
      </w:r>
      <w:r>
        <w:rPr>
          <w:rFonts w:ascii="Times New Roman" w:hAnsi="Times New Roman"/>
          <w:noProof/>
          <w:sz w:val="24"/>
        </w:rPr>
        <w:t>ierniczy przeznaczył prawie 135 mln EUR na ochronę migrantów w Libii i należy koniecznie te wysiłki kontynuować. Działania obejmują pomoc przy schodzeniu na ląd oraz rejestracji i zapewnieniu identyfikowalności osób, które zeszły na ląd. Trwa wdrażanie pro</w:t>
      </w:r>
      <w:r>
        <w:rPr>
          <w:rFonts w:ascii="Times New Roman" w:hAnsi="Times New Roman"/>
          <w:noProof/>
          <w:sz w:val="24"/>
        </w:rPr>
        <w:t>jektów, które w pierwszej kolejności usprawnią procedury i warunki na tym kluczowym etapie oraz po przeniesieniu do ośrodków detencyjnych. W grudniu 2018 r. władze Libii wydały również zgodę na otwarcie ośrodka UNHCR gromadzenia i wyjazdów – centrum, które</w:t>
      </w:r>
      <w:r>
        <w:rPr>
          <w:rFonts w:ascii="Times New Roman" w:hAnsi="Times New Roman"/>
          <w:noProof/>
          <w:sz w:val="24"/>
        </w:rPr>
        <w:t xml:space="preserve"> będzie zapewniać pomoc w szybkiej ewakuacji uchodźcom i osobom ubiegającym się o azyl. Może on również posłużyć jako tymczasowe rozwiązanie dla nieletnich pozbawionych opieki i innych grup szczególnie wrażliwych. UE będzie nadal wywierać naciski, żeby zap</w:t>
      </w:r>
      <w:r>
        <w:rPr>
          <w:rFonts w:ascii="Times New Roman" w:hAnsi="Times New Roman"/>
          <w:noProof/>
          <w:sz w:val="24"/>
        </w:rPr>
        <w:t xml:space="preserve">ewniono organizacjom humanitarnym i agencjom ONZ regularny i nieograniczony dostęp, aby poprawiono warunki w ośrodkach detencyjnych, opracowano więcej alternatyw dla detencji administracyjnej oraz ostatecznie położono kres obecnemu systemowi detencyjnemu. </w:t>
      </w:r>
    </w:p>
    <w:p w:rsidR="00277CCE" w:rsidRDefault="00277CCE">
      <w:pPr>
        <w:autoSpaceDE w:val="0"/>
        <w:autoSpaceDN w:val="0"/>
        <w:adjustRightInd w:val="0"/>
        <w:jc w:val="both"/>
        <w:rPr>
          <w:rFonts w:ascii="Times New Roman" w:hAnsi="Times New Roman"/>
          <w:noProof/>
          <w:sz w:val="24"/>
          <w:szCs w:val="24"/>
        </w:rPr>
      </w:pPr>
    </w:p>
    <w:p w:rsidR="00277CCE" w:rsidRDefault="00757A58">
      <w:pPr>
        <w:autoSpaceDE w:val="0"/>
        <w:autoSpaceDN w:val="0"/>
        <w:adjustRightInd w:val="0"/>
        <w:jc w:val="both"/>
        <w:rPr>
          <w:rFonts w:ascii="Times New Roman" w:hAnsi="Times New Roman"/>
          <w:noProof/>
          <w:sz w:val="24"/>
          <w:szCs w:val="24"/>
        </w:rPr>
      </w:pPr>
      <w:r>
        <w:rPr>
          <w:rFonts w:ascii="Times New Roman" w:hAnsi="Times New Roman"/>
          <w:noProof/>
          <w:sz w:val="24"/>
        </w:rPr>
        <w:t>W Libii zaledwie niewielki odsetek migrantów przebywa w ośrodkach kontrolowanych przez rząd, dlatego wsparcie dla społeczności lokalnych ma nadrzędne znaczenie. W ramach programów unijnych zapewniane jest wsparcie opieki zdrowotnej, nauki szkolnej i pods</w:t>
      </w:r>
      <w:r>
        <w:rPr>
          <w:rFonts w:ascii="Times New Roman" w:hAnsi="Times New Roman"/>
          <w:noProof/>
          <w:sz w:val="24"/>
        </w:rPr>
        <w:t>tawowej infrastruktury społecznej. W 2018 r. w Libii zatwierdzono cztery nowe programy w ramach unijnego kryzysowego funduszu powierniczego na rzecz stabilności oraz eliminowania przyczyn migracji nieuregulowanej i wysiedleń w Afryce o łącznej wartości 156</w:t>
      </w:r>
      <w:r>
        <w:rPr>
          <w:rFonts w:ascii="Times New Roman" w:hAnsi="Times New Roman"/>
          <w:noProof/>
          <w:sz w:val="24"/>
        </w:rPr>
        <w:t xml:space="preserve"> mln EUR. </w:t>
      </w:r>
    </w:p>
    <w:p w:rsidR="00277CCE" w:rsidRDefault="00277CCE">
      <w:pPr>
        <w:autoSpaceDE w:val="0"/>
        <w:autoSpaceDN w:val="0"/>
        <w:adjustRightInd w:val="0"/>
        <w:jc w:val="both"/>
        <w:rPr>
          <w:rFonts w:ascii="Times New Roman" w:hAnsi="Times New Roman"/>
          <w:noProof/>
          <w:sz w:val="24"/>
          <w:szCs w:val="24"/>
        </w:rPr>
      </w:pPr>
    </w:p>
    <w:p w:rsidR="00277CCE" w:rsidRDefault="00757A58">
      <w:pPr>
        <w:autoSpaceDE w:val="0"/>
        <w:autoSpaceDN w:val="0"/>
        <w:adjustRightInd w:val="0"/>
        <w:jc w:val="both"/>
        <w:rPr>
          <w:rFonts w:ascii="Times New Roman" w:hAnsi="Times New Roman"/>
          <w:noProof/>
          <w:sz w:val="24"/>
          <w:szCs w:val="24"/>
        </w:rPr>
      </w:pPr>
      <w:r>
        <w:rPr>
          <w:rFonts w:ascii="Times New Roman" w:hAnsi="Times New Roman"/>
          <w:noProof/>
          <w:sz w:val="24"/>
        </w:rPr>
        <w:t>Prawie 90 000 uchodźców i wymagających szczególnego traktowania migrantów uzyskało pomoc medyczną dzięki podstawowej i specjalistycznej opiece zdrowotnej, konsultacjom i kontrolom przesiewowym. Działania zostaną nasilone, przy czym kwestiami pr</w:t>
      </w:r>
      <w:r>
        <w:rPr>
          <w:rFonts w:ascii="Times New Roman" w:hAnsi="Times New Roman"/>
          <w:noProof/>
          <w:sz w:val="24"/>
        </w:rPr>
        <w:t>iorytetowymi będą wspomagane dobrowolne powroty, przyspieszenie ewakuacji małoletnich i innych osób wymagających szczególnego traktowania, polepszenie warunków osadzenia oraz wspieranie alternatyw dla detencji administracyjnej. W tym czasie UE udzieliła w </w:t>
      </w:r>
      <w:r>
        <w:rPr>
          <w:rFonts w:ascii="Times New Roman" w:hAnsi="Times New Roman"/>
          <w:noProof/>
          <w:sz w:val="24"/>
        </w:rPr>
        <w:t>Libii pomocy humanitarnej na rzecz blisko 700 000 osób wymagających szczególnego traktowania, które zostały dotknięte konfliktem, w tym osobom wewnętrznie przesiedlonym.</w:t>
      </w:r>
    </w:p>
    <w:p w:rsidR="00277CCE" w:rsidRDefault="00277CCE">
      <w:pPr>
        <w:autoSpaceDE w:val="0"/>
        <w:autoSpaceDN w:val="0"/>
        <w:adjustRightInd w:val="0"/>
        <w:jc w:val="both"/>
        <w:rPr>
          <w:rFonts w:ascii="Times New Roman" w:hAnsi="Times New Roman"/>
          <w:noProof/>
          <w:sz w:val="24"/>
          <w:szCs w:val="24"/>
        </w:rPr>
      </w:pPr>
    </w:p>
    <w:p w:rsidR="00277CCE" w:rsidRDefault="00757A58">
      <w:pPr>
        <w:keepNext/>
        <w:spacing w:after="120"/>
        <w:jc w:val="both"/>
        <w:rPr>
          <w:rFonts w:ascii="Times New Roman" w:hAnsi="Times New Roman"/>
          <w:i/>
          <w:noProof/>
          <w:sz w:val="24"/>
          <w:szCs w:val="24"/>
        </w:rPr>
      </w:pPr>
      <w:r>
        <w:rPr>
          <w:rFonts w:ascii="Times New Roman" w:hAnsi="Times New Roman"/>
          <w:i/>
          <w:noProof/>
          <w:sz w:val="24"/>
        </w:rPr>
        <w:t xml:space="preserve">Wschodnia część regionu Morza Śródziemnego: poprawa warunków w Grecji </w:t>
      </w:r>
    </w:p>
    <w:p w:rsidR="00277CCE" w:rsidRDefault="00757A58">
      <w:pPr>
        <w:pStyle w:val="Default"/>
        <w:jc w:val="both"/>
        <w:rPr>
          <w:noProof/>
        </w:rPr>
      </w:pPr>
      <w:r>
        <w:rPr>
          <w:noProof/>
        </w:rPr>
        <w:t>Trwałe zaangaż</w:t>
      </w:r>
      <w:r>
        <w:rPr>
          <w:noProof/>
        </w:rPr>
        <w:t>owanie we wdrożenie oświadczenia UE–Turcja oraz znaczące wsparcie finansowo operacyjne ze strony UE od 2015 r. w istotny sposób przyczyniły się do złagodzenia presji na wyspach greckich</w:t>
      </w:r>
      <w:r>
        <w:rPr>
          <w:rStyle w:val="FootnoteReference"/>
          <w:noProof/>
        </w:rPr>
        <w:footnoteReference w:id="23"/>
      </w:r>
      <w:r>
        <w:rPr>
          <w:noProof/>
        </w:rPr>
        <w:t>. Aktualnie podejmowane są kolejne działania. Władze Grecji podjęły sz</w:t>
      </w:r>
      <w:r>
        <w:rPr>
          <w:noProof/>
        </w:rPr>
        <w:t>ereg działań, aby szybciej rozpatrywać wnioski o udzielenie azylu, obejmujących oddelegowanie dodatkowych lekarzy na potrzeby oceny szczególnej wrażliwości, powołanie mobilnych oddziałów azylowych oraz utworzenie większej liczby komitetów odwoławczych. Trw</w:t>
      </w:r>
      <w:r>
        <w:rPr>
          <w:noProof/>
        </w:rPr>
        <w:t>a realizacja projektów pilotażowych w celu ustalenia innych sposobów usprawnienia procesu rozpatrywania wniosków o udzielenie azylu. W rezultacie powinno nastąpić zwiększenie skuteczności powrotów, zwłaszcza na podstawie oświadczenia UE–Turcja, oraz popraw</w:t>
      </w:r>
      <w:r>
        <w:rPr>
          <w:noProof/>
        </w:rPr>
        <w:t xml:space="preserve">a warunków poprzez zmniejszenie przeludnienia na wyspach. </w:t>
      </w:r>
    </w:p>
    <w:p w:rsidR="00277CCE" w:rsidRDefault="00277CCE">
      <w:pPr>
        <w:pStyle w:val="Default"/>
        <w:jc w:val="both"/>
        <w:rPr>
          <w:noProof/>
        </w:rPr>
      </w:pPr>
    </w:p>
    <w:p w:rsidR="00277CCE" w:rsidRDefault="00757A58">
      <w:pPr>
        <w:pStyle w:val="Default"/>
        <w:spacing w:after="120"/>
        <w:jc w:val="both"/>
        <w:rPr>
          <w:noProof/>
        </w:rPr>
      </w:pPr>
      <w:r>
        <w:rPr>
          <w:noProof/>
        </w:rPr>
        <w:t>Silne przywództwo i zaangażowanie ze strony greckiego rządu będą jednak miały zasadnicze znaczenie dla rozwiązania wielu utrzymujących się problemów. UE będzie nadal udzielała Grecji wsparcia fina</w:t>
      </w:r>
      <w:r>
        <w:rPr>
          <w:noProof/>
        </w:rPr>
        <w:t>nsowego</w:t>
      </w:r>
      <w:r>
        <w:rPr>
          <w:rStyle w:val="FootnoteReference"/>
          <w:noProof/>
        </w:rPr>
        <w:footnoteReference w:id="24"/>
      </w:r>
      <w:r>
        <w:rPr>
          <w:noProof/>
        </w:rPr>
        <w:t>, a agencje UE będą dzieliły się wiedzą ekspercką. Istotne jest również, aby państwa członkowskie nadal w wystarczającym stopniu wspierały działania agencji UE. Pilne i skoordynowane działania władz greckich są niezbędne, aby zapewnić:</w:t>
      </w:r>
    </w:p>
    <w:p w:rsidR="00277CCE" w:rsidRDefault="00757A58">
      <w:pPr>
        <w:pStyle w:val="Default"/>
        <w:numPr>
          <w:ilvl w:val="0"/>
          <w:numId w:val="62"/>
        </w:numPr>
        <w:spacing w:after="120"/>
        <w:ind w:left="425"/>
        <w:jc w:val="both"/>
        <w:rPr>
          <w:noProof/>
        </w:rPr>
      </w:pPr>
      <w:r>
        <w:rPr>
          <w:noProof/>
        </w:rPr>
        <w:t xml:space="preserve">bardziej </w:t>
      </w:r>
      <w:r>
        <w:rPr>
          <w:noProof/>
        </w:rPr>
        <w:t>skuteczne procedury azylowe mające na celu zapewnienie sprawniejszego rozpatrywania wniosków o udzielenie azylu;</w:t>
      </w:r>
    </w:p>
    <w:p w:rsidR="00277CCE" w:rsidRDefault="00757A58">
      <w:pPr>
        <w:pStyle w:val="Default"/>
        <w:numPr>
          <w:ilvl w:val="0"/>
          <w:numId w:val="62"/>
        </w:numPr>
        <w:spacing w:after="120"/>
        <w:ind w:left="425"/>
        <w:jc w:val="both"/>
        <w:rPr>
          <w:noProof/>
        </w:rPr>
      </w:pPr>
      <w:r>
        <w:rPr>
          <w:noProof/>
        </w:rPr>
        <w:t xml:space="preserve">zwiększenie liczby powrotów przy maksymalnym wykorzystaniu programów dotyczących wspomaganych dobrowolnych powrotów, uzupełnianych programami </w:t>
      </w:r>
      <w:r>
        <w:rPr>
          <w:noProof/>
        </w:rPr>
        <w:t>w zakresie reintegracji. W przypadku konieczności zastosowania przymusowego powrotu dostępne muszą być odpowiednie ośrodki detencyjne przed wydaleniem zgodnie ze stosownymi standardami praw człowieka. Potrzebna jest zatem skuteczna organizacja pracy w zakr</w:t>
      </w:r>
      <w:r>
        <w:rPr>
          <w:noProof/>
        </w:rPr>
        <w:t>esie ustalania priorytetu kluczowych grup na wszystkich etapach procesu</w:t>
      </w:r>
      <w:r>
        <w:rPr>
          <w:rStyle w:val="FootnoteReference"/>
          <w:noProof/>
        </w:rPr>
        <w:footnoteReference w:id="25"/>
      </w:r>
      <w:r>
        <w:rPr>
          <w:noProof/>
        </w:rPr>
        <w:t xml:space="preserve">; </w:t>
      </w:r>
    </w:p>
    <w:p w:rsidR="00277CCE" w:rsidRDefault="00757A58">
      <w:pPr>
        <w:pStyle w:val="Default"/>
        <w:numPr>
          <w:ilvl w:val="0"/>
          <w:numId w:val="62"/>
        </w:numPr>
        <w:spacing w:after="120"/>
        <w:ind w:left="425"/>
        <w:jc w:val="both"/>
        <w:rPr>
          <w:noProof/>
        </w:rPr>
      </w:pPr>
      <w:r>
        <w:rPr>
          <w:noProof/>
        </w:rPr>
        <w:t>regulacyjne i administracyjne ramy zapewniające wykorzystanie i monitorowanie zdolności przyjmowania oraz zapewnienie wszystkich właściwych usług;</w:t>
      </w:r>
    </w:p>
    <w:p w:rsidR="00277CCE" w:rsidRDefault="00757A58">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sprawne zapewnienie co najmniej 2 </w:t>
      </w:r>
      <w:r>
        <w:rPr>
          <w:rFonts w:ascii="Times New Roman" w:eastAsiaTheme="minorHAnsi" w:hAnsi="Times New Roman"/>
          <w:noProof/>
          <w:color w:val="000000"/>
          <w:sz w:val="24"/>
        </w:rPr>
        <w:t xml:space="preserve">000 miejsc odpowiedniego zakwaterowania dla małoletnich bez opieki, a także ukończenie opracowywania i wdrożenie kompleksowej krajowej strategii służącej zapewnieniu pełnej ochrony małoletnim bez opieki; </w:t>
      </w:r>
    </w:p>
    <w:p w:rsidR="00277CCE" w:rsidRDefault="00757A58">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udoskonalenie systemu odwołań w celu otwarcia zakwa</w:t>
      </w:r>
      <w:r>
        <w:rPr>
          <w:rFonts w:ascii="Times New Roman" w:eastAsiaTheme="minorHAnsi" w:hAnsi="Times New Roman"/>
          <w:noProof/>
          <w:color w:val="000000"/>
          <w:sz w:val="24"/>
        </w:rPr>
        <w:t>terowania dla osób ubiegających się o udzielenie ochrony międzynarodowej i osób wymagających szczególnego traktowania oraz współpraca między właściwymi organami.</w:t>
      </w:r>
    </w:p>
    <w:p w:rsidR="00277CCE" w:rsidRDefault="00757A58">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Aby to osiągnąć, niezbędna jest efektywna i zrównoważona krajowa strategia w zakresie zarządza</w:t>
      </w:r>
      <w:r>
        <w:rPr>
          <w:rFonts w:ascii="Times New Roman" w:eastAsiaTheme="minorHAnsi" w:hAnsi="Times New Roman"/>
          <w:noProof/>
          <w:color w:val="000000"/>
          <w:sz w:val="24"/>
        </w:rPr>
        <w:t>nia migracjami. Wymaga to wprowadzenia skutecznej współpracy i koordynacji między wszystkimi właściwymi organami krajowymi wraz z procesami działań operacyjnych i ustalaniem wspólnych zasad ustalania priorytetów.</w:t>
      </w:r>
    </w:p>
    <w:p w:rsidR="00277CCE" w:rsidRDefault="00757A58">
      <w:pPr>
        <w:keepNext/>
        <w:spacing w:after="120"/>
        <w:jc w:val="both"/>
        <w:rPr>
          <w:rFonts w:ascii="Times New Roman" w:hAnsi="Times New Roman"/>
          <w:i/>
          <w:noProof/>
          <w:sz w:val="24"/>
        </w:rPr>
      </w:pPr>
      <w:r>
        <w:rPr>
          <w:rFonts w:ascii="Times New Roman" w:hAnsi="Times New Roman"/>
          <w:i/>
          <w:noProof/>
          <w:sz w:val="24"/>
        </w:rPr>
        <w:t>Potrzeba ustanowienia rozwiązań tymczasowyc</w:t>
      </w:r>
      <w:r>
        <w:rPr>
          <w:rFonts w:ascii="Times New Roman" w:hAnsi="Times New Roman"/>
          <w:i/>
          <w:noProof/>
          <w:sz w:val="24"/>
        </w:rPr>
        <w:t>h w zakresie zajścia na ląd w UE</w:t>
      </w:r>
    </w:p>
    <w:p w:rsidR="00277CCE" w:rsidRDefault="00757A58">
      <w:pPr>
        <w:jc w:val="both"/>
        <w:rPr>
          <w:rFonts w:ascii="Times New Roman" w:hAnsi="Times New Roman"/>
          <w:noProof/>
          <w:color w:val="000000"/>
          <w:sz w:val="24"/>
        </w:rPr>
      </w:pPr>
      <w:r>
        <w:rPr>
          <w:rFonts w:ascii="Times New Roman" w:hAnsi="Times New Roman"/>
          <w:noProof/>
          <w:sz w:val="24"/>
        </w:rPr>
        <w:t>Już w lecie 2018 r. można było zaobserwować szereg sytuacji, w których państwa członkowskie nie mogły szybko dojść do porozumienia w sprawie zejścia migrantów na ląd oraz związanych z tym działań następczych. W związku z ty</w:t>
      </w:r>
      <w:r>
        <w:rPr>
          <w:rFonts w:ascii="Times New Roman" w:hAnsi="Times New Roman"/>
          <w:noProof/>
          <w:sz w:val="24"/>
        </w:rPr>
        <w:t xml:space="preserve">m zastosowane rozwiązania miały ograniczony i doraźny charakter. W styczniu 2019 r. potrzeba znalezienia rozwiązania w sprawie statku poszukiwawczo-ratowniczego </w:t>
      </w:r>
      <w:r>
        <w:rPr>
          <w:rFonts w:ascii="Times New Roman" w:hAnsi="Times New Roman"/>
          <w:i/>
          <w:noProof/>
          <w:sz w:val="24"/>
        </w:rPr>
        <w:t>Sea-Watch 3</w:t>
      </w:r>
      <w:r>
        <w:rPr>
          <w:rFonts w:ascii="Times New Roman" w:hAnsi="Times New Roman"/>
          <w:noProof/>
          <w:sz w:val="24"/>
        </w:rPr>
        <w:t xml:space="preserve"> doprowadziła do podjęcia szczególnych starań, aby skoordynować działania szeregu pa</w:t>
      </w:r>
      <w:r>
        <w:rPr>
          <w:rFonts w:ascii="Times New Roman" w:hAnsi="Times New Roman"/>
          <w:noProof/>
          <w:sz w:val="24"/>
        </w:rPr>
        <w:t>ństw członkowskich, Komisji i właściwych agencji. Chociaż w tę sprawę zaangażowana była jedynie niewielka liczba osób, to praktyczne doświadczenie pokazało, że istnieje chęć znalezienia bardziej efektywnych ram współpracy w duchu solidarności, a także zach</w:t>
      </w:r>
      <w:r>
        <w:rPr>
          <w:rFonts w:ascii="Times New Roman" w:hAnsi="Times New Roman"/>
          <w:noProof/>
          <w:sz w:val="24"/>
        </w:rPr>
        <w:t xml:space="preserve">ęciło do pracy nad bardziej systematycznym i skoordynowanym podejściem UE do zejścia na ląd, pierwszego przyjęcia, rejestracji oraz relokacji w formie rozwiązań tymczasowych. </w:t>
      </w:r>
      <w:r>
        <w:rPr>
          <w:rFonts w:ascii="Times New Roman" w:hAnsi="Times New Roman"/>
          <w:noProof/>
          <w:color w:val="000000"/>
          <w:sz w:val="24"/>
        </w:rPr>
        <w:t>Może to obejmować przejrzysty stopniowy plan prac, który zapewniłby zainteresowan</w:t>
      </w:r>
      <w:r>
        <w:rPr>
          <w:rFonts w:ascii="Times New Roman" w:hAnsi="Times New Roman"/>
          <w:noProof/>
          <w:color w:val="000000"/>
          <w:sz w:val="24"/>
        </w:rPr>
        <w:t>emu państwu członkowskiemu operacyjne i skuteczne wsparcie, którego potrzebuje od Komisji, agencji UE i pozostałych państw członkowskich.</w:t>
      </w:r>
    </w:p>
    <w:p w:rsidR="00277CCE" w:rsidRDefault="00277CCE">
      <w:pPr>
        <w:jc w:val="both"/>
        <w:rPr>
          <w:rFonts w:ascii="Times New Roman" w:hAnsi="Times New Roman"/>
          <w:noProof/>
          <w:color w:val="000000"/>
          <w:sz w:val="24"/>
        </w:rPr>
      </w:pPr>
    </w:p>
    <w:p w:rsidR="00277CCE" w:rsidRDefault="00757A58">
      <w:pPr>
        <w:jc w:val="both"/>
        <w:rPr>
          <w:rFonts w:ascii="Times New Roman" w:hAnsi="Times New Roman"/>
          <w:noProof/>
          <w:color w:val="000000" w:themeColor="text1"/>
          <w:sz w:val="24"/>
          <w:szCs w:val="24"/>
        </w:rPr>
      </w:pPr>
      <w:r>
        <w:rPr>
          <w:rFonts w:ascii="Times New Roman" w:hAnsi="Times New Roman"/>
          <w:noProof/>
          <w:sz w:val="24"/>
        </w:rPr>
        <w:t>Chociaż szybkie ukończenie reformy legislacyjnej wspólnego europejskiego systemu azylowego pozostaje kwestią prioryte</w:t>
      </w:r>
      <w:r>
        <w:rPr>
          <w:rFonts w:ascii="Times New Roman" w:hAnsi="Times New Roman"/>
          <w:noProof/>
          <w:sz w:val="24"/>
        </w:rPr>
        <w:t>tową, Komisja już w grudniu 2018 r. podkreśliła wartość takich rozwiązań tymczasowych</w:t>
      </w:r>
      <w:r>
        <w:rPr>
          <w:rStyle w:val="FootnoteReference"/>
          <w:rFonts w:ascii="Times New Roman" w:hAnsi="Times New Roman"/>
          <w:noProof/>
          <w:sz w:val="24"/>
        </w:rPr>
        <w:footnoteReference w:id="26"/>
      </w:r>
      <w:r>
        <w:rPr>
          <w:rFonts w:ascii="Times New Roman" w:hAnsi="Times New Roman"/>
          <w:noProof/>
          <w:sz w:val="24"/>
        </w:rPr>
        <w:t xml:space="preserve"> w ramach natychmiastowego skoordynowanego podejścia do zejścia na ląd i innych szczególnie pilnych kwestii w UE.</w:t>
      </w:r>
      <w:r>
        <w:rPr>
          <w:rFonts w:ascii="Times New Roman" w:hAnsi="Times New Roman"/>
          <w:noProof/>
          <w:color w:val="000000" w:themeColor="text1"/>
          <w:sz w:val="24"/>
        </w:rPr>
        <w:t xml:space="preserve"> </w:t>
      </w:r>
      <w:r>
        <w:rPr>
          <w:rFonts w:ascii="Times New Roman" w:hAnsi="Times New Roman"/>
          <w:noProof/>
          <w:sz w:val="24"/>
        </w:rPr>
        <w:t>Rozwiązania takie oznaczałyby zastosowanie zasad solidar</w:t>
      </w:r>
      <w:r>
        <w:rPr>
          <w:rFonts w:ascii="Times New Roman" w:hAnsi="Times New Roman"/>
          <w:noProof/>
          <w:sz w:val="24"/>
        </w:rPr>
        <w:t>ności i odpowiedzialności w praktyce w oparciu o wzajemne zrozumienie wspólnych interesów jako mechanizmu pomostowego do czasu zakończenia reformy legislacyjnej i wejścia w życie nowych przepisów. UE będzie wtedy rzeczywiście dysponowała lepszymi narzędzia</w:t>
      </w:r>
      <w:r>
        <w:rPr>
          <w:rFonts w:ascii="Times New Roman" w:hAnsi="Times New Roman"/>
          <w:noProof/>
          <w:sz w:val="24"/>
        </w:rPr>
        <w:t>mi niż w dniu dzisiejszym, dzięki którym będzie mogła być solidarna w sposób ustrukturyzowany, efektywny i elastyczny, jednocześnie skutecznie zapobiegając wtórnym przepływom i czynnikom przyciągającym. Aby podejście to się sprawdziło, musi w nim uczestnic</w:t>
      </w:r>
      <w:r>
        <w:rPr>
          <w:rFonts w:ascii="Times New Roman" w:hAnsi="Times New Roman"/>
          <w:noProof/>
          <w:sz w:val="24"/>
        </w:rPr>
        <w:t>zyć jak największa liczba państw członkowskich. Kluczowe elementy takich rozwiązań tymczasowych mogą być następujące:</w:t>
      </w:r>
    </w:p>
    <w:p w:rsidR="00277CCE" w:rsidRDefault="00277CCE">
      <w:pPr>
        <w:ind w:left="426" w:hanging="426"/>
        <w:jc w:val="both"/>
        <w:rPr>
          <w:rFonts w:ascii="Times New Roman" w:hAnsi="Times New Roman"/>
          <w:noProof/>
          <w:sz w:val="24"/>
          <w:szCs w:val="24"/>
        </w:rPr>
      </w:pPr>
    </w:p>
    <w:p w:rsidR="00277CCE" w:rsidRDefault="00757A58">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w sytuacji gdy państwo członkowskie znajduje się pod presją lub gdy zachodzi potrzeba pomocy w szybkim zejściu na ląd po akcji poszukiwawczo-ratowniczej, państwo członkowskie, o którym mowa, zwraca się o pomoc; </w:t>
      </w:r>
    </w:p>
    <w:p w:rsidR="00277CCE" w:rsidRDefault="00757A58">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w odpowiedzi na ten wniosek należy określić </w:t>
      </w:r>
      <w:r>
        <w:rPr>
          <w:rFonts w:ascii="Times New Roman" w:hAnsi="Times New Roman"/>
          <w:noProof/>
          <w:sz w:val="24"/>
        </w:rPr>
        <w:t>konkretne wsparcie, którego państwa członkowskie mogą udzielić w ramach środków solidarnościowych. Środki solidarnościowe oferowane przez państwa członkowskie muszą być bilansowane przez państwa członkowskie korzystające ze wsparcia poprzez wywiązywanie si</w:t>
      </w:r>
      <w:r>
        <w:rPr>
          <w:rFonts w:ascii="Times New Roman" w:hAnsi="Times New Roman"/>
          <w:noProof/>
          <w:sz w:val="24"/>
        </w:rPr>
        <w:t xml:space="preserve">ę ze swoich zobowiązań w zakresie odpowiednich działań dotyczących zarządzania osobami przybywającymi; </w:t>
      </w:r>
    </w:p>
    <w:p w:rsidR="00277CCE" w:rsidRDefault="00757A58">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należy wprowadzić strukturę koordynacji działań następczych w przypadku takich zgłoszeń państw członkowskich, w którą zaangażowane będą główne zainteres</w:t>
      </w:r>
      <w:r>
        <w:rPr>
          <w:rFonts w:ascii="Times New Roman" w:hAnsi="Times New Roman"/>
          <w:noProof/>
          <w:sz w:val="24"/>
        </w:rPr>
        <w:t xml:space="preserve">owane strony, takie jak Komisja i agencje UE; </w:t>
      </w:r>
    </w:p>
    <w:p w:rsidR="00277CCE" w:rsidRDefault="00757A58">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agencje UE dysponują odpowiednimi środkami, aby udzielić niezbędnego wsparcia w obszarach takich jak pierwsze przyjęcie, rejestracja, relokacja i powroty; </w:t>
      </w:r>
    </w:p>
    <w:p w:rsidR="00277CCE" w:rsidRDefault="00757A58">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wsparcie finansowe z budżetu UE będzie udostępniane t</w:t>
      </w:r>
      <w:r>
        <w:rPr>
          <w:rFonts w:ascii="Times New Roman" w:hAnsi="Times New Roman"/>
          <w:noProof/>
          <w:sz w:val="24"/>
        </w:rPr>
        <w:t>ym państwom członkowskim, które dobrowolnie przeprowadzają relokacje, a także do celów wsparcia operacji powrotowych. Wsparcie finansowe będzie także udostępniane państwom członkowskim, które znajdują się pod presją.</w:t>
      </w:r>
    </w:p>
    <w:p w:rsidR="00277CCE" w:rsidRDefault="00277CCE">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277CCE">
        <w:tc>
          <w:tcPr>
            <w:tcW w:w="9286" w:type="dxa"/>
            <w:shd w:val="clear" w:color="auto" w:fill="1F497D" w:themeFill="text2"/>
          </w:tcPr>
          <w:p w:rsidR="00277CCE" w:rsidRDefault="00757A58">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Najważniejsze natychmiastowe działania</w:t>
            </w:r>
          </w:p>
        </w:tc>
      </w:tr>
      <w:tr w:rsidR="00277CCE">
        <w:tc>
          <w:tcPr>
            <w:tcW w:w="9286" w:type="dxa"/>
            <w:shd w:val="clear" w:color="auto" w:fill="C6D9F1" w:themeFill="text2" w:themeFillTint="33"/>
          </w:tcPr>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W ramach kompleksowego podejścia nowa pomoc udzielona </w:t>
            </w:r>
            <w:r>
              <w:rPr>
                <w:rFonts w:ascii="Times New Roman" w:eastAsiaTheme="minorHAnsi" w:hAnsi="Times New Roman"/>
                <w:b/>
                <w:i/>
                <w:noProof/>
                <w:color w:val="000000"/>
                <w:sz w:val="24"/>
              </w:rPr>
              <w:t>Maroko</w:t>
            </w:r>
            <w:r>
              <w:rPr>
                <w:rFonts w:ascii="Times New Roman" w:eastAsiaTheme="minorHAnsi" w:hAnsi="Times New Roman"/>
                <w:noProof/>
                <w:color w:val="000000"/>
                <w:sz w:val="24"/>
              </w:rPr>
              <w:t xml:space="preserve"> przez UE i Hiszpanię powinna być przeznaczona na ograniczenie liczby osób o nieuregulowanym statusie przybywających z wybrzeża marokańskiego i prowadzić do dalszego pogłębienia stosunków z Maro</w:t>
            </w:r>
            <w:r>
              <w:rPr>
                <w:rFonts w:ascii="Times New Roman" w:eastAsiaTheme="minorHAnsi" w:hAnsi="Times New Roman"/>
                <w:noProof/>
                <w:color w:val="000000"/>
                <w:sz w:val="24"/>
              </w:rPr>
              <w:t>kiem oraz innymi właściwymi państwami w celu zwiększenia readmisji migrantów o nieuregulowanym statusie.</w:t>
            </w:r>
          </w:p>
          <w:p w:rsidR="00277CCE" w:rsidRDefault="00757A58">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UE powinna zintensyfikować współpracę z grupą zadaniową obejmującą Unię Afrykańską, Unię Europejską i Organizację Narodów Zjednoczonych, aby nadal popr</w:t>
            </w:r>
            <w:r>
              <w:rPr>
                <w:rFonts w:ascii="Times New Roman" w:eastAsiaTheme="minorHAnsi" w:hAnsi="Times New Roman"/>
                <w:noProof/>
                <w:color w:val="000000"/>
                <w:sz w:val="24"/>
              </w:rPr>
              <w:t xml:space="preserve">awiać </w:t>
            </w:r>
            <w:r>
              <w:rPr>
                <w:rFonts w:ascii="Times New Roman" w:eastAsiaTheme="minorHAnsi" w:hAnsi="Times New Roman"/>
                <w:b/>
                <w:i/>
                <w:noProof/>
                <w:color w:val="000000"/>
                <w:sz w:val="24"/>
              </w:rPr>
              <w:t>warunki w Libii</w:t>
            </w:r>
            <w:r>
              <w:rPr>
                <w:rFonts w:ascii="Times New Roman" w:eastAsiaTheme="minorHAnsi" w:hAnsi="Times New Roman"/>
                <w:noProof/>
                <w:color w:val="000000"/>
                <w:sz w:val="24"/>
              </w:rPr>
              <w:t xml:space="preserve"> oraz pracować nad zakończeniem działania obecnego systemu ośrodków detencyjnych, a także nad pokonaniem przeszkód w dostępie organizacji międzynarodowych oraz w zakresie dobrowolnych powrotów migrantów oraz ewakuacji uchodźców; </w:t>
            </w:r>
            <w:r>
              <w:rPr>
                <w:rFonts w:ascii="Times New Roman" w:hAnsi="Times New Roman"/>
                <w:noProof/>
                <w:sz w:val="24"/>
              </w:rPr>
              <w:t>należy</w:t>
            </w:r>
            <w:r>
              <w:rPr>
                <w:rFonts w:ascii="Times New Roman" w:hAnsi="Times New Roman"/>
                <w:noProof/>
                <w:sz w:val="24"/>
              </w:rPr>
              <w:t xml:space="preserve"> zapewnić systematyczną i interoperacyjną rejestrację wszystkich migrantów, którzy zeszli na ląd i zostali zatrzymani. </w:t>
            </w:r>
          </w:p>
          <w:p w:rsidR="00277CCE" w:rsidRDefault="00757A58">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b/>
                <w:i/>
                <w:noProof/>
                <w:color w:val="000000"/>
                <w:sz w:val="24"/>
              </w:rPr>
              <w:t>Grecja</w:t>
            </w:r>
            <w:r>
              <w:rPr>
                <w:rFonts w:ascii="Times New Roman" w:eastAsiaTheme="minorHAnsi" w:hAnsi="Times New Roman"/>
                <w:noProof/>
                <w:color w:val="000000"/>
                <w:sz w:val="24"/>
              </w:rPr>
              <w:t xml:space="preserve"> powinna pilnie wprowadzić skuteczną i zrównoważoną krajową strategię zarządzania migracją, aby wyeliminować utrzymujące się niedo</w:t>
            </w:r>
            <w:r>
              <w:rPr>
                <w:rFonts w:ascii="Times New Roman" w:eastAsiaTheme="minorHAnsi" w:hAnsi="Times New Roman"/>
                <w:noProof/>
                <w:color w:val="000000"/>
                <w:sz w:val="24"/>
              </w:rPr>
              <w:t xml:space="preserve">ciągnięcia, dotyczące na przykład powrotów i małoletnich bez opieki, przy jak najlepszym wykorzystaniu znacznego wsparcia udzielanego przez UE. </w:t>
            </w:r>
          </w:p>
          <w:p w:rsidR="00277CCE" w:rsidRDefault="00757A58">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Należy wdrożyć zestaw </w:t>
            </w:r>
            <w:r>
              <w:rPr>
                <w:rFonts w:ascii="Times New Roman" w:eastAsiaTheme="minorHAnsi" w:hAnsi="Times New Roman"/>
                <w:b/>
                <w:i/>
                <w:noProof/>
                <w:sz w:val="24"/>
              </w:rPr>
              <w:t>rozwiązań tymczasowych</w:t>
            </w:r>
            <w:r>
              <w:rPr>
                <w:rFonts w:ascii="Times New Roman" w:eastAsiaTheme="minorHAnsi" w:hAnsi="Times New Roman"/>
                <w:noProof/>
                <w:sz w:val="24"/>
              </w:rPr>
              <w:t xml:space="preserve"> w sprawie zejścia na ląd, w których znaczna większość państw członkowskich byłaby gotowa wziąć udział, stosując działania solidarnościowe.</w:t>
            </w:r>
          </w:p>
        </w:tc>
      </w:tr>
    </w:tbl>
    <w:p w:rsidR="00277CCE" w:rsidRDefault="00277CCE">
      <w:pPr>
        <w:jc w:val="both"/>
        <w:rPr>
          <w:rFonts w:ascii="Times New Roman" w:hAnsi="Times New Roman"/>
          <w:b/>
          <w:noProof/>
          <w:color w:val="000000"/>
          <w:sz w:val="24"/>
        </w:rPr>
      </w:pPr>
    </w:p>
    <w:p w:rsidR="00277CCE" w:rsidRDefault="00277CCE">
      <w:pPr>
        <w:jc w:val="both"/>
        <w:rPr>
          <w:rFonts w:ascii="Times New Roman" w:hAnsi="Times New Roman"/>
          <w:b/>
          <w:noProof/>
          <w:color w:val="000000"/>
          <w:sz w:val="24"/>
          <w:szCs w:val="24"/>
        </w:rPr>
      </w:pPr>
    </w:p>
    <w:p w:rsidR="00277CCE" w:rsidRDefault="00757A58">
      <w:pPr>
        <w:pStyle w:val="ListParagraph"/>
        <w:numPr>
          <w:ilvl w:val="0"/>
          <w:numId w:val="2"/>
        </w:numPr>
        <w:jc w:val="both"/>
        <w:rPr>
          <w:rFonts w:ascii="Times New Roman" w:hAnsi="Times New Roman"/>
          <w:b/>
          <w:noProof/>
          <w:sz w:val="24"/>
          <w:szCs w:val="24"/>
        </w:rPr>
      </w:pPr>
      <w:r>
        <w:rPr>
          <w:rFonts w:ascii="Times New Roman" w:hAnsi="Times New Roman"/>
          <w:b/>
          <w:noProof/>
          <w:sz w:val="24"/>
        </w:rPr>
        <w:t>ZARZĄDZANIE MIGRACJAMI ZGODNIE Z CZTEREMA FILARAMI</w:t>
      </w:r>
    </w:p>
    <w:p w:rsidR="00277CCE" w:rsidRDefault="00277CCE">
      <w:pPr>
        <w:pStyle w:val="ListParagraph"/>
        <w:jc w:val="both"/>
        <w:rPr>
          <w:rFonts w:ascii="Times New Roman" w:hAnsi="Times New Roman"/>
          <w:b/>
          <w:noProof/>
          <w:sz w:val="24"/>
          <w:szCs w:val="24"/>
        </w:rPr>
      </w:pPr>
    </w:p>
    <w:p w:rsidR="00277CCE" w:rsidRDefault="00757A58">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Rozwiązywanie problemów związanych z przyczynami migracji </w:t>
      </w:r>
      <w:r>
        <w:rPr>
          <w:rFonts w:ascii="Times New Roman" w:hAnsi="Times New Roman"/>
          <w:b/>
          <w:i/>
          <w:noProof/>
          <w:sz w:val="24"/>
        </w:rPr>
        <w:t>nieuregulowanej: współpraca z partnerami</w:t>
      </w:r>
    </w:p>
    <w:p w:rsidR="00277CCE" w:rsidRDefault="00277CCE">
      <w:pPr>
        <w:jc w:val="both"/>
        <w:rPr>
          <w:rFonts w:ascii="Times New Roman" w:hAnsi="Times New Roman"/>
          <w:noProof/>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 xml:space="preserve">Od czasu przyjęcia ram partnerstwa w dziedzinie migracji migracja stała się głównym elementem w stosunkach zewnętrznych UE – partnerstwa na skalę światową oraz długoterminowa współpraca mają kluczowe znaczenie dla </w:t>
      </w:r>
      <w:r>
        <w:rPr>
          <w:rFonts w:ascii="Times New Roman" w:hAnsi="Times New Roman"/>
          <w:noProof/>
          <w:color w:val="000000"/>
          <w:sz w:val="24"/>
        </w:rPr>
        <w:t>zarządzania wszystkimi aspektami migracji</w:t>
      </w:r>
      <w:r>
        <w:rPr>
          <w:rStyle w:val="FootnoteReference"/>
          <w:rFonts w:ascii="Times New Roman" w:hAnsi="Times New Roman"/>
          <w:noProof/>
          <w:color w:val="000000"/>
          <w:sz w:val="24"/>
        </w:rPr>
        <w:footnoteReference w:id="27"/>
      </w:r>
      <w:r>
        <w:rPr>
          <w:rFonts w:ascii="Times New Roman" w:hAnsi="Times New Roman"/>
          <w:noProof/>
          <w:color w:val="000000"/>
          <w:sz w:val="24"/>
        </w:rPr>
        <w:t>. Migracja stanowi integralną część ogólnych relacji z krajami partnerskimi. Kompleksowe, wspólne podejście oparte na wielostronności posiada nadrzędne znaczenie na forach dwustronnych, regionalnych i wielostronnyc</w:t>
      </w:r>
      <w:r>
        <w:rPr>
          <w:rFonts w:ascii="Times New Roman" w:hAnsi="Times New Roman"/>
          <w:noProof/>
          <w:color w:val="000000"/>
          <w:sz w:val="24"/>
        </w:rPr>
        <w:t>h, aby możliwe było dalsze zacieśnianie współpracy z partnerami.</w:t>
      </w:r>
    </w:p>
    <w:p w:rsidR="00277CCE" w:rsidRDefault="00277CCE">
      <w:pPr>
        <w:jc w:val="both"/>
        <w:rPr>
          <w:rFonts w:ascii="Times New Roman" w:hAnsi="Times New Roman"/>
          <w:noProof/>
          <w:color w:val="000000"/>
          <w:sz w:val="24"/>
          <w:szCs w:val="24"/>
        </w:rPr>
      </w:pPr>
    </w:p>
    <w:p w:rsidR="00277CCE" w:rsidRDefault="00757A58">
      <w:pPr>
        <w:keepNext/>
        <w:spacing w:after="120"/>
        <w:jc w:val="both"/>
        <w:rPr>
          <w:rFonts w:ascii="Times New Roman" w:hAnsi="Times New Roman"/>
          <w:i/>
          <w:noProof/>
          <w:color w:val="000000"/>
          <w:sz w:val="24"/>
          <w:szCs w:val="24"/>
        </w:rPr>
      </w:pPr>
      <w:r>
        <w:rPr>
          <w:rFonts w:ascii="Times New Roman" w:hAnsi="Times New Roman"/>
          <w:i/>
          <w:noProof/>
          <w:color w:val="000000"/>
          <w:sz w:val="24"/>
        </w:rPr>
        <w:t>Zwalczanie podstawowych przyczyn migracji</w:t>
      </w: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 xml:space="preserve">Unijny kryzysowy fundusz powierniczy na rzecz stabilności oraz eliminowania przyczyn migracji nieuregulowanej i wysiedleń w Afryce okazał się stanowić wartość dodaną jako szybkie i skuteczne narzędzie realizacji ułatwiające nawiązanie dialogu politycznego </w:t>
      </w:r>
      <w:r>
        <w:rPr>
          <w:rFonts w:ascii="Times New Roman" w:hAnsi="Times New Roman"/>
          <w:noProof/>
          <w:color w:val="000000"/>
          <w:sz w:val="24"/>
        </w:rPr>
        <w:t>z krajami partnerskimi, a w jego ramach stosowane są innowacyjne podejścia i uzyskiwane konkretne rezultaty dzięki połączeniu finansowania i wiedzy eksperckiej szeregu zainteresowanych stron, w szczególności państw członkowskich UE. Od początku działania f</w:t>
      </w:r>
      <w:r>
        <w:rPr>
          <w:rFonts w:ascii="Times New Roman" w:hAnsi="Times New Roman"/>
          <w:noProof/>
          <w:color w:val="000000"/>
          <w:sz w:val="24"/>
        </w:rPr>
        <w:t xml:space="preserve">unduszu powierniczego w 2016 r. jego zasoby osiągnęły już wartość ponad </w:t>
      </w:r>
      <w:r>
        <w:rPr>
          <w:rFonts w:ascii="Times New Roman" w:hAnsi="Times New Roman"/>
          <w:noProof/>
          <w:sz w:val="24"/>
        </w:rPr>
        <w:t xml:space="preserve">4,2 mld EUR i uzgodniona została realizacja ponad </w:t>
      </w:r>
      <w:r>
        <w:rPr>
          <w:rFonts w:ascii="Times New Roman" w:hAnsi="Times New Roman"/>
          <w:noProof/>
          <w:color w:val="000000"/>
          <w:sz w:val="24"/>
        </w:rPr>
        <w:t>188 programów</w:t>
      </w:r>
      <w:r>
        <w:rPr>
          <w:rStyle w:val="FootnoteReference"/>
          <w:rFonts w:ascii="Times New Roman" w:hAnsi="Times New Roman"/>
          <w:noProof/>
          <w:color w:val="000000"/>
          <w:sz w:val="24"/>
        </w:rPr>
        <w:footnoteReference w:id="28"/>
      </w:r>
      <w:r>
        <w:rPr>
          <w:rFonts w:ascii="Times New Roman" w:hAnsi="Times New Roman"/>
          <w:noProof/>
          <w:color w:val="000000"/>
          <w:sz w:val="24"/>
        </w:rPr>
        <w:t>. Należy zachować poczynione postępy. Bez dodatkowego wkładu państw fundusz powierniczy UE nie będzie mógł jednak finans</w:t>
      </w:r>
      <w:r>
        <w:rPr>
          <w:rFonts w:ascii="Times New Roman" w:hAnsi="Times New Roman"/>
          <w:noProof/>
          <w:color w:val="000000"/>
          <w:sz w:val="24"/>
        </w:rPr>
        <w:t>ować nowych inicjatyw, dofinansowywać wysoce wartościowych programów, które obecnie dają wyniki, ani zapełniać luki okna północnej Afryki; okno Sahelu i jeziora Czad już w 2019 r. wykazuje niedopasowanie poziomu płynności. Kluczowe znaczenie ma również to,</w:t>
      </w:r>
      <w:r>
        <w:rPr>
          <w:rFonts w:ascii="Times New Roman" w:hAnsi="Times New Roman"/>
          <w:noProof/>
          <w:color w:val="000000"/>
          <w:sz w:val="24"/>
        </w:rPr>
        <w:t xml:space="preserve"> aby elastyczność i zdolność reagowania, które zapewnia fundusz powierniczy, pozostały kluczowymi elementami w kolejnych wieloletnich ramach finansowych, a także aby zachowano ciągłość działania.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i/>
          <w:noProof/>
          <w:sz w:val="24"/>
          <w:szCs w:val="24"/>
        </w:rPr>
      </w:pPr>
      <w:r>
        <w:rPr>
          <w:rFonts w:ascii="Times New Roman" w:hAnsi="Times New Roman"/>
          <w:noProof/>
          <w:sz w:val="24"/>
        </w:rPr>
        <w:t>Dalsze wsparcie na rzecz utrzymania migrantów i gospodarek</w:t>
      </w:r>
      <w:r>
        <w:rPr>
          <w:rFonts w:ascii="Times New Roman" w:hAnsi="Times New Roman"/>
          <w:noProof/>
          <w:sz w:val="24"/>
        </w:rPr>
        <w:t xml:space="preserve"> w Afryce Subsaharyjskiej i krajach objętych unijną polityką sąsiedztwa będzie udzielane w ramach planu inwestycji zewnętrznych. 1,54 mld EUR na 28 zatwierdzonych już programów gwarancji powinno odblokować inwestycje o wartości 17,5 mld EUR, obejmujące obs</w:t>
      </w:r>
      <w:r>
        <w:rPr>
          <w:rFonts w:ascii="Times New Roman" w:hAnsi="Times New Roman"/>
          <w:noProof/>
          <w:sz w:val="24"/>
        </w:rPr>
        <w:t>zary takie jak dostęp do finansowania mikroprzedsiębiorstw, małych i średnich przedsiębiorstw, energii i łączności, miast, rolnictwa i obszaru cyfrowego (w tym e-zdrowia)</w:t>
      </w:r>
      <w:r>
        <w:rPr>
          <w:rStyle w:val="FootnoteReference"/>
          <w:rFonts w:ascii="Times New Roman" w:hAnsi="Times New Roman"/>
          <w:noProof/>
          <w:sz w:val="24"/>
        </w:rPr>
        <w:footnoteReference w:id="29"/>
      </w:r>
      <w:r>
        <w:rPr>
          <w:rFonts w:ascii="Times New Roman" w:hAnsi="Times New Roman"/>
          <w:noProof/>
          <w:sz w:val="24"/>
        </w:rPr>
        <w:t xml:space="preserve">. Na 94 projekty łączone przeznaczono 2,2 mld EUR i przewiduje się, że uruchomią one </w:t>
      </w:r>
      <w:r>
        <w:rPr>
          <w:rFonts w:ascii="Times New Roman" w:hAnsi="Times New Roman"/>
          <w:noProof/>
          <w:sz w:val="24"/>
        </w:rPr>
        <w:t xml:space="preserve">do 19,5 mld EUR; łącznie inwestycje osiągnęły wartość około 37 mld EUR, a plan zakładający realizację wstępnych prognoz i uruchomienie 44 mld EUR jest w trakcie wdrażania, co będzie stanowiło istotne pobudzenie dynamiki gospodarki. </w:t>
      </w:r>
    </w:p>
    <w:p w:rsidR="00277CCE" w:rsidRDefault="00277CCE">
      <w:pPr>
        <w:jc w:val="both"/>
        <w:rPr>
          <w:rFonts w:ascii="Times New Roman" w:hAnsi="Times New Roman"/>
          <w:noProof/>
          <w:color w:val="000000"/>
          <w:sz w:val="24"/>
          <w:szCs w:val="24"/>
        </w:rPr>
      </w:pPr>
    </w:p>
    <w:p w:rsidR="00277CCE" w:rsidRDefault="00757A58">
      <w:pPr>
        <w:keepNext/>
        <w:spacing w:after="120"/>
        <w:jc w:val="both"/>
        <w:rPr>
          <w:rFonts w:ascii="Times New Roman" w:hAnsi="Times New Roman"/>
          <w:i/>
          <w:noProof/>
          <w:color w:val="000000"/>
          <w:sz w:val="24"/>
          <w:szCs w:val="24"/>
        </w:rPr>
      </w:pPr>
      <w:r>
        <w:rPr>
          <w:rFonts w:ascii="Times New Roman" w:hAnsi="Times New Roman"/>
          <w:i/>
          <w:noProof/>
          <w:color w:val="000000"/>
          <w:sz w:val="24"/>
        </w:rPr>
        <w:t>Zwalczanie siatek prze</w:t>
      </w:r>
      <w:r>
        <w:rPr>
          <w:rFonts w:ascii="Times New Roman" w:hAnsi="Times New Roman"/>
          <w:i/>
          <w:noProof/>
          <w:color w:val="000000"/>
          <w:sz w:val="24"/>
        </w:rPr>
        <w:t>mytniczych</w:t>
      </w:r>
    </w:p>
    <w:p w:rsidR="00277CCE" w:rsidRDefault="00757A58">
      <w:pPr>
        <w:jc w:val="both"/>
        <w:rPr>
          <w:rFonts w:ascii="Times New Roman" w:hAnsi="Times New Roman"/>
          <w:noProof/>
          <w:sz w:val="24"/>
          <w:szCs w:val="24"/>
        </w:rPr>
      </w:pPr>
      <w:r>
        <w:rPr>
          <w:rFonts w:ascii="Times New Roman" w:hAnsi="Times New Roman"/>
          <w:noProof/>
          <w:sz w:val="24"/>
        </w:rPr>
        <w:t>Aby osłabić model działalności przemytników i podjąć walkę z siatkami przestępczymi, potrzebne są zdecydowane i nieprzerwane działania zarówno w UE, jak i poza jej granicami. Rada Europejska ponownie przypomniała o tym w październiku 2018 r., co</w:t>
      </w:r>
      <w:r>
        <w:rPr>
          <w:rFonts w:ascii="Times New Roman" w:hAnsi="Times New Roman"/>
          <w:noProof/>
          <w:sz w:val="24"/>
        </w:rPr>
        <w:t xml:space="preserve"> doprowadziło do wdrożenia zestawu środków operacyjnych przyjętych w grudniu 2018 r.</w:t>
      </w:r>
      <w:r>
        <w:rPr>
          <w:rStyle w:val="FootnoteReference"/>
          <w:rFonts w:ascii="Times New Roman" w:hAnsi="Times New Roman"/>
          <w:noProof/>
          <w:sz w:val="24"/>
        </w:rPr>
        <w:footnoteReference w:id="30"/>
      </w:r>
      <w:r>
        <w:rPr>
          <w:rFonts w:ascii="Times New Roman" w:hAnsi="Times New Roman"/>
          <w:noProof/>
          <w:sz w:val="24"/>
        </w:rPr>
        <w:t xml:space="preserve"> w celu poprawy ścigania przestępstw i uzupełnienia istniejącego Unijnego planu działania na rzecz zwalczania przemytu migrantów</w:t>
      </w:r>
      <w:r>
        <w:rPr>
          <w:rStyle w:val="FootnoteReference"/>
          <w:rFonts w:ascii="Times New Roman" w:hAnsi="Times New Roman"/>
          <w:noProof/>
          <w:sz w:val="24"/>
        </w:rPr>
        <w:footnoteReference w:id="31"/>
      </w:r>
      <w:r>
        <w:rPr>
          <w:rFonts w:ascii="Times New Roman" w:hAnsi="Times New Roman"/>
          <w:noProof/>
          <w:sz w:val="24"/>
        </w:rPr>
        <w:t xml:space="preserve">. </w:t>
      </w:r>
    </w:p>
    <w:p w:rsidR="00277CCE" w:rsidRDefault="00277CCE">
      <w:pPr>
        <w:jc w:val="both"/>
        <w:rPr>
          <w:rFonts w:ascii="Times New Roman" w:hAnsi="Times New Roman"/>
          <w:noProof/>
          <w:sz w:val="24"/>
          <w:szCs w:val="24"/>
        </w:rPr>
      </w:pPr>
    </w:p>
    <w:p w:rsidR="00277CCE" w:rsidRDefault="00757A58">
      <w:pPr>
        <w:jc w:val="both"/>
        <w:rPr>
          <w:rFonts w:ascii="Times New Roman" w:hAnsi="Times New Roman"/>
          <w:noProof/>
          <w:sz w:val="24"/>
        </w:rPr>
      </w:pPr>
      <w:r>
        <w:rPr>
          <w:rFonts w:ascii="Times New Roman" w:hAnsi="Times New Roman"/>
          <w:noProof/>
          <w:sz w:val="24"/>
        </w:rPr>
        <w:t>Zwalczanie siatek przemytniczych stano</w:t>
      </w:r>
      <w:r>
        <w:rPr>
          <w:rFonts w:ascii="Times New Roman" w:hAnsi="Times New Roman"/>
          <w:noProof/>
          <w:sz w:val="24"/>
        </w:rPr>
        <w:t xml:space="preserve">wi kluczowy element współpracy UE z partnerami z państw trzecich. </w:t>
      </w:r>
      <w:r>
        <w:rPr>
          <w:rFonts w:ascii="Times New Roman" w:hAnsi="Times New Roman"/>
          <w:noProof/>
          <w:color w:val="000000"/>
          <w:sz w:val="24"/>
        </w:rPr>
        <w:t>Nowe partnerstwo operacyjne kierowane przez Francję wraz z Senegalem będzie wdrażane w ramach funduszu powierniczego. W Nigrze wspólne zespoły dochodzeniowo-śledcze zrzeszające nigerskie, fr</w:t>
      </w:r>
      <w:r>
        <w:rPr>
          <w:rFonts w:ascii="Times New Roman" w:hAnsi="Times New Roman"/>
          <w:noProof/>
          <w:color w:val="000000"/>
          <w:sz w:val="24"/>
        </w:rPr>
        <w:t xml:space="preserve">ancuskie i hiszpańskie organy przeprowadziły ponad 200 postępowań. Aktualnie działania te należy rozszerzyć, uwzględniając południową granicę Libii, granicę nigersko-algierską i nigersko-nigeryjską. </w:t>
      </w:r>
      <w:r>
        <w:rPr>
          <w:rFonts w:ascii="Times New Roman" w:hAnsi="Times New Roman"/>
          <w:noProof/>
          <w:sz w:val="24"/>
        </w:rPr>
        <w:t>W</w:t>
      </w:r>
      <w:r>
        <w:rPr>
          <w:rFonts w:ascii="Times New Roman" w:hAnsi="Times New Roman"/>
          <w:noProof/>
          <w:color w:val="000000"/>
          <w:sz w:val="24"/>
        </w:rPr>
        <w:t> </w:t>
      </w:r>
      <w:r>
        <w:rPr>
          <w:rFonts w:ascii="Times New Roman" w:hAnsi="Times New Roman"/>
          <w:noProof/>
          <w:sz w:val="24"/>
        </w:rPr>
        <w:t>tym roku rozpoczęto ponadto sześć kampanii informacyjny</w:t>
      </w:r>
      <w:r>
        <w:rPr>
          <w:rFonts w:ascii="Times New Roman" w:hAnsi="Times New Roman"/>
          <w:noProof/>
          <w:sz w:val="24"/>
        </w:rPr>
        <w:t>ch i podnoszących świadomość na temat ryzyka migracji nieuregulowanej w Wybrzeżu Kości Słoniowej, Nigrze, Tunezji, Mali, Gwinei i Gambii</w:t>
      </w:r>
      <w:r>
        <w:rPr>
          <w:rStyle w:val="FootnoteReference"/>
          <w:rFonts w:ascii="Times New Roman" w:hAnsi="Times New Roman"/>
          <w:noProof/>
          <w:sz w:val="24"/>
        </w:rPr>
        <w:footnoteReference w:id="32"/>
      </w:r>
      <w:r>
        <w:rPr>
          <w:rFonts w:ascii="Times New Roman" w:hAnsi="Times New Roman"/>
          <w:noProof/>
          <w:sz w:val="24"/>
        </w:rPr>
        <w:t>.</w:t>
      </w:r>
    </w:p>
    <w:p w:rsidR="00277CCE" w:rsidRDefault="00277CCE">
      <w:pPr>
        <w:ind w:left="-51"/>
        <w:jc w:val="both"/>
        <w:rPr>
          <w:rFonts w:ascii="Times New Roman" w:hAnsi="Times New Roman"/>
          <w:noProof/>
          <w:color w:val="000000"/>
          <w:sz w:val="24"/>
          <w:szCs w:val="24"/>
        </w:rPr>
      </w:pPr>
    </w:p>
    <w:p w:rsidR="00277CCE" w:rsidRDefault="00757A58">
      <w:pPr>
        <w:ind w:left="-51"/>
        <w:jc w:val="both"/>
        <w:rPr>
          <w:rFonts w:ascii="Times New Roman" w:hAnsi="Times New Roman"/>
          <w:noProof/>
          <w:sz w:val="24"/>
          <w:szCs w:val="24"/>
        </w:rPr>
      </w:pPr>
      <w:r>
        <w:rPr>
          <w:rFonts w:ascii="Times New Roman" w:hAnsi="Times New Roman"/>
          <w:noProof/>
          <w:color w:val="000000"/>
          <w:sz w:val="24"/>
        </w:rPr>
        <w:t>Rozrastająca się infrastruktura przyczynia się do wspierania działań mających na celu zwalczanie siatek przemytniczy</w:t>
      </w:r>
      <w:r>
        <w:rPr>
          <w:rFonts w:ascii="Times New Roman" w:hAnsi="Times New Roman"/>
          <w:noProof/>
          <w:color w:val="000000"/>
          <w:sz w:val="24"/>
        </w:rPr>
        <w:t xml:space="preserve">ch. System wymiany informacji pozwala uzyskać lepszy obraz danych wywiadowczych Europolu i zapewnia wsparcie w ściganiu przestępstw przez Europol. Projekt pilotażowy komórki ds. informacji o przestępczości w ramach operacji „Sophia” stanowi pomost łączący </w:t>
      </w:r>
      <w:r>
        <w:rPr>
          <w:rFonts w:ascii="Times New Roman" w:hAnsi="Times New Roman"/>
          <w:noProof/>
          <w:color w:val="000000"/>
          <w:sz w:val="24"/>
        </w:rPr>
        <w:t>wymianę informacji między podmiotami cywilnymi i wymianę między podmiotami wojskowymi. Operacje w ramach wspólnej polityki bezpieczeństwa i obrony w Sahelu są w coraz większym stopniu ze sobą powiązane, zapewniając wpływ na sytuację w regionie. Kluczową ro</w:t>
      </w:r>
      <w:r>
        <w:rPr>
          <w:rFonts w:ascii="Times New Roman" w:hAnsi="Times New Roman"/>
          <w:noProof/>
          <w:color w:val="000000"/>
          <w:sz w:val="24"/>
        </w:rPr>
        <w:t>lę kanałów komunikacji odgrywają europejscy urzędnicy łącznikowi ds. migracji oddelegowani przez Komisję do 12 priorytetowych krajów partnerskich</w:t>
      </w:r>
      <w:r>
        <w:rPr>
          <w:rStyle w:val="FootnoteReference"/>
          <w:rFonts w:ascii="Times New Roman" w:hAnsi="Times New Roman"/>
          <w:noProof/>
          <w:color w:val="000000"/>
          <w:sz w:val="24"/>
        </w:rPr>
        <w:footnoteReference w:id="33"/>
      </w:r>
      <w:r>
        <w:rPr>
          <w:rFonts w:ascii="Times New Roman" w:hAnsi="Times New Roman"/>
          <w:noProof/>
          <w:color w:val="000000"/>
          <w:sz w:val="24"/>
        </w:rPr>
        <w:t>. Dzięki porozumieniu politycznemu osiągniętemu między Parlamentem Europejskim i Radą w sprawie niedawnego wni</w:t>
      </w:r>
      <w:r>
        <w:rPr>
          <w:rFonts w:ascii="Times New Roman" w:hAnsi="Times New Roman"/>
          <w:noProof/>
          <w:color w:val="000000"/>
          <w:sz w:val="24"/>
        </w:rPr>
        <w:t>osku Komisji</w:t>
      </w:r>
      <w:r>
        <w:rPr>
          <w:rStyle w:val="FootnoteReference"/>
          <w:rFonts w:ascii="Times New Roman" w:hAnsi="Times New Roman"/>
          <w:noProof/>
          <w:color w:val="000000"/>
          <w:sz w:val="24"/>
        </w:rPr>
        <w:footnoteReference w:id="34"/>
      </w:r>
      <w:r>
        <w:rPr>
          <w:rFonts w:ascii="Times New Roman" w:hAnsi="Times New Roman"/>
          <w:noProof/>
          <w:color w:val="000000"/>
          <w:sz w:val="24"/>
        </w:rPr>
        <w:t xml:space="preserve"> współpraca między sieciami urzędników łącznikowych ds. imigracji zarządzanymi przez państwa członkowskie, Komisją i agencje UE będzie nadal zacieśniana. </w:t>
      </w:r>
    </w:p>
    <w:p w:rsidR="00277CCE" w:rsidRDefault="00277CCE">
      <w:pPr>
        <w:ind w:left="-51"/>
        <w:jc w:val="both"/>
        <w:rPr>
          <w:rFonts w:ascii="Times New Roman" w:hAnsi="Times New Roman"/>
          <w:noProof/>
          <w:sz w:val="24"/>
          <w:szCs w:val="24"/>
        </w:rPr>
      </w:pPr>
    </w:p>
    <w:p w:rsidR="00277CCE" w:rsidRDefault="00757A58">
      <w:pPr>
        <w:ind w:left="-51"/>
        <w:jc w:val="both"/>
        <w:rPr>
          <w:rFonts w:ascii="Times New Roman" w:hAnsi="Times New Roman"/>
          <w:noProof/>
          <w:sz w:val="24"/>
          <w:szCs w:val="24"/>
        </w:rPr>
      </w:pPr>
      <w:r>
        <w:rPr>
          <w:rFonts w:ascii="Times New Roman" w:hAnsi="Times New Roman"/>
          <w:noProof/>
          <w:sz w:val="24"/>
        </w:rPr>
        <w:t xml:space="preserve">Wewnątrz UE współpraca operacyjna państw członkowskich jest wspierana za pośrednictwem </w:t>
      </w:r>
      <w:r>
        <w:rPr>
          <w:rFonts w:ascii="Times New Roman" w:hAnsi="Times New Roman"/>
          <w:noProof/>
          <w:sz w:val="24"/>
        </w:rPr>
        <w:t>dni wspólnych działań, w których uczestniczą państwa członkowskie, państwa trzecie, agencje UE i partnerzy zewnętrzni</w:t>
      </w:r>
      <w:r>
        <w:rPr>
          <w:rStyle w:val="FootnoteReference"/>
          <w:rFonts w:ascii="Times New Roman" w:hAnsi="Times New Roman"/>
          <w:noProof/>
          <w:sz w:val="24"/>
        </w:rPr>
        <w:footnoteReference w:id="35"/>
      </w:r>
      <w:r>
        <w:rPr>
          <w:rFonts w:ascii="Times New Roman" w:hAnsi="Times New Roman"/>
          <w:noProof/>
          <w:sz w:val="24"/>
        </w:rPr>
        <w:t>. W 2018 r. Europejskie Centrum Zwalczania Przemytu Migrantów działające przy Europolu wsparło 39 dni wspólnych akcji, w wyniku których do</w:t>
      </w:r>
      <w:r>
        <w:rPr>
          <w:rFonts w:ascii="Times New Roman" w:hAnsi="Times New Roman"/>
          <w:noProof/>
          <w:sz w:val="24"/>
        </w:rPr>
        <w:t>konano 607 aresztowań oraz wszczęto 101 spraw karnych o wysokim priorytecie. Wymiana informacji ma w dalszym ciągu kluczowe znaczenie: E</w:t>
      </w:r>
      <w:r>
        <w:rPr>
          <w:rFonts w:ascii="Times New Roman" w:hAnsi="Times New Roman"/>
          <w:noProof/>
          <w:color w:val="000000"/>
          <w:sz w:val="24"/>
        </w:rPr>
        <w:t>urostat pilotuje gromadzenie danych na temat statystyk spraw karnych dotyczących przemytu nielegalnych imigrantów, co pr</w:t>
      </w:r>
      <w:r>
        <w:rPr>
          <w:rFonts w:ascii="Times New Roman" w:hAnsi="Times New Roman"/>
          <w:noProof/>
          <w:color w:val="000000"/>
          <w:sz w:val="24"/>
        </w:rPr>
        <w:t>zynosi znaczące korzyści pod względem analizy trendów i reagowania na nie.</w:t>
      </w:r>
    </w:p>
    <w:p w:rsidR="00277CCE" w:rsidRDefault="00277CCE">
      <w:pPr>
        <w:jc w:val="both"/>
        <w:rPr>
          <w:rFonts w:ascii="Times New Roman" w:hAnsi="Times New Roman"/>
          <w:noProof/>
          <w:color w:val="000000"/>
          <w:sz w:val="24"/>
          <w:szCs w:val="24"/>
        </w:rPr>
      </w:pPr>
    </w:p>
    <w:p w:rsidR="00277CCE" w:rsidRDefault="00757A58">
      <w:pPr>
        <w:keepNext/>
        <w:spacing w:after="120"/>
        <w:jc w:val="both"/>
        <w:rPr>
          <w:rFonts w:ascii="Times New Roman" w:hAnsi="Times New Roman"/>
          <w:i/>
          <w:noProof/>
          <w:color w:val="000000"/>
          <w:sz w:val="24"/>
          <w:szCs w:val="24"/>
        </w:rPr>
      </w:pPr>
      <w:r>
        <w:rPr>
          <w:rFonts w:ascii="Times New Roman" w:hAnsi="Times New Roman"/>
          <w:i/>
          <w:noProof/>
          <w:color w:val="000000"/>
          <w:sz w:val="24"/>
        </w:rPr>
        <w:t>Powroty i readmisja</w:t>
      </w: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Rozwiązanie problemu niskiego odsetka powrotów z UE musi pozostać głównym celem. Jest to niezbędne ogniwo w łańcuchu zarządzania migracjami. Niski odsetek powro</w:t>
      </w:r>
      <w:r>
        <w:rPr>
          <w:rFonts w:ascii="Times New Roman" w:hAnsi="Times New Roman"/>
          <w:noProof/>
          <w:color w:val="000000"/>
          <w:sz w:val="24"/>
        </w:rPr>
        <w:t>tów podważa wiarygodność systemu w oczach opinii publicznej i w coraz większym stopniu zachęca do migracji nieuregulowanej oraz wtórnych przepływów. Do tego potrzebne są zarówno działania wewnątrz UE, jak i współpraca z państwami trzecimi. Dzięki planowi d</w:t>
      </w:r>
      <w:r>
        <w:rPr>
          <w:rFonts w:ascii="Times New Roman" w:hAnsi="Times New Roman"/>
          <w:noProof/>
          <w:color w:val="000000"/>
          <w:sz w:val="24"/>
        </w:rPr>
        <w:t>ziałania i konkretnym zaleceniom Komisji z 2017 r.</w:t>
      </w:r>
      <w:r>
        <w:rPr>
          <w:rStyle w:val="FootnoteReference"/>
          <w:rFonts w:ascii="Times New Roman" w:hAnsi="Times New Roman"/>
          <w:noProof/>
          <w:color w:val="000000"/>
          <w:sz w:val="24"/>
        </w:rPr>
        <w:footnoteReference w:id="36"/>
      </w:r>
      <w:r>
        <w:rPr>
          <w:rFonts w:ascii="Times New Roman" w:hAnsi="Times New Roman"/>
          <w:noProof/>
          <w:color w:val="000000"/>
          <w:sz w:val="24"/>
        </w:rPr>
        <w:t xml:space="preserve"> istnieją natychmiastowe działania, które państwa członkowskie powinny poczynić, aby poprawić swoje wewnętrzne procedury powrotów i zapewnić humanitarny i szybki powrót osób, które nie potrzebują ochrony m</w:t>
      </w:r>
      <w:r>
        <w:rPr>
          <w:rFonts w:ascii="Times New Roman" w:hAnsi="Times New Roman"/>
          <w:noProof/>
          <w:color w:val="000000"/>
          <w:sz w:val="24"/>
        </w:rPr>
        <w:t xml:space="preserve">iędzynarodowej. Zarówno w planie, jak i w zaleceniach wskazano sposoby lepszego wykorzystania istniejących instrumentów prawnych, operacyjnych i finansowych UE przy sprawniejszych procedurach, ostrzejszych środkach przeciwko ucieczkom, multidyscyplinarnym </w:t>
      </w:r>
      <w:r>
        <w:rPr>
          <w:rFonts w:ascii="Times New Roman" w:hAnsi="Times New Roman"/>
          <w:noProof/>
          <w:color w:val="000000"/>
          <w:sz w:val="24"/>
        </w:rPr>
        <w:t xml:space="preserve">podejściu organów krajowych oraz lepszej współpracy i koordynacji między państwami członkowskimi.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Takie bezpośrednie środki wdrożone przez państwa członkowskie powinny być wspierane przez dalsze środki unijne. Nowo przyjęte reformy Systemu Informacyjnego</w:t>
      </w:r>
      <w:r>
        <w:rPr>
          <w:rFonts w:ascii="Times New Roman" w:hAnsi="Times New Roman"/>
          <w:noProof/>
          <w:color w:val="000000"/>
          <w:sz w:val="24"/>
        </w:rPr>
        <w:t xml:space="preserve"> Schengen istotnie poprawią zdolności państw członkowskich w zakresie wykonywania decyzji nakazujących powrót oraz egzekwowania zakazów wjazdu</w:t>
      </w:r>
      <w:r>
        <w:rPr>
          <w:rStyle w:val="FootnoteReference"/>
          <w:rFonts w:ascii="Times New Roman" w:hAnsi="Times New Roman"/>
          <w:noProof/>
          <w:color w:val="000000"/>
          <w:sz w:val="24"/>
        </w:rPr>
        <w:footnoteReference w:id="37"/>
      </w:r>
      <w:r>
        <w:rPr>
          <w:rFonts w:ascii="Times New Roman" w:hAnsi="Times New Roman"/>
          <w:noProof/>
          <w:color w:val="000000"/>
          <w:sz w:val="24"/>
        </w:rPr>
        <w:t>. Europejska Agencja Straży Granicznej i Przybrzeżnej również znacząco zwiększyła wsparcie na rzecz powrotów, zar</w:t>
      </w:r>
      <w:r>
        <w:rPr>
          <w:rFonts w:ascii="Times New Roman" w:hAnsi="Times New Roman"/>
          <w:noProof/>
          <w:color w:val="000000"/>
          <w:sz w:val="24"/>
        </w:rPr>
        <w:t>ówno dzięki współpracy, jak i działaniom operacyjnym w obszarach obejmujących loty powrotne oraz dzięki roli konsulatów</w:t>
      </w:r>
      <w:r>
        <w:rPr>
          <w:rStyle w:val="FootnoteReference"/>
          <w:rFonts w:ascii="Times New Roman" w:hAnsi="Times New Roman"/>
          <w:noProof/>
          <w:color w:val="000000"/>
          <w:sz w:val="24"/>
        </w:rPr>
        <w:footnoteReference w:id="38"/>
      </w:r>
      <w:r>
        <w:rPr>
          <w:rFonts w:ascii="Times New Roman" w:hAnsi="Times New Roman"/>
          <w:noProof/>
          <w:color w:val="000000"/>
          <w:sz w:val="24"/>
        </w:rPr>
        <w:t>. Potrzebne są jednak dalsze działania. Pierwszym z kolejnych kroków powinien być wniosek Komisji w sprawie zmiany dyrektywy powrotowej</w:t>
      </w:r>
      <w:r>
        <w:rPr>
          <w:rStyle w:val="FootnoteReference"/>
          <w:rFonts w:ascii="Times New Roman" w:hAnsi="Times New Roman"/>
          <w:noProof/>
          <w:color w:val="000000"/>
          <w:sz w:val="24"/>
        </w:rPr>
        <w:footnoteReference w:id="39"/>
      </w:r>
      <w:r>
        <w:rPr>
          <w:rFonts w:ascii="Times New Roman" w:hAnsi="Times New Roman"/>
          <w:noProof/>
          <w:color w:val="000000"/>
          <w:sz w:val="24"/>
        </w:rPr>
        <w:t xml:space="preserve">: szybkie przyjęcie tego wniosku przyniesie znaczące korzyści pod względem spójności i skuteczności procedur powrotowych, jednocześnie zabezpieczając prawa podstawowe i przestrzegając zasady </w:t>
      </w:r>
      <w:r>
        <w:rPr>
          <w:rFonts w:ascii="Times New Roman" w:hAnsi="Times New Roman"/>
          <w:i/>
          <w:noProof/>
          <w:color w:val="000000"/>
          <w:sz w:val="24"/>
        </w:rPr>
        <w:t>non-refoulement</w:t>
      </w:r>
      <w:r>
        <w:rPr>
          <w:rStyle w:val="FootnoteReference"/>
          <w:rFonts w:ascii="Times New Roman" w:hAnsi="Times New Roman"/>
          <w:noProof/>
          <w:color w:val="000000"/>
          <w:sz w:val="24"/>
        </w:rPr>
        <w:footnoteReference w:id="40"/>
      </w:r>
      <w:r>
        <w:rPr>
          <w:rFonts w:ascii="Times New Roman" w:hAnsi="Times New Roman"/>
          <w:i/>
          <w:noProof/>
          <w:color w:val="000000"/>
          <w:sz w:val="24"/>
        </w:rPr>
        <w:t>.</w:t>
      </w:r>
      <w:r>
        <w:rPr>
          <w:rFonts w:ascii="Times New Roman" w:hAnsi="Times New Roman"/>
          <w:noProof/>
          <w:color w:val="000000"/>
          <w:sz w:val="24"/>
        </w:rPr>
        <w:t xml:space="preserve">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Dzięki inwestycji w dialog z krajami partners</w:t>
      </w:r>
      <w:r>
        <w:rPr>
          <w:rFonts w:ascii="Times New Roman" w:hAnsi="Times New Roman"/>
          <w:noProof/>
          <w:color w:val="000000"/>
          <w:sz w:val="24"/>
        </w:rPr>
        <w:t>kimi w ciągu ostatnich czterech lat udało się poczynić znaczące kroki naprzód. Współpraca w ramach 17 istniejących umów o readmisji i sześciu kolejnych rozwiązań praktycznych, wspierana pod kątem operacyjnym, zaczyna przynosić rezultaty w obszarach identyf</w:t>
      </w:r>
      <w:r>
        <w:rPr>
          <w:rFonts w:ascii="Times New Roman" w:hAnsi="Times New Roman"/>
          <w:noProof/>
          <w:color w:val="000000"/>
          <w:sz w:val="24"/>
        </w:rPr>
        <w:t>ikacji, dostarczania dokumentów i uporządkowanych powrotów. Aby jednak wykorzystać pełny potencjał tych ram, a także sprostać potencjalnym rosnącym potrzebom w zakresie powrotów w przyszłości, państwa członkowskie muszą korzystać z możliwości, jakie ramy t</w:t>
      </w:r>
      <w:r>
        <w:rPr>
          <w:rFonts w:ascii="Times New Roman" w:hAnsi="Times New Roman"/>
          <w:noProof/>
          <w:color w:val="000000"/>
          <w:sz w:val="24"/>
        </w:rPr>
        <w:t>e oferują, uczestniczyć aktywnie w zarządzaniu umowami i rozwiązaniami, a także sygnalizować Komisji problemy pojawiające się przy wdrażaniu. UE i jej państwa członkowskie pomagają także, wspierając reintegrację osób powracających: od maja 2017 r. ponad 60</w:t>
      </w:r>
      <w:r>
        <w:rPr>
          <w:rFonts w:ascii="Times New Roman" w:hAnsi="Times New Roman"/>
          <w:noProof/>
          <w:color w:val="000000"/>
          <w:sz w:val="24"/>
        </w:rPr>
        <w:t xml:space="preserve"> 100 migrantów skorzystało z pomocy w zakresie reintegracji. </w:t>
      </w:r>
    </w:p>
    <w:p w:rsidR="00277CCE" w:rsidRDefault="00277CCE">
      <w:pPr>
        <w:jc w:val="both"/>
        <w:rPr>
          <w:rFonts w:ascii="Times New Roman" w:hAnsi="Times New Roman"/>
          <w:noProof/>
          <w:color w:val="000000"/>
          <w:sz w:val="24"/>
          <w:szCs w:val="24"/>
        </w:rPr>
      </w:pPr>
    </w:p>
    <w:p w:rsidR="00277CCE" w:rsidRDefault="00757A58">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Komisja będzie naciskała na opracowanie nowych porozumień z innymi partnerami. Trwają negocjacje w sprawie readmisji z Nigerią, Tunezją i Chinami; wkrótce wznowione powinny zostać negocjacje </w:t>
      </w:r>
      <w:r>
        <w:rPr>
          <w:rFonts w:ascii="Times New Roman" w:hAnsi="Times New Roman"/>
          <w:noProof/>
          <w:color w:val="000000"/>
          <w:sz w:val="24"/>
        </w:rPr>
        <w:t>z Marokiem. W stosownych przypadkach należy uzyskać szerszy zakres efektu dźwigni we wszystkich właściwych obszarach polityki UE, w ścisłej koordynacji z efektem dźwigni na szczeblu państw członkowskich. Polityka wizowa UE przyczyniła się do ułatwienia neg</w:t>
      </w:r>
      <w:r>
        <w:rPr>
          <w:rFonts w:ascii="Times New Roman" w:hAnsi="Times New Roman"/>
          <w:noProof/>
          <w:color w:val="000000"/>
          <w:sz w:val="24"/>
        </w:rPr>
        <w:t xml:space="preserve">ocjacji w sprawie readmisji, a mechanizm zawieszający wspomógł bliskie monitorowanie zobowiązań dotyczących readmisji. Komisja przyjmuje z zadowoleniem porozumienie osiągnięte między Parlamentem Europejskim i Radą w sprawie reformy kodeksu wizowego, w tym </w:t>
      </w:r>
      <w:r>
        <w:rPr>
          <w:rFonts w:ascii="Times New Roman" w:hAnsi="Times New Roman"/>
          <w:noProof/>
          <w:color w:val="000000"/>
          <w:sz w:val="24"/>
        </w:rPr>
        <w:t>możliwości przyjęcia zaostrzonych środków w zakresie wiz w odniesieniu do państw trzecich, które nie współpracują, jeżeli chodzi o readmisję. Aby zintensyfikować readmisję, konieczne będzie podjęcie dalszych kroków w wywieraniu nacisku.</w:t>
      </w:r>
    </w:p>
    <w:p w:rsidR="00277CCE" w:rsidRDefault="00277CCE">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277CCE">
        <w:tc>
          <w:tcPr>
            <w:tcW w:w="9286" w:type="dxa"/>
            <w:shd w:val="clear" w:color="auto" w:fill="1F497D" w:themeFill="text2"/>
          </w:tcPr>
          <w:p w:rsidR="00277CCE" w:rsidRDefault="00757A58">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Najważniejsze kole</w:t>
            </w:r>
            <w:r>
              <w:rPr>
                <w:rFonts w:ascii="Times New Roman" w:hAnsi="Times New Roman"/>
                <w:b/>
                <w:noProof/>
                <w:color w:val="FFFFFF" w:themeColor="background1"/>
                <w:sz w:val="24"/>
              </w:rPr>
              <w:t>jne działania</w:t>
            </w:r>
          </w:p>
        </w:tc>
      </w:tr>
      <w:tr w:rsidR="00277CCE">
        <w:tc>
          <w:tcPr>
            <w:tcW w:w="9286" w:type="dxa"/>
            <w:shd w:val="clear" w:color="auto" w:fill="C6D9F1" w:themeFill="text2" w:themeFillTint="33"/>
          </w:tcPr>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Instytucje Unii muszą zapewnić, aby w </w:t>
            </w:r>
            <w:r>
              <w:rPr>
                <w:rFonts w:ascii="Times New Roman" w:eastAsiaTheme="minorHAnsi" w:hAnsi="Times New Roman"/>
                <w:b/>
                <w:i/>
                <w:noProof/>
                <w:color w:val="000000"/>
                <w:sz w:val="24"/>
              </w:rPr>
              <w:t>kolejnych wieloletnich ramach finansowych</w:t>
            </w:r>
            <w:r>
              <w:rPr>
                <w:rFonts w:ascii="Times New Roman" w:eastAsiaTheme="minorHAnsi" w:hAnsi="Times New Roman"/>
                <w:noProof/>
                <w:color w:val="000000"/>
                <w:sz w:val="24"/>
              </w:rPr>
              <w:t xml:space="preserve"> przewidziano skalę i elastyczność potrzebne do zacieśnienia współpracy w zakresie migracji z partnerami w państwach trzecich.</w:t>
            </w:r>
          </w:p>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Państwa członkowskie i UE powinny podjąć działania następcze w związku ze środkami przyjętymi w grudniu 2018 r. służącymi zwalczaniu </w:t>
            </w:r>
            <w:r>
              <w:rPr>
                <w:rFonts w:ascii="Times New Roman" w:eastAsiaTheme="minorHAnsi" w:hAnsi="Times New Roman"/>
                <w:b/>
                <w:i/>
                <w:noProof/>
                <w:color w:val="000000"/>
                <w:sz w:val="24"/>
              </w:rPr>
              <w:t>sieci przemytu nielegalnych imigrantów</w:t>
            </w:r>
            <w:r>
              <w:rPr>
                <w:rFonts w:ascii="Times New Roman" w:eastAsiaTheme="minorHAnsi" w:hAnsi="Times New Roman"/>
                <w:noProof/>
                <w:color w:val="000000"/>
                <w:sz w:val="24"/>
              </w:rPr>
              <w:t>, m.in. intensyfikując prace Europejskiego Centrum Zwalczania Przemytu Migrantów dzia</w:t>
            </w:r>
            <w:r>
              <w:rPr>
                <w:rFonts w:ascii="Times New Roman" w:eastAsiaTheme="minorHAnsi" w:hAnsi="Times New Roman"/>
                <w:noProof/>
                <w:color w:val="000000"/>
                <w:sz w:val="24"/>
              </w:rPr>
              <w:t>łającego przy Europolu.</w:t>
            </w:r>
          </w:p>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Parlament Europejski i Rada powinny dokończyć negocjacje dotyczące </w:t>
            </w:r>
            <w:r>
              <w:rPr>
                <w:rFonts w:ascii="Times New Roman" w:eastAsiaTheme="minorHAnsi" w:hAnsi="Times New Roman"/>
                <w:b/>
                <w:i/>
                <w:noProof/>
                <w:color w:val="000000"/>
                <w:sz w:val="24"/>
              </w:rPr>
              <w:t>wniosku Komisji w sprawie intensyfikacji powrotów</w:t>
            </w:r>
            <w:r>
              <w:rPr>
                <w:rFonts w:ascii="Times New Roman" w:eastAsiaTheme="minorHAnsi" w:hAnsi="Times New Roman"/>
                <w:noProof/>
                <w:color w:val="000000"/>
                <w:sz w:val="24"/>
              </w:rPr>
              <w:t>. Przy istniejących ramach państwa członkowskie powinny już maksymalizować potencjał poprawy skuteczności powrotów.</w:t>
            </w:r>
          </w:p>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Państwa członkowskie powinny zapewnić pełne wykorzystanie </w:t>
            </w:r>
            <w:r>
              <w:rPr>
                <w:rFonts w:ascii="Times New Roman" w:eastAsiaTheme="minorHAnsi" w:hAnsi="Times New Roman"/>
                <w:b/>
                <w:i/>
                <w:noProof/>
                <w:color w:val="000000"/>
                <w:sz w:val="24"/>
              </w:rPr>
              <w:t>umów i rozwiązań dotyczących readmisji</w:t>
            </w:r>
            <w:r>
              <w:rPr>
                <w:rFonts w:ascii="Times New Roman" w:eastAsiaTheme="minorHAnsi" w:hAnsi="Times New Roman"/>
                <w:noProof/>
                <w:color w:val="000000"/>
                <w:sz w:val="24"/>
              </w:rPr>
              <w:t xml:space="preserve">, a UE powinna opracować </w:t>
            </w:r>
            <w:r>
              <w:rPr>
                <w:rFonts w:ascii="Times New Roman" w:eastAsiaTheme="minorHAnsi" w:hAnsi="Times New Roman"/>
                <w:b/>
                <w:i/>
                <w:noProof/>
                <w:color w:val="000000"/>
                <w:sz w:val="24"/>
              </w:rPr>
              <w:t>nowe umowy i rozwiązania dotyczące readmisji</w:t>
            </w:r>
            <w:r>
              <w:rPr>
                <w:rFonts w:ascii="Times New Roman" w:eastAsiaTheme="minorHAnsi" w:hAnsi="Times New Roman"/>
                <w:noProof/>
                <w:color w:val="000000"/>
                <w:sz w:val="24"/>
              </w:rPr>
              <w:t xml:space="preserve"> w odniesieniu do państw trzecich. </w:t>
            </w:r>
          </w:p>
          <w:p w:rsidR="00277CCE" w:rsidRDefault="00757A58">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 xml:space="preserve">Państwa członkowskie oraz UE powinny rozszerzać zakres </w:t>
            </w:r>
            <w:r>
              <w:rPr>
                <w:rFonts w:ascii="Times New Roman" w:eastAsiaTheme="minorHAnsi" w:hAnsi="Times New Roman"/>
                <w:b/>
                <w:i/>
                <w:noProof/>
                <w:color w:val="000000"/>
                <w:sz w:val="24"/>
              </w:rPr>
              <w:t>wspólnych partnerstw operacyjnych</w:t>
            </w:r>
            <w:r>
              <w:rPr>
                <w:rFonts w:ascii="Times New Roman" w:eastAsiaTheme="minorHAnsi" w:hAnsi="Times New Roman"/>
                <w:noProof/>
                <w:color w:val="000000"/>
                <w:sz w:val="24"/>
              </w:rPr>
              <w:t xml:space="preserve"> z państwami trzecimi w celu wsparcia działań, takich jak wspólne zespoły dochodzeniowo-śledcze, budowanie zdolności i wymiana oficerów łącznikowych.</w:t>
            </w:r>
          </w:p>
        </w:tc>
      </w:tr>
    </w:tbl>
    <w:p w:rsidR="00277CCE" w:rsidRDefault="00277CCE">
      <w:pPr>
        <w:jc w:val="both"/>
        <w:rPr>
          <w:rFonts w:ascii="Times New Roman" w:hAnsi="Times New Roman"/>
          <w:noProof/>
          <w:color w:val="000000"/>
          <w:sz w:val="24"/>
          <w:szCs w:val="24"/>
        </w:rPr>
      </w:pPr>
    </w:p>
    <w:p w:rsidR="00277CCE" w:rsidRDefault="00277CCE">
      <w:pPr>
        <w:jc w:val="both"/>
        <w:rPr>
          <w:rFonts w:ascii="Times New Roman" w:hAnsi="Times New Roman"/>
          <w:noProof/>
          <w:color w:val="000000"/>
          <w:sz w:val="24"/>
          <w:szCs w:val="24"/>
        </w:rPr>
      </w:pPr>
    </w:p>
    <w:p w:rsidR="00277CCE" w:rsidRDefault="00757A58">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Zarządzanie granicami – ratowanie życia i zabezpieczanie granic </w:t>
      </w:r>
      <w:r>
        <w:rPr>
          <w:rFonts w:ascii="Times New Roman" w:hAnsi="Times New Roman"/>
          <w:b/>
          <w:i/>
          <w:noProof/>
          <w:sz w:val="24"/>
        </w:rPr>
        <w:t>zewnętrznych</w:t>
      </w:r>
    </w:p>
    <w:p w:rsidR="00277CCE" w:rsidRDefault="00277CCE">
      <w:pPr>
        <w:jc w:val="both"/>
        <w:rPr>
          <w:rFonts w:ascii="Times New Roman" w:hAnsi="Times New Roman"/>
          <w:b/>
          <w:i/>
          <w:noProof/>
          <w:color w:val="000000"/>
          <w:sz w:val="24"/>
          <w:szCs w:val="24"/>
        </w:rPr>
      </w:pPr>
    </w:p>
    <w:p w:rsidR="00277CCE" w:rsidRDefault="00757A58">
      <w:pPr>
        <w:keepNext/>
        <w:spacing w:after="120"/>
        <w:jc w:val="both"/>
        <w:rPr>
          <w:rFonts w:ascii="Times New Roman" w:hAnsi="Times New Roman"/>
          <w:i/>
          <w:noProof/>
          <w:color w:val="000000"/>
          <w:sz w:val="24"/>
          <w:szCs w:val="24"/>
        </w:rPr>
      </w:pPr>
      <w:r>
        <w:rPr>
          <w:rFonts w:ascii="Times New Roman" w:hAnsi="Times New Roman"/>
          <w:i/>
          <w:noProof/>
          <w:color w:val="000000"/>
          <w:sz w:val="24"/>
        </w:rPr>
        <w:t>Operacje na granicach</w:t>
      </w:r>
    </w:p>
    <w:p w:rsidR="00277CCE" w:rsidRDefault="00757A58">
      <w:pPr>
        <w:jc w:val="both"/>
        <w:rPr>
          <w:rFonts w:ascii="Times New Roman" w:hAnsi="Times New Roman"/>
          <w:i/>
          <w:noProof/>
          <w:color w:val="000000"/>
          <w:sz w:val="24"/>
          <w:szCs w:val="24"/>
        </w:rPr>
      </w:pPr>
      <w:r>
        <w:rPr>
          <w:rFonts w:ascii="Times New Roman" w:hAnsi="Times New Roman"/>
          <w:noProof/>
          <w:color w:val="000000"/>
          <w:sz w:val="24"/>
        </w:rPr>
        <w:t xml:space="preserve">Ratowanie życia ludziom w niebezpieczeństwie na morzu stanowi główny cel działań UE w odniesieniu do zarządzania unijnymi granicami zewnętrznymi. </w:t>
      </w:r>
      <w:r>
        <w:rPr>
          <w:rFonts w:ascii="Times New Roman" w:hAnsi="Times New Roman"/>
          <w:noProof/>
          <w:sz w:val="24"/>
        </w:rPr>
        <w:t>Europejska Agencja Straży Granicznej i Przybrzeżnej</w:t>
      </w:r>
      <w:r>
        <w:rPr>
          <w:rFonts w:ascii="Times New Roman" w:hAnsi="Times New Roman"/>
          <w:noProof/>
          <w:color w:val="000000"/>
          <w:sz w:val="24"/>
        </w:rPr>
        <w:t xml:space="preserve"> koordynuje wspólne operacje na morzu, aby zapewnić efektywną kontrolę morskich granic zewnętrznych UE. Wszystkie zasoby biorące udział w tych operacjach podlegają prawu międzynarodowemu i są wykorzystywane do udzielania pomocy wszelkim statkom pływającym </w:t>
      </w:r>
      <w:r>
        <w:rPr>
          <w:rFonts w:ascii="Times New Roman" w:hAnsi="Times New Roman"/>
          <w:noProof/>
          <w:color w:val="000000"/>
          <w:sz w:val="24"/>
        </w:rPr>
        <w:t>w niebezpieczeństwie na morzu. Wspólne operacje „Temida”, „Posejdon” i „Indalo”, jak również operacja „Sophia” w ramach wspólnej polityki bezpieczeństwa i obrony w sposób istotny przyczyniają się do kontroli granic oraz prowadzenia akcji poszukiwawczo-rato</w:t>
      </w:r>
      <w:r>
        <w:rPr>
          <w:rFonts w:ascii="Times New Roman" w:hAnsi="Times New Roman"/>
          <w:noProof/>
          <w:color w:val="000000"/>
          <w:sz w:val="24"/>
        </w:rPr>
        <w:t>wniczych. Tylko w 2018 r. przy użyciu zasobów biorących udział w operacjach UE na morzu uratowano prawie 39 300 osób</w:t>
      </w:r>
      <w:r>
        <w:rPr>
          <w:rStyle w:val="FootnoteReference"/>
          <w:rFonts w:ascii="Times New Roman" w:hAnsi="Times New Roman"/>
          <w:noProof/>
          <w:color w:val="000000"/>
          <w:sz w:val="24"/>
        </w:rPr>
        <w:footnoteReference w:id="41"/>
      </w:r>
      <w:r>
        <w:rPr>
          <w:rFonts w:ascii="Times New Roman" w:hAnsi="Times New Roman"/>
          <w:noProof/>
          <w:color w:val="000000"/>
          <w:sz w:val="24"/>
        </w:rPr>
        <w:t xml:space="preserve">. </w:t>
      </w:r>
    </w:p>
    <w:p w:rsidR="00277CCE" w:rsidRDefault="00277CCE">
      <w:pPr>
        <w:jc w:val="both"/>
        <w:rPr>
          <w:rFonts w:ascii="Times New Roman" w:hAnsi="Times New Roman"/>
          <w:i/>
          <w:noProof/>
          <w:color w:val="000000"/>
          <w:sz w:val="24"/>
          <w:szCs w:val="24"/>
        </w:rPr>
      </w:pPr>
    </w:p>
    <w:p w:rsidR="00277CCE" w:rsidRDefault="00757A58">
      <w:pPr>
        <w:jc w:val="both"/>
        <w:rPr>
          <w:rFonts w:ascii="Times New Roman" w:hAnsi="Times New Roman"/>
          <w:noProof/>
          <w:sz w:val="24"/>
          <w:szCs w:val="24"/>
        </w:rPr>
      </w:pPr>
      <w:r>
        <w:rPr>
          <w:rFonts w:ascii="Times New Roman" w:hAnsi="Times New Roman"/>
          <w:noProof/>
          <w:sz w:val="24"/>
        </w:rPr>
        <w:t>Europejska Agencja Straży Granicznej i Przybrzeżnej</w:t>
      </w:r>
      <w:r>
        <w:rPr>
          <w:rFonts w:ascii="Times New Roman" w:hAnsi="Times New Roman"/>
          <w:noProof/>
          <w:color w:val="000000"/>
          <w:sz w:val="24"/>
        </w:rPr>
        <w:t xml:space="preserve"> </w:t>
      </w:r>
      <w:r>
        <w:rPr>
          <w:rFonts w:ascii="Times New Roman" w:hAnsi="Times New Roman"/>
          <w:noProof/>
          <w:sz w:val="24"/>
        </w:rPr>
        <w:t xml:space="preserve">prowadzi również skoordynowane </w:t>
      </w:r>
      <w:r>
        <w:rPr>
          <w:rFonts w:ascii="Times New Roman" w:hAnsi="Times New Roman"/>
          <w:noProof/>
          <w:color w:val="000000"/>
          <w:sz w:val="24"/>
        </w:rPr>
        <w:t>działania operacyjne na lądowej granicy zewnętrznej,</w:t>
      </w:r>
      <w:r>
        <w:rPr>
          <w:rFonts w:ascii="Times New Roman" w:hAnsi="Times New Roman"/>
          <w:noProof/>
          <w:color w:val="000000"/>
          <w:sz w:val="24"/>
        </w:rPr>
        <w:t xml:space="preserve"> pomagając w kontrolowaniu migracji nieuregulowanej i zwalczając przemyt, a także służąc informacjami wywiadowczymi. Kluczowe znaczenie ma fakt, że agencja posiada zdolność reagowania na nowe tendencje, takie jak zwiększona presja w zachodniej części regio</w:t>
      </w:r>
      <w:r>
        <w:rPr>
          <w:rFonts w:ascii="Times New Roman" w:hAnsi="Times New Roman"/>
          <w:noProof/>
          <w:color w:val="000000"/>
          <w:sz w:val="24"/>
        </w:rPr>
        <w:t xml:space="preserve">nu śródziemnomorskiego. Agencja </w:t>
      </w:r>
      <w:r>
        <w:rPr>
          <w:rFonts w:ascii="Times New Roman" w:hAnsi="Times New Roman"/>
          <w:noProof/>
          <w:sz w:val="24"/>
        </w:rPr>
        <w:t xml:space="preserve">nadal regularnie boryka się jednak z problemem braku zasobów ludzkich oraz wyposażenia technicznego, a dzielona odpowiedzialność państw członkowskich i agencji nie przekłada się na zapewnienie wymaganych zasobów. Oba działy </w:t>
      </w:r>
      <w:r>
        <w:rPr>
          <w:rFonts w:ascii="Times New Roman" w:hAnsi="Times New Roman"/>
          <w:noProof/>
          <w:sz w:val="24"/>
        </w:rPr>
        <w:t>Europejskiej Straży Granicznej i Przybrzeżnej są niezależne, jednak mogą zapewnić integralność strefy Schengen jedynie wtedy, gdy działają razem.</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Zarządzanie granicami wymaga zaangażowania wszystkich dostępnych narzędzi. Oznacza to pełne wykorzystanie pot</w:t>
      </w:r>
      <w:r>
        <w:rPr>
          <w:rFonts w:ascii="Times New Roman" w:hAnsi="Times New Roman"/>
          <w:noProof/>
          <w:color w:val="000000"/>
          <w:sz w:val="24"/>
        </w:rPr>
        <w:t>encjału technologii informacyjnej. Rozszerzenie zakresu i modernizacja systemów technologii informacyjnej wykorzystywanych do zarządzania granicami i ochrony nadały nowy potencjał wykorzystania tych narzędzi razem. Wdrożenie przyszłych przepisów dotyczącyc</w:t>
      </w:r>
      <w:r>
        <w:rPr>
          <w:rFonts w:ascii="Times New Roman" w:hAnsi="Times New Roman"/>
          <w:noProof/>
          <w:color w:val="000000"/>
          <w:sz w:val="24"/>
        </w:rPr>
        <w:t xml:space="preserve">h interoperacyjności systemów informacyjnych UE – przy odpowiednich zabezpieczeniach w zakresie ochrony danych osobowych – pozwoli organom na skuteczniejsze zastosowanie zasad. </w:t>
      </w:r>
    </w:p>
    <w:p w:rsidR="00277CCE" w:rsidRDefault="00277CCE">
      <w:pPr>
        <w:jc w:val="both"/>
        <w:rPr>
          <w:rFonts w:ascii="Times New Roman" w:hAnsi="Times New Roman"/>
          <w:noProof/>
          <w:sz w:val="24"/>
          <w:szCs w:val="24"/>
        </w:rPr>
      </w:pPr>
    </w:p>
    <w:p w:rsidR="00277CCE" w:rsidRDefault="00757A58">
      <w:pPr>
        <w:pStyle w:val="ListParagraph"/>
        <w:ind w:left="0"/>
        <w:jc w:val="both"/>
        <w:rPr>
          <w:rFonts w:ascii="Times New Roman" w:hAnsi="Times New Roman"/>
          <w:noProof/>
          <w:sz w:val="24"/>
          <w:szCs w:val="24"/>
        </w:rPr>
      </w:pPr>
      <w:r>
        <w:rPr>
          <w:rFonts w:ascii="Times New Roman" w:hAnsi="Times New Roman"/>
          <w:noProof/>
          <w:sz w:val="24"/>
        </w:rPr>
        <w:t>Wniosek Komisji w sprawie wzmocnionej i lepiej wyposażonej Europejskiej Straż</w:t>
      </w:r>
      <w:r>
        <w:rPr>
          <w:rFonts w:ascii="Times New Roman" w:hAnsi="Times New Roman"/>
          <w:noProof/>
          <w:sz w:val="24"/>
        </w:rPr>
        <w:t>y Granicznej i Przybrzeżnej z września 2018 r. miał na celu wykonanie zdecydowanego kroku w kierunku rzeczywiście zintegrowanego zarządzania granicami. Przeniósłby on Europejską Straż Graniczną i Przybrzeżną na nową płaszczyznę operacyjną ze stałą służbą s</w:t>
      </w:r>
      <w:r>
        <w:rPr>
          <w:rFonts w:ascii="Times New Roman" w:hAnsi="Times New Roman"/>
          <w:noProof/>
          <w:sz w:val="24"/>
        </w:rPr>
        <w:t>kładającą się z 10 000 pracowników operacyjnych wykonujących uprawnienia wykonawcze i posiadających własne wyposażenie, a jednocześnie w pełni szanujących zarówno prawa podstawowe, jak i suwerenność państw członkowskich w zakresie ich granic. Wynika to z f</w:t>
      </w:r>
      <w:r>
        <w:rPr>
          <w:rFonts w:ascii="Times New Roman" w:hAnsi="Times New Roman"/>
          <w:noProof/>
          <w:sz w:val="24"/>
        </w:rPr>
        <w:t>aktu, że UE nie jest jeszcze wystarczająco przygotowana do reagowania na kryzysy na granicach zewnętrznych, w szczególności w przypadku wystąpienia nagłego masowego napływu migrantów o nieuregulowanym statusie. Gotowość taka stanowi wartość odniesienia, je</w:t>
      </w:r>
      <w:r>
        <w:rPr>
          <w:rFonts w:ascii="Times New Roman" w:hAnsi="Times New Roman"/>
          <w:noProof/>
          <w:sz w:val="24"/>
        </w:rPr>
        <w:t>żeli granica zewnętrzna ma zostać uznana za wystarczająco dobrze chronioną, by przywrócić zaufanie obywateli Unii do strefy Schengen. Negocjacje w sprawie tego wniosku znajdują się obecnie na etapie rozmów trójstronnych, co wskazuje, że wszystkie instytucj</w:t>
      </w:r>
      <w:r>
        <w:rPr>
          <w:rFonts w:ascii="Times New Roman" w:hAnsi="Times New Roman"/>
          <w:noProof/>
          <w:sz w:val="24"/>
        </w:rPr>
        <w:t>e dążą do przyjęcia wniosku przed wyborami do Parlamentu Europejskiego w 2019 r.</w:t>
      </w:r>
    </w:p>
    <w:p w:rsidR="00277CCE" w:rsidRDefault="00277CCE">
      <w:pPr>
        <w:pStyle w:val="ListParagraph"/>
        <w:ind w:left="0"/>
        <w:jc w:val="both"/>
        <w:rPr>
          <w:rFonts w:ascii="Times New Roman" w:hAnsi="Times New Roman"/>
          <w:noProof/>
          <w:sz w:val="24"/>
          <w:szCs w:val="24"/>
        </w:rPr>
      </w:pPr>
    </w:p>
    <w:p w:rsidR="00277CCE" w:rsidRDefault="00757A58">
      <w:pPr>
        <w:keepNext/>
        <w:spacing w:after="120"/>
        <w:jc w:val="both"/>
        <w:rPr>
          <w:rFonts w:ascii="Times New Roman" w:hAnsi="Times New Roman"/>
          <w:i/>
          <w:noProof/>
          <w:sz w:val="24"/>
          <w:szCs w:val="24"/>
        </w:rPr>
      </w:pPr>
      <w:r>
        <w:rPr>
          <w:rFonts w:ascii="Times New Roman" w:hAnsi="Times New Roman"/>
          <w:i/>
          <w:noProof/>
          <w:sz w:val="24"/>
        </w:rPr>
        <w:t>Współpraca z partnerami z krajów trzecich</w:t>
      </w:r>
    </w:p>
    <w:p w:rsidR="00277CCE" w:rsidRDefault="00757A58">
      <w:pPr>
        <w:jc w:val="both"/>
        <w:rPr>
          <w:rFonts w:ascii="Times New Roman" w:hAnsi="Times New Roman"/>
          <w:noProof/>
          <w:sz w:val="24"/>
          <w:szCs w:val="24"/>
        </w:rPr>
      </w:pPr>
      <w:r>
        <w:rPr>
          <w:rFonts w:ascii="Times New Roman" w:hAnsi="Times New Roman"/>
          <w:noProof/>
          <w:sz w:val="24"/>
        </w:rPr>
        <w:t>Wsparcie państw trzecich i współpraca z nimi mają zasadnicze znaczenie dla ochrony granic zewnętrznych UE. Pierwszym krokiem jest um</w:t>
      </w:r>
      <w:r>
        <w:rPr>
          <w:rFonts w:ascii="Times New Roman" w:hAnsi="Times New Roman"/>
          <w:noProof/>
          <w:sz w:val="24"/>
        </w:rPr>
        <w:t>ożliwienie nawiązania bliskich stosunków roboczych w celu rozmieszczenia zespołów w ramach wspólnych operacji po obu stronach wspólnych granic. Komisja do tej pory wynegocjowała umowy o statusie z pięcioma krajami Bałkanów Zachodnich. Umowy te podpisano z </w:t>
      </w:r>
      <w:r>
        <w:rPr>
          <w:rFonts w:ascii="Times New Roman" w:hAnsi="Times New Roman"/>
          <w:noProof/>
          <w:sz w:val="24"/>
        </w:rPr>
        <w:t>Albanią i parafowano z Macedonią Północną</w:t>
      </w:r>
      <w:r>
        <w:rPr>
          <w:noProof/>
        </w:rPr>
        <w:t xml:space="preserve"> </w:t>
      </w:r>
      <w:r>
        <w:rPr>
          <w:rFonts w:ascii="Times New Roman" w:hAnsi="Times New Roman"/>
          <w:noProof/>
          <w:sz w:val="24"/>
        </w:rPr>
        <w:t>(lipiec 2018 r.), Serbią (wrzesień 2018 r.), Bośnią i Hercegowiną (styczeń 2019 r.) i Czarnogórą (luty 2019 r.).</w:t>
      </w:r>
    </w:p>
    <w:p w:rsidR="00277CCE" w:rsidRDefault="00277CCE">
      <w:pPr>
        <w:jc w:val="both"/>
        <w:rPr>
          <w:rFonts w:ascii="Times New Roman" w:hAnsi="Times New Roman"/>
          <w:noProof/>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Wiedza ekspercka UE może również przyczynić się do poprawy sytuacji poprzez aktywną współpracę opera</w:t>
      </w:r>
      <w:r>
        <w:rPr>
          <w:rFonts w:ascii="Times New Roman" w:hAnsi="Times New Roman"/>
          <w:noProof/>
          <w:color w:val="000000"/>
          <w:sz w:val="24"/>
        </w:rPr>
        <w:t>cyjną. UE udzieliła pomocy libijskiej straży przybrzeżnej, znacznie zwiększając jej zdolność do ratowania ludzi na morzu i uniemożliwiania przemytnikom wysyłania ludzi na morze na statkach nienadających się do żeglugi morskiej. Należy zintensyfikować przep</w:t>
      </w:r>
      <w:r>
        <w:rPr>
          <w:rFonts w:ascii="Times New Roman" w:hAnsi="Times New Roman"/>
          <w:noProof/>
          <w:color w:val="000000"/>
          <w:sz w:val="24"/>
        </w:rPr>
        <w:t xml:space="preserve">rowadzanie szkoleń, w tym szkoleń w zakresie praw człowieka i międzynarodowego prawa morza. Libia </w:t>
      </w:r>
      <w:r>
        <w:rPr>
          <w:rFonts w:ascii="Times New Roman" w:hAnsi="Times New Roman"/>
          <w:noProof/>
          <w:sz w:val="24"/>
        </w:rPr>
        <w:t>oficjalnie powiadomiła Międzynarodową Organizację Morską o obszarze, na jakim prowadzi działania poszukiwawczo-ratownicze, w związku z czym obecnie należy roz</w:t>
      </w:r>
      <w:r>
        <w:rPr>
          <w:rFonts w:ascii="Times New Roman" w:hAnsi="Times New Roman"/>
          <w:noProof/>
          <w:sz w:val="24"/>
        </w:rPr>
        <w:t xml:space="preserve">wijać jej zdolności poprzez wykwalifikowane morskie ratownicze centrum koordynacyjne. </w:t>
      </w:r>
      <w:r>
        <w:rPr>
          <w:rFonts w:ascii="Times New Roman" w:hAnsi="Times New Roman"/>
          <w:noProof/>
          <w:color w:val="000000"/>
          <w:sz w:val="24"/>
        </w:rPr>
        <w:t>Wsparcie UE ma również na celu ratowanie życia na szlakach lądowych: wsparcie UE i państw członkowskich w Nigrze doprowadziło również do znacznego ograniczenia przepływów</w:t>
      </w:r>
      <w:r>
        <w:rPr>
          <w:rFonts w:ascii="Times New Roman" w:hAnsi="Times New Roman"/>
          <w:noProof/>
          <w:color w:val="000000"/>
          <w:sz w:val="24"/>
        </w:rPr>
        <w:t xml:space="preserve"> migracyjnych, a współpraca z Międzynarodową Organizacją ds. Migracji z kolei doprowadziła do odnalezienia i uratowania ponad 13 000 migrantów z pustyń nigerskich. </w:t>
      </w:r>
    </w:p>
    <w:p w:rsidR="00277CCE" w:rsidRDefault="00277CCE">
      <w:pPr>
        <w:contextualSpacing/>
        <w:jc w:val="both"/>
        <w:rPr>
          <w:rFonts w:ascii="Times New Roman" w:eastAsia="Calibri" w:hAnsi="Times New Roman"/>
          <w:noProof/>
          <w:sz w:val="24"/>
          <w:szCs w:val="24"/>
        </w:rPr>
      </w:pPr>
    </w:p>
    <w:p w:rsidR="00277CCE" w:rsidRDefault="00757A58">
      <w:pPr>
        <w:contextualSpacing/>
        <w:jc w:val="both"/>
        <w:rPr>
          <w:rFonts w:ascii="Times New Roman" w:hAnsi="Times New Roman"/>
          <w:noProof/>
          <w:sz w:val="24"/>
          <w:szCs w:val="24"/>
        </w:rPr>
      </w:pPr>
      <w:r>
        <w:rPr>
          <w:rFonts w:ascii="Times New Roman" w:hAnsi="Times New Roman"/>
          <w:noProof/>
          <w:sz w:val="24"/>
        </w:rPr>
        <w:t>UE i państwa członkowskie zapewniają znaczne wsparcie i budowanie zdolności w celu niesien</w:t>
      </w:r>
      <w:r>
        <w:rPr>
          <w:rFonts w:ascii="Times New Roman" w:hAnsi="Times New Roman"/>
          <w:noProof/>
          <w:sz w:val="24"/>
        </w:rPr>
        <w:t xml:space="preserve">ia pomocy partnerom przy zarządzaniu ich granicami. Szczególny nacisk położono na programy regionalne: program sprawniejszego zarządzania migracją w regionie Rogu Afryki przyczynił się do wprowadzenia wspólnych patroli transgranicznych i wspólnych przejść </w:t>
      </w:r>
      <w:r>
        <w:rPr>
          <w:rFonts w:ascii="Times New Roman" w:hAnsi="Times New Roman"/>
          <w:noProof/>
          <w:sz w:val="24"/>
        </w:rPr>
        <w:t xml:space="preserve">granicznych między partnerami takimi jak Etiopia i Sudan Południowy, a także do wymiany najlepszych praktyk. </w:t>
      </w:r>
    </w:p>
    <w:p w:rsidR="00277CCE" w:rsidRDefault="00277CCE">
      <w:pPr>
        <w:contextualSpacing/>
        <w:jc w:val="both"/>
        <w:rPr>
          <w:rFonts w:ascii="Times New Roman" w:hAnsi="Times New Roman"/>
          <w:noProof/>
          <w:sz w:val="24"/>
          <w:szCs w:val="24"/>
        </w:rPr>
      </w:pPr>
    </w:p>
    <w:p w:rsidR="00277CCE" w:rsidRDefault="00757A58">
      <w:pPr>
        <w:contextualSpacing/>
        <w:jc w:val="both"/>
        <w:rPr>
          <w:rFonts w:ascii="Times New Roman" w:hAnsi="Times New Roman"/>
          <w:noProof/>
          <w:sz w:val="24"/>
          <w:szCs w:val="24"/>
        </w:rPr>
      </w:pPr>
      <w:r>
        <w:rPr>
          <w:rFonts w:ascii="Times New Roman" w:hAnsi="Times New Roman"/>
          <w:noProof/>
          <w:sz w:val="24"/>
        </w:rPr>
        <w:t>Prace te podejmuje się również w ścisłej współpracy z pracami w ramach wspólnej polityki zagranicznej i bezpieczeństwa oraz w ramach misji wspóln</w:t>
      </w:r>
      <w:r>
        <w:rPr>
          <w:rFonts w:ascii="Times New Roman" w:hAnsi="Times New Roman"/>
          <w:noProof/>
          <w:sz w:val="24"/>
        </w:rPr>
        <w:t xml:space="preserve">ej polityki bezpieczeństwa i obrony. Misja pomocy granicznej Unii Europejskiej zapewnia wsparcie dla Libii w rozwijaniu szerszych ram zarządzania granicami i zapewnia doradztwo strategiczne kluczowym ministerstwom. Podobnie jak szkolenie libijskiej straży </w:t>
      </w:r>
      <w:r>
        <w:rPr>
          <w:rFonts w:ascii="Times New Roman" w:hAnsi="Times New Roman"/>
          <w:noProof/>
          <w:sz w:val="24"/>
        </w:rPr>
        <w:t>przybrzeżnej, mandat operacji „Sophia” łączy w sobie zakłócanie działalności siatek przemytu migrantów i broni oraz działania nadzorcze (np. w obszarze przemytu ropy naftowej). Umożliwiło to UE wniesienie znaczącego wkładu w poprawę ogólnego bezpieczeństwa</w:t>
      </w:r>
      <w:r>
        <w:rPr>
          <w:rFonts w:ascii="Times New Roman" w:hAnsi="Times New Roman"/>
          <w:noProof/>
          <w:sz w:val="24"/>
        </w:rPr>
        <w:t xml:space="preserve"> morskiego i przywrócenie stabilności w regionie środkowośródziemnomorskim. W grudniu 2018 r. mandat operacji „Sophia” przedłużono na kolejne trzy miesiące, jednak ze względu na brak rozwiązania problemu zejścia na ląd nie dokonano ustaleń w sprawie jej ko</w:t>
      </w:r>
      <w:r>
        <w:rPr>
          <w:rFonts w:ascii="Times New Roman" w:hAnsi="Times New Roman"/>
          <w:noProof/>
          <w:sz w:val="24"/>
        </w:rPr>
        <w:t>ntynuacji.</w:t>
      </w:r>
    </w:p>
    <w:p w:rsidR="00277CCE" w:rsidRDefault="00277CCE">
      <w:pPr>
        <w:jc w:val="both"/>
        <w:rPr>
          <w:noProof/>
        </w:rPr>
      </w:pPr>
    </w:p>
    <w:tbl>
      <w:tblPr>
        <w:tblStyle w:val="TableGrid"/>
        <w:tblW w:w="0" w:type="auto"/>
        <w:tblLook w:val="04A0" w:firstRow="1" w:lastRow="0" w:firstColumn="1" w:lastColumn="0" w:noHBand="0" w:noVBand="1"/>
      </w:tblPr>
      <w:tblGrid>
        <w:gridCol w:w="9286"/>
      </w:tblGrid>
      <w:tr w:rsidR="00277CCE">
        <w:tc>
          <w:tcPr>
            <w:tcW w:w="9286" w:type="dxa"/>
            <w:shd w:val="clear" w:color="auto" w:fill="1F497D" w:themeFill="text2"/>
          </w:tcPr>
          <w:p w:rsidR="00277CCE" w:rsidRDefault="00757A58">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Najważniejsze kolejne działania</w:t>
            </w:r>
          </w:p>
        </w:tc>
      </w:tr>
      <w:tr w:rsidR="00277CCE">
        <w:tc>
          <w:tcPr>
            <w:tcW w:w="9286" w:type="dxa"/>
            <w:shd w:val="clear" w:color="auto" w:fill="C6D9F1" w:themeFill="text2" w:themeFillTint="33"/>
          </w:tcPr>
          <w:p w:rsidR="00277CCE" w:rsidRDefault="00757A58">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Parlament Europejski i Rada powinny przyjąć </w:t>
            </w:r>
            <w:r>
              <w:rPr>
                <w:rFonts w:ascii="Times New Roman" w:hAnsi="Times New Roman"/>
                <w:b/>
                <w:i/>
                <w:noProof/>
                <w:sz w:val="24"/>
              </w:rPr>
              <w:t>zmieniony wniosek w sprawie Europejskiej Straży Granicznej i Przybrzeżnej</w:t>
            </w:r>
            <w:r>
              <w:rPr>
                <w:rFonts w:ascii="Times New Roman" w:hAnsi="Times New Roman"/>
                <w:noProof/>
                <w:sz w:val="24"/>
              </w:rPr>
              <w:t xml:space="preserve"> przed wyborami do Parlamentu Europejskiego.</w:t>
            </w:r>
          </w:p>
          <w:p w:rsidR="00277CCE" w:rsidRDefault="00757A58">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Państwa członkowskie powinny zapewnić, aby Europejska Agencja Straży Granicznej i Przybrzeżnej posiadała zasoby wymagane do prowadzania regularnej oceny sytuacji na lądzie oraz zapewniała prowadzanie </w:t>
            </w:r>
            <w:r>
              <w:rPr>
                <w:rFonts w:ascii="Times New Roman" w:hAnsi="Times New Roman"/>
                <w:b/>
                <w:i/>
                <w:noProof/>
                <w:sz w:val="24"/>
              </w:rPr>
              <w:t>podstawowych działań granicznych</w:t>
            </w:r>
            <w:r>
              <w:rPr>
                <w:rFonts w:ascii="Times New Roman" w:hAnsi="Times New Roman"/>
                <w:noProof/>
                <w:sz w:val="24"/>
              </w:rPr>
              <w:t>. Należy zintensyfikować</w:t>
            </w:r>
            <w:r>
              <w:rPr>
                <w:rFonts w:ascii="Times New Roman" w:hAnsi="Times New Roman"/>
                <w:noProof/>
                <w:sz w:val="24"/>
              </w:rPr>
              <w:t xml:space="preserve"> działania agencji UE na szlaku zachodniośródziemnomorskim.</w:t>
            </w:r>
          </w:p>
          <w:p w:rsidR="00277CCE" w:rsidRDefault="00757A58">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Komisja i agencje UE powinny zapewnić szybkie rozwijanie i wdrażanie </w:t>
            </w:r>
            <w:r>
              <w:rPr>
                <w:rFonts w:ascii="Times New Roman" w:hAnsi="Times New Roman"/>
                <w:b/>
                <w:i/>
                <w:noProof/>
                <w:sz w:val="24"/>
              </w:rPr>
              <w:t>interoperacyjności</w:t>
            </w:r>
            <w:r>
              <w:rPr>
                <w:rFonts w:ascii="Times New Roman" w:hAnsi="Times New Roman"/>
                <w:b/>
                <w:noProof/>
                <w:sz w:val="24"/>
              </w:rPr>
              <w:t xml:space="preserve"> </w:t>
            </w:r>
            <w:r>
              <w:rPr>
                <w:rFonts w:ascii="Times New Roman" w:hAnsi="Times New Roman"/>
                <w:noProof/>
                <w:sz w:val="24"/>
              </w:rPr>
              <w:t xml:space="preserve">systemów granicznych i systemów bezpieczeństwa, przy czym jej pierwsze elementy powinny zacząć funkcjonować </w:t>
            </w:r>
            <w:r>
              <w:rPr>
                <w:rFonts w:ascii="Times New Roman" w:hAnsi="Times New Roman"/>
                <w:noProof/>
                <w:sz w:val="24"/>
              </w:rPr>
              <w:t>już w 2020 r.</w:t>
            </w:r>
          </w:p>
          <w:p w:rsidR="00277CCE" w:rsidRDefault="00757A58">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Rada po uzyskaniu zgody Parlamentu Europejskiego powinna szybko zawrzeć </w:t>
            </w:r>
            <w:r>
              <w:rPr>
                <w:rFonts w:ascii="Times New Roman" w:hAnsi="Times New Roman"/>
                <w:i/>
                <w:iCs/>
                <w:noProof/>
                <w:sz w:val="24"/>
              </w:rPr>
              <w:t xml:space="preserve">umowy </w:t>
            </w:r>
            <w:r>
              <w:rPr>
                <w:rFonts w:ascii="Times New Roman" w:hAnsi="Times New Roman"/>
                <w:b/>
                <w:bCs/>
                <w:i/>
                <w:iCs/>
                <w:noProof/>
                <w:sz w:val="24"/>
              </w:rPr>
              <w:t>o statusie wynegocjowane z krajami Bałkanów Zachodnich</w:t>
            </w:r>
            <w:r>
              <w:rPr>
                <w:rFonts w:ascii="Times New Roman" w:hAnsi="Times New Roman"/>
                <w:noProof/>
                <w:sz w:val="24"/>
              </w:rPr>
              <w:t xml:space="preserve"> oraz zapewnić natychmiastowe wdrożenie tych umów.</w:t>
            </w:r>
          </w:p>
        </w:tc>
      </w:tr>
    </w:tbl>
    <w:p w:rsidR="00277CCE" w:rsidRDefault="00277CCE">
      <w:pPr>
        <w:jc w:val="both"/>
        <w:rPr>
          <w:noProof/>
        </w:rPr>
      </w:pPr>
    </w:p>
    <w:p w:rsidR="00277CCE" w:rsidRDefault="00277CCE">
      <w:pPr>
        <w:jc w:val="both"/>
        <w:rPr>
          <w:rFonts w:ascii="Times New Roman" w:hAnsi="Times New Roman"/>
          <w:noProof/>
          <w:color w:val="000000"/>
          <w:sz w:val="24"/>
          <w:szCs w:val="24"/>
        </w:rPr>
      </w:pPr>
    </w:p>
    <w:p w:rsidR="00277CCE" w:rsidRDefault="00757A58">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 xml:space="preserve">UE zapewniająca ochronę i azyl </w:t>
      </w:r>
    </w:p>
    <w:p w:rsidR="00277CCE" w:rsidRDefault="00277CCE">
      <w:pPr>
        <w:pStyle w:val="ListParagraph"/>
        <w:ind w:left="360"/>
        <w:jc w:val="both"/>
        <w:rPr>
          <w:rFonts w:ascii="Times New Roman" w:hAnsi="Times New Roman"/>
          <w:b/>
          <w:noProof/>
          <w:color w:val="000000"/>
          <w:sz w:val="24"/>
          <w:szCs w:val="24"/>
          <w:u w:val="single"/>
        </w:rPr>
      </w:pPr>
    </w:p>
    <w:p w:rsidR="00277CCE" w:rsidRDefault="00757A58">
      <w:pPr>
        <w:keepNext/>
        <w:spacing w:after="120"/>
        <w:jc w:val="both"/>
        <w:rPr>
          <w:rFonts w:ascii="Times New Roman" w:hAnsi="Times New Roman"/>
          <w:i/>
          <w:noProof/>
          <w:color w:val="000000"/>
          <w:sz w:val="24"/>
          <w:szCs w:val="24"/>
        </w:rPr>
      </w:pPr>
      <w:r>
        <w:rPr>
          <w:rFonts w:ascii="Times New Roman" w:hAnsi="Times New Roman"/>
          <w:i/>
          <w:noProof/>
          <w:color w:val="000000"/>
          <w:sz w:val="24"/>
        </w:rPr>
        <w:t xml:space="preserve">Modernizacja wspólnego </w:t>
      </w:r>
      <w:r>
        <w:rPr>
          <w:rFonts w:ascii="Times New Roman" w:hAnsi="Times New Roman"/>
          <w:i/>
          <w:noProof/>
          <w:color w:val="000000"/>
          <w:sz w:val="24"/>
        </w:rPr>
        <w:t>europejskiego systemu azylowego</w:t>
      </w: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Komisja jest przekonana, że UE jest w stanie przeprowadzić reformę systemu azylowego, aby móc lepiej chronić migrantów w potrzebie i zapewnić im przyzwoite warunki życia, a jednocześnie doprowadzić do powrotu tych, którzy ni</w:t>
      </w:r>
      <w:r>
        <w:rPr>
          <w:rFonts w:ascii="Times New Roman" w:hAnsi="Times New Roman"/>
          <w:noProof/>
          <w:color w:val="000000"/>
          <w:sz w:val="24"/>
        </w:rPr>
        <w:t>e posiadają prawa pobytu w Europie. UE musi pokazać swoim obywatelom, że jest w stanie zapewnić system azylowy, który jest sprawiedliwy i dostosowany do potrzeb i który w połączeniu z silniejszymi środkami granicznymi mógłby w przyszłości służyć do zarządz</w:t>
      </w:r>
      <w:r>
        <w:rPr>
          <w:rFonts w:ascii="Times New Roman" w:hAnsi="Times New Roman"/>
          <w:noProof/>
          <w:color w:val="000000"/>
          <w:sz w:val="24"/>
        </w:rPr>
        <w:t>ania wszelkim wzrostem presji migracyjnej. Fakt, że liczba przybywających osób o nieuregulowanym statusie zmalała do poziomu sprzed kryzysu, nie może przesłaniać istniejących niedociągnięć i potrzeby kompleksowej reformy systemu azylowego.</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Istnieje zasadn</w:t>
      </w:r>
      <w:r>
        <w:rPr>
          <w:rFonts w:ascii="Times New Roman" w:hAnsi="Times New Roman"/>
          <w:noProof/>
          <w:color w:val="000000"/>
          <w:sz w:val="24"/>
        </w:rPr>
        <w:t>icza potrzeba przyjęcia podejścia ogólnounijnego. Musi się ono opierać na silnych zapewnieniach, że każde państwo członkowskie będzie rozpatrywać wnioski o udzielenie azylu, w ramach swojego zakresu odpowiedzialności, jak również ustrukturyzowanym, przewid</w:t>
      </w:r>
      <w:r>
        <w:rPr>
          <w:rFonts w:ascii="Times New Roman" w:hAnsi="Times New Roman"/>
          <w:noProof/>
          <w:color w:val="000000"/>
          <w:sz w:val="24"/>
        </w:rPr>
        <w:t>ywalnym mechanizmie solidarności, zapewniającym, aby żadne z państw członkowskich nie było nieproporcjonalnie obciążone. System azylowy UE może działać w pełni skutecznie i wzbudzać zaufanie tylko wtedy, gdy solidarność ta będzie miała charakter systematyc</w:t>
      </w:r>
      <w:r>
        <w:rPr>
          <w:rFonts w:ascii="Times New Roman" w:hAnsi="Times New Roman"/>
          <w:noProof/>
          <w:color w:val="000000"/>
          <w:sz w:val="24"/>
        </w:rPr>
        <w:t xml:space="preserve">zny, a nie </w:t>
      </w:r>
      <w:r>
        <w:rPr>
          <w:rFonts w:ascii="Times New Roman" w:hAnsi="Times New Roman"/>
          <w:i/>
          <w:noProof/>
          <w:color w:val="000000"/>
          <w:sz w:val="24"/>
        </w:rPr>
        <w:t>ad hoc</w:t>
      </w:r>
      <w:r>
        <w:rPr>
          <w:rFonts w:ascii="Times New Roman" w:hAnsi="Times New Roman"/>
          <w:noProof/>
          <w:color w:val="000000"/>
          <w:sz w:val="24"/>
        </w:rPr>
        <w:t>. Idzie to w parze z jasnymi, prostymi i wspólnymi zasadami dotyczącymi tego, jak postępować z wnioskami o udzielenie azylu, udoskonalonymi dowodami biometrycznymi stanowiącymi podstawę wdrażania zasad oraz z wystarczającym wsparciem opera</w:t>
      </w:r>
      <w:r>
        <w:rPr>
          <w:rFonts w:ascii="Times New Roman" w:hAnsi="Times New Roman"/>
          <w:noProof/>
          <w:color w:val="000000"/>
          <w:sz w:val="24"/>
        </w:rPr>
        <w:t xml:space="preserve">cyjnym i finansowym dla państw członkowskich.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Dopóki traktowanie osób ubiegających się o azyl znacznie różni się w poszczególnych państwach członkowskich, a odpowiedzialność państw członkowskich za rozpatrywanie wniosków o udzielenie azylu może łatwo prz</w:t>
      </w:r>
      <w:r>
        <w:rPr>
          <w:rFonts w:ascii="Times New Roman" w:hAnsi="Times New Roman"/>
          <w:noProof/>
          <w:color w:val="000000"/>
          <w:sz w:val="24"/>
        </w:rPr>
        <w:t>echodzić z jednego państwa członkowskiego na kolejne, dopóty system azylowy UE będzie nadal podatny na nadużycia, składanie wielokrotnych wniosków o udzielenie azylu i wtórne przepływy. Istnieje potrzeba określenia bardziej rygorystycznych zasad i zharmoni</w:t>
      </w:r>
      <w:r>
        <w:rPr>
          <w:rFonts w:ascii="Times New Roman" w:hAnsi="Times New Roman"/>
          <w:noProof/>
          <w:color w:val="000000"/>
          <w:sz w:val="24"/>
        </w:rPr>
        <w:t>zowanych kryteriów przyznawania ochrony, jak również sprawiedliwych i równych warunków dla osób ubiegających się o azyl i beneficjentów w całej UE. System azylowy może być wiarygodny tylko wtedy, gdy nastąpi szybki powrót osób ubiegających się o azyl, któr</w:t>
      </w:r>
      <w:r>
        <w:rPr>
          <w:rFonts w:ascii="Times New Roman" w:hAnsi="Times New Roman"/>
          <w:noProof/>
          <w:color w:val="000000"/>
          <w:sz w:val="24"/>
        </w:rPr>
        <w:t>ych wnioski o azyl odrzucono i które to osoby nie mają już prawa pobytu w UE. W tym celu należy ustanowić płynne połączenie między systemem azylowym i skutecznym systemem powrotów, przy pełnym poszanowaniu praw podstawowych.</w:t>
      </w:r>
    </w:p>
    <w:p w:rsidR="00277CCE" w:rsidRDefault="00277CCE">
      <w:pPr>
        <w:jc w:val="both"/>
        <w:rPr>
          <w:rFonts w:ascii="Times New Roman" w:hAnsi="Times New Roman"/>
          <w:noProof/>
          <w:color w:val="000000"/>
          <w:sz w:val="24"/>
          <w:szCs w:val="24"/>
        </w:rPr>
      </w:pPr>
    </w:p>
    <w:p w:rsidR="00277CCE" w:rsidRDefault="00757A58">
      <w:pPr>
        <w:jc w:val="both"/>
        <w:rPr>
          <w:noProof/>
          <w:color w:val="000000"/>
        </w:rPr>
      </w:pPr>
      <w:r>
        <w:rPr>
          <w:rFonts w:ascii="Times New Roman" w:hAnsi="Times New Roman"/>
          <w:noProof/>
          <w:color w:val="000000"/>
          <w:sz w:val="24"/>
        </w:rPr>
        <w:t>Komisja przedstawiła wszystkie</w:t>
      </w:r>
      <w:r>
        <w:rPr>
          <w:rFonts w:ascii="Times New Roman" w:hAnsi="Times New Roman"/>
          <w:noProof/>
          <w:color w:val="000000"/>
          <w:sz w:val="24"/>
        </w:rPr>
        <w:t xml:space="preserve"> niezbędne wnioski, by umożliwić osiągnięcie tego celu, i tym samym zdecydowanie popiera stosowanie podejścia stopniowego w celu kontynuacji prac związanych z każdym z nich. Obecnie wyważone porozumienia polityczne można uzyskać w przypadku pięciu wniosków</w:t>
      </w:r>
      <w:r>
        <w:rPr>
          <w:rFonts w:ascii="Times New Roman" w:hAnsi="Times New Roman"/>
          <w:noProof/>
          <w:color w:val="000000"/>
          <w:sz w:val="24"/>
        </w:rPr>
        <w:t xml:space="preserve"> dotyczących reformy systemu azylowego. Parlament Europejski i Rada powinny teraz skorzystać z okazji, by zakończyć ten proces przed wyborami do Parlamentu Europejskiego i pokazać obywatelom, że UE jest w stanie poczynić postępy. Jak stwierdziła Komisja w </w:t>
      </w:r>
      <w:r>
        <w:rPr>
          <w:rFonts w:ascii="Times New Roman" w:hAnsi="Times New Roman"/>
          <w:noProof/>
          <w:color w:val="000000"/>
          <w:sz w:val="24"/>
        </w:rPr>
        <w:t>grudniu 2018 r.</w:t>
      </w:r>
      <w:r>
        <w:rPr>
          <w:rStyle w:val="FootnoteReference"/>
          <w:rFonts w:ascii="Times New Roman" w:hAnsi="Times New Roman"/>
          <w:noProof/>
          <w:color w:val="000000"/>
          <w:sz w:val="24"/>
        </w:rPr>
        <w:footnoteReference w:id="42"/>
      </w:r>
      <w:r>
        <w:rPr>
          <w:rFonts w:ascii="Times New Roman" w:hAnsi="Times New Roman"/>
          <w:noProof/>
          <w:color w:val="000000"/>
          <w:sz w:val="24"/>
        </w:rPr>
        <w:t>, każdy z tych wniosków sam w sobie zapewnia istotną korzyść i nie ma przeszkód technicznych lub prawnych, aby przyjąć jeden lub kilka z nich oddzielnie. Rozporządzenie o kwalifikowaniu zagwarantowałoby prawa uznanych uchodźców i zniechęcał</w:t>
      </w:r>
      <w:r>
        <w:rPr>
          <w:rFonts w:ascii="Times New Roman" w:hAnsi="Times New Roman"/>
          <w:noProof/>
          <w:color w:val="000000"/>
          <w:sz w:val="24"/>
        </w:rPr>
        <w:t xml:space="preserve">o do wtórnych przepływów. Dyrektywa w sprawie warunków przyjmowania również przyczyniłaby się do rozwiązania problemu wtórnych przepływów, zapewniłaby bowiem zharmonizowane i godne warunki osobom ubiegającym się o azyl w całej UE. Rozporządzenie w sprawie </w:t>
      </w:r>
      <w:r>
        <w:rPr>
          <w:rFonts w:ascii="Times New Roman" w:hAnsi="Times New Roman"/>
          <w:noProof/>
          <w:color w:val="000000"/>
          <w:sz w:val="24"/>
        </w:rPr>
        <w:t xml:space="preserve">Agencji ds. Azylu umożliwiłoby agencji udzielanie państwom członkowskim szybszego i pełniejszego wsparcia. Nowe przepisy dotyczące bazy danych EURODAC pozwoliłyby państwom członkowskim na śledzenie przepływów wtórnych i lepszą identyfikację osób bez prawa </w:t>
      </w:r>
      <w:r>
        <w:rPr>
          <w:rFonts w:ascii="Times New Roman" w:hAnsi="Times New Roman"/>
          <w:noProof/>
          <w:color w:val="000000"/>
          <w:sz w:val="24"/>
        </w:rPr>
        <w:t>pobytu w UE. Unijne ramy przesiedleń zapewniłyby bezpieczne i legalne sposoby migracji, ograniczyłyby nieuregulowane przepływy i ułatwiłyby stosunki z naszymi partnerami zewnętrznymi. Komisja będzie nadal współpracować z Parlamentem Europejskim i Radą w ce</w:t>
      </w:r>
      <w:r>
        <w:rPr>
          <w:rFonts w:ascii="Times New Roman" w:hAnsi="Times New Roman"/>
          <w:noProof/>
          <w:color w:val="000000"/>
          <w:sz w:val="24"/>
        </w:rPr>
        <w:t>lu osiągnięcia postępów na drodze do zakończenia prac.</w:t>
      </w:r>
      <w:r>
        <w:rPr>
          <w:noProof/>
          <w:color w:val="000000"/>
        </w:rPr>
        <w:t xml:space="preserve">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Komisja również w dalszym ciągu monitoruje sposób, w jaki stosuje się obecny unijny system azylowy w państwach członkowskich UE, w tym poprzez badanie uchybień we wdrażaniu przepisów krajowych transp</w:t>
      </w:r>
      <w:r>
        <w:rPr>
          <w:rFonts w:ascii="Times New Roman" w:hAnsi="Times New Roman"/>
          <w:noProof/>
          <w:color w:val="000000"/>
          <w:sz w:val="24"/>
        </w:rPr>
        <w:t xml:space="preserve">onujących różne instrumenty azylowe lub braków w tych przepisach. </w:t>
      </w:r>
    </w:p>
    <w:p w:rsidR="00277CCE" w:rsidRDefault="00277CCE">
      <w:pPr>
        <w:jc w:val="both"/>
        <w:rPr>
          <w:rFonts w:ascii="Times New Roman" w:hAnsi="Times New Roman"/>
          <w:noProof/>
          <w:color w:val="000000"/>
          <w:sz w:val="24"/>
          <w:szCs w:val="24"/>
        </w:rPr>
      </w:pPr>
    </w:p>
    <w:p w:rsidR="00277CCE" w:rsidRDefault="00757A58">
      <w:pPr>
        <w:keepNext/>
        <w:spacing w:after="120"/>
        <w:jc w:val="both"/>
        <w:rPr>
          <w:rFonts w:ascii="Times New Roman" w:hAnsi="Times New Roman"/>
          <w:i/>
          <w:noProof/>
          <w:color w:val="000000"/>
          <w:sz w:val="24"/>
          <w:szCs w:val="24"/>
        </w:rPr>
      </w:pPr>
      <w:r>
        <w:rPr>
          <w:rFonts w:ascii="Times New Roman" w:hAnsi="Times New Roman"/>
          <w:i/>
          <w:noProof/>
          <w:color w:val="000000"/>
          <w:sz w:val="24"/>
        </w:rPr>
        <w:t>Wsparcie UE na rzecz ochrony za granicą</w:t>
      </w:r>
    </w:p>
    <w:p w:rsidR="00277CCE" w:rsidRDefault="00757A58">
      <w:pPr>
        <w:jc w:val="both"/>
        <w:rPr>
          <w:rFonts w:ascii="Times New Roman" w:hAnsi="Times New Roman"/>
          <w:noProof/>
          <w:color w:val="000000"/>
          <w:sz w:val="24"/>
          <w:szCs w:val="24"/>
        </w:rPr>
      </w:pPr>
      <w:r>
        <w:rPr>
          <w:rFonts w:ascii="Times New Roman" w:hAnsi="Times New Roman"/>
          <w:noProof/>
          <w:sz w:val="24"/>
        </w:rPr>
        <w:t>Oferowanie bezpiecznych i zorganizowanych ścieżek przesiedleń osobom najbardziej potrzebującym odzwierciedla wartości UE i zwiększa wiarygodność wob</w:t>
      </w:r>
      <w:r>
        <w:rPr>
          <w:rFonts w:ascii="Times New Roman" w:hAnsi="Times New Roman"/>
          <w:noProof/>
          <w:sz w:val="24"/>
        </w:rPr>
        <w:t xml:space="preserve">ec partnerów z państw trzecich. </w:t>
      </w:r>
      <w:r>
        <w:rPr>
          <w:rFonts w:ascii="Times New Roman" w:hAnsi="Times New Roman"/>
          <w:noProof/>
          <w:color w:val="000000"/>
          <w:sz w:val="24"/>
        </w:rPr>
        <w:t>Dzięki przesiedlaniu osoby objęte ochroną międzynarodową zyskują bezpieczną drogę do Europy. W ramach trwającego unijnego programu przesiedleń 20 państw członkowskich zobowiązało się, że do października 2019 r. udostępni pon</w:t>
      </w:r>
      <w:r>
        <w:rPr>
          <w:rFonts w:ascii="Times New Roman" w:hAnsi="Times New Roman"/>
          <w:noProof/>
          <w:color w:val="000000"/>
          <w:sz w:val="24"/>
        </w:rPr>
        <w:t xml:space="preserve">ad 50 000 miejsc dla osób najbardziej potrzebujących. Wywiązano się już z ponad 24 000 z tych zobowiązań, zapewniając schronienie w UE osobom potrzebującym. Przykładowo trwające przesiedlanie ponad 2 000 osób z Libii ma kluczowe znaczenie dla zdolności UE </w:t>
      </w:r>
      <w:r>
        <w:rPr>
          <w:rFonts w:ascii="Times New Roman" w:hAnsi="Times New Roman"/>
          <w:noProof/>
          <w:color w:val="000000"/>
          <w:sz w:val="24"/>
        </w:rPr>
        <w:t>do zapewniania ochrony tym, którzy jej najbardziej potrzebują; Unia współpracuje przy tym z Biurem Wysokiego Komisarza Narodów Zjednoczonych ds. Uchodźców (UNHCR) oraz organami nigerskimi. Obecnie państwa członkowskie muszą utrzymać tempo działań i zapewni</w:t>
      </w:r>
      <w:r>
        <w:rPr>
          <w:rFonts w:ascii="Times New Roman" w:hAnsi="Times New Roman"/>
          <w:noProof/>
          <w:color w:val="000000"/>
          <w:sz w:val="24"/>
        </w:rPr>
        <w:t xml:space="preserve">ć wywiązanie się z pozostałych zobowiązań przed terminem, który przypada na październik.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Od 2015 r. ochrona uchodźców i migrantów poza UE jest jednym z kluczowych elementów polityki UE. Miliony ludzi otrzymały wsparcie w ramach programów mających na celu</w:t>
      </w:r>
      <w:r>
        <w:rPr>
          <w:rFonts w:ascii="Times New Roman" w:hAnsi="Times New Roman"/>
          <w:noProof/>
          <w:color w:val="000000"/>
          <w:sz w:val="24"/>
        </w:rPr>
        <w:t xml:space="preserve"> zaspokojenie podstawowych potrzeb i poprawę jakości życia osób zmuszonych do ucieczki z powodu konfliktu w swoich krajach. </w:t>
      </w:r>
      <w:r>
        <w:rPr>
          <w:rFonts w:ascii="Times New Roman" w:hAnsi="Times New Roman"/>
          <w:noProof/>
          <w:sz w:val="24"/>
        </w:rPr>
        <w:t>Przede wszystkim przeciągający się kryzys w Syrii spowodował powstanie ogromnych potrzeb humanitarnych w przypadku ponad 13 mln osób</w:t>
      </w:r>
      <w:r>
        <w:rPr>
          <w:rFonts w:ascii="Times New Roman" w:hAnsi="Times New Roman"/>
          <w:noProof/>
          <w:sz w:val="24"/>
        </w:rPr>
        <w:t xml:space="preserve"> na terenie państwa i 5,6 mln osób w państwach sąsiadujących. </w:t>
      </w:r>
    </w:p>
    <w:p w:rsidR="00277CCE" w:rsidRDefault="00277CCE">
      <w:pPr>
        <w:jc w:val="both"/>
        <w:rPr>
          <w:rFonts w:ascii="Times New Roman" w:hAnsi="Times New Roman"/>
          <w:noProof/>
          <w:color w:val="000000"/>
          <w:sz w:val="24"/>
          <w:szCs w:val="24"/>
        </w:rPr>
      </w:pPr>
    </w:p>
    <w:p w:rsidR="00277CCE" w:rsidRDefault="00757A58">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Wsparcie UE w ramach Instrumentu Pomocy dla Uchodźców w Turcji stanowi pomoc dla ogromnego przedsięwzięcia, jakim jest zapewnienie schronienia w Turcji dla blisko 4 mln uchodźców. Do końca 201</w:t>
      </w:r>
      <w:r>
        <w:rPr>
          <w:rFonts w:ascii="Times New Roman" w:hAnsi="Times New Roman"/>
          <w:noProof/>
          <w:color w:val="000000"/>
          <w:sz w:val="24"/>
        </w:rPr>
        <w:t>8 r. pomoc humanitarna została udzielona 1,5 mln uchodźców znajdujących się w najtrudniejszej sytuacji w ramach siatki bezpieczeństwa socjalnego w sytuacjach nadzwyczajnych, tj. programu zabezpieczeń pomocy społecznej;</w:t>
      </w:r>
      <w:r>
        <w:rPr>
          <w:rFonts w:ascii="Times New Roman" w:hAnsi="Times New Roman"/>
          <w:noProof/>
          <w:sz w:val="24"/>
        </w:rPr>
        <w:t xml:space="preserve"> 410 000 uczniów otrzymało też wsparci</w:t>
      </w:r>
      <w:r>
        <w:rPr>
          <w:rFonts w:ascii="Times New Roman" w:hAnsi="Times New Roman"/>
          <w:noProof/>
          <w:sz w:val="24"/>
        </w:rPr>
        <w:t>e mające umożliwić im uczęszczanie do szkoły.</w:t>
      </w:r>
      <w:r>
        <w:rPr>
          <w:rStyle w:val="FootnoteReference"/>
          <w:rFonts w:ascii="Times New Roman" w:hAnsi="Times New Roman"/>
          <w:noProof/>
          <w:sz w:val="24"/>
        </w:rPr>
        <w:footnoteReference w:id="43"/>
      </w:r>
      <w:r>
        <w:rPr>
          <w:rFonts w:ascii="Times New Roman" w:hAnsi="Times New Roman"/>
          <w:noProof/>
          <w:sz w:val="24"/>
        </w:rPr>
        <w:t xml:space="preserve"> Kolejne 600 000 dzieci otrzymało pomoc w zakresie integracji w tureckim systemie szkolnym. Udzielono wsparcia w postaci czterech milionów konsultacji z zakresu podstawowej opieki zdrowotnej i zaszczepiono pona</w:t>
      </w:r>
      <w:r>
        <w:rPr>
          <w:rFonts w:ascii="Times New Roman" w:hAnsi="Times New Roman"/>
          <w:noProof/>
          <w:sz w:val="24"/>
        </w:rPr>
        <w:t>d 500 000 syryjskich dzieci. Wykorzystano 1,2 mld EUR ze środków drugiej transzy wynoszącej 3 mld EUR.</w:t>
      </w:r>
    </w:p>
    <w:p w:rsidR="00277CCE" w:rsidRDefault="00757A58">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 xml:space="preserve">W 2018 r. UE kontynuowała realizację swoich zobowiązań podjętych podczas drugiej konferencji w Brukseli poświęconej wsparciu Syrii i regionu – całkowite </w:t>
      </w:r>
      <w:r>
        <w:rPr>
          <w:rFonts w:ascii="Times New Roman" w:hAnsi="Times New Roman"/>
          <w:noProof/>
          <w:sz w:val="24"/>
        </w:rPr>
        <w:t xml:space="preserve">wsparcie </w:t>
      </w:r>
      <w:r>
        <w:rPr>
          <w:rStyle w:val="Strong"/>
          <w:b w:val="0"/>
          <w:noProof/>
          <w:sz w:val="24"/>
        </w:rPr>
        <w:t>UE i państw członkowskich</w:t>
      </w:r>
      <w:r>
        <w:rPr>
          <w:rFonts w:ascii="Times New Roman" w:hAnsi="Times New Roman"/>
          <w:noProof/>
          <w:sz w:val="24"/>
        </w:rPr>
        <w:t xml:space="preserve"> wzrosło od początku kryzysu do </w:t>
      </w:r>
      <w:r>
        <w:rPr>
          <w:rStyle w:val="Strong"/>
          <w:b w:val="0"/>
          <w:noProof/>
          <w:sz w:val="24"/>
        </w:rPr>
        <w:t>prawie 17 mld EUR</w:t>
      </w:r>
      <w:r>
        <w:rPr>
          <w:rFonts w:ascii="Times New Roman" w:hAnsi="Times New Roman"/>
          <w:noProof/>
          <w:sz w:val="24"/>
        </w:rPr>
        <w:t xml:space="preserve">, co uczyniło UE głównym darczyńcą. Podobnie jak w przypadku Turcji, UE zapewniła znaczące wsparcie humanitarne na rzecz osób wewnętrznie przesiedlonych w Syrii, a także </w:t>
      </w:r>
      <w:r>
        <w:rPr>
          <w:rStyle w:val="Strong"/>
          <w:b w:val="0"/>
          <w:noProof/>
          <w:sz w:val="24"/>
        </w:rPr>
        <w:t>uchodźców i społeczności przyjmujących w Jordanii, Libanie, Iraku i Egipcie.</w:t>
      </w:r>
      <w:r>
        <w:rPr>
          <w:rFonts w:ascii="Times New Roman" w:hAnsi="Times New Roman"/>
          <w:noProof/>
          <w:sz w:val="24"/>
        </w:rPr>
        <w:t xml:space="preserve"> W 2018 r. w ramach </w:t>
      </w:r>
      <w:r>
        <w:rPr>
          <w:rFonts w:ascii="Times New Roman" w:hAnsi="Times New Roman"/>
          <w:noProof/>
          <w:color w:val="000000"/>
          <w:sz w:val="24"/>
        </w:rPr>
        <w:t>regionalnego funduszu powierniczego UE w odpowiedzi na kryzys w Syrii wsparto łącznie około 2 mln syryjskich uchodźców i społeczności przyjmujących</w:t>
      </w:r>
      <w:r>
        <w:rPr>
          <w:rStyle w:val="FootnoteReference"/>
          <w:rFonts w:ascii="Times New Roman" w:hAnsi="Times New Roman"/>
          <w:noProof/>
          <w:color w:val="000000"/>
          <w:sz w:val="24"/>
        </w:rPr>
        <w:footnoteReference w:id="44"/>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Zbliżająca</w:t>
      </w:r>
      <w:r>
        <w:rPr>
          <w:rFonts w:ascii="Times New Roman" w:hAnsi="Times New Roman"/>
          <w:noProof/>
          <w:sz w:val="24"/>
        </w:rPr>
        <w:t xml:space="preserve"> się trzecia konferencja w Brukseli będzie głównym spotkaniem dotyczącym zobowiązań w odpowiedzi na kryzys w Syrii w 2019 r. i UE zamierza podtrzymać swoje zobowiązania podjęte w ostatnich latach.</w:t>
      </w:r>
    </w:p>
    <w:p w:rsidR="00277CCE" w:rsidRDefault="00757A58">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 xml:space="preserve">Regionalne programy rozwoju i ochrony koncentrujące się na </w:t>
      </w:r>
      <w:r>
        <w:rPr>
          <w:rFonts w:ascii="Times New Roman" w:hAnsi="Times New Roman"/>
          <w:noProof/>
          <w:color w:val="000000"/>
          <w:sz w:val="24"/>
        </w:rPr>
        <w:t>regionach Afryki Północnej i Rogu Afryki stanowią wsparcie dla państw trzecich, które przyjmują dużą liczbę uchodźców, w celu zaspokojenia potrzeb w zakresie ochrony i rozwoju tych państw</w:t>
      </w:r>
      <w:r>
        <w:rPr>
          <w:rStyle w:val="FootnoteReference"/>
          <w:rFonts w:ascii="Times New Roman" w:hAnsi="Times New Roman"/>
          <w:noProof/>
          <w:color w:val="000000"/>
          <w:sz w:val="24"/>
        </w:rPr>
        <w:footnoteReference w:id="45"/>
      </w:r>
      <w:r>
        <w:rPr>
          <w:rFonts w:ascii="Times New Roman" w:hAnsi="Times New Roman"/>
          <w:noProof/>
          <w:color w:val="000000"/>
          <w:sz w:val="24"/>
        </w:rPr>
        <w:t>.</w:t>
      </w:r>
    </w:p>
    <w:p w:rsidR="00277CCE" w:rsidRDefault="00757A58">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Ochrona stanowi również podstawowy element unijnego kryzysowego fu</w:t>
      </w:r>
      <w:r>
        <w:rPr>
          <w:rFonts w:ascii="Times New Roman" w:hAnsi="Times New Roman"/>
          <w:noProof/>
          <w:color w:val="000000"/>
          <w:sz w:val="24"/>
        </w:rPr>
        <w:t>nduszu powierniczego na rzecz stabilności oraz eliminowania przyczyn migracji nieuregulowanej i wysiedleń w Afryce, który stanowi uzupełnienie pomocy humanitarnej i zaspokaja podstawowe potrzeby wysiedleńców. Wobec ponad 4 mln uchodźców przebywających w sa</w:t>
      </w:r>
      <w:r>
        <w:rPr>
          <w:rFonts w:ascii="Times New Roman" w:hAnsi="Times New Roman"/>
          <w:noProof/>
          <w:color w:val="000000"/>
          <w:sz w:val="24"/>
        </w:rPr>
        <w:t>mym regionie Rogu Afryki i szacowanej liczbie 10 mln osób wewnętrznie przesiedlonych fundusz powierniczy stanowi wkład w pomoc populacjom uchodźców w osiąganiu samowystarczalności, wspierając jednocześnie społeczności przyjmujące. Szczególną uwagę w zakres</w:t>
      </w:r>
      <w:r>
        <w:rPr>
          <w:rFonts w:ascii="Times New Roman" w:hAnsi="Times New Roman"/>
          <w:noProof/>
          <w:color w:val="000000"/>
          <w:sz w:val="24"/>
        </w:rPr>
        <w:t>ie finansowania z funduszu powierniczego zwrócono na promowanie niezbędnej stabilizacji w Somalii i Sudanie.</w:t>
      </w: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Przymusowe wysiedlenie jest zjawiskiem rozprzestrzenionym na skalę światową i wymaga opracowania globalnych rozwiązań. Funkcjonowanie systemów azyl</w:t>
      </w:r>
      <w:r>
        <w:rPr>
          <w:rFonts w:ascii="Times New Roman" w:hAnsi="Times New Roman"/>
          <w:noProof/>
          <w:color w:val="000000"/>
          <w:sz w:val="24"/>
        </w:rPr>
        <w:t>owych ma kluczowe znaczenie zarówno w przypadku partnerów z państw trzecich, jak i w obrębie UE. UE powinna wykorzystać impuls płynący z globalnego porozumienia w sprawie uchodźców jako platformę do dalszego stosowania istniejących ram UE w celu pomocy pań</w:t>
      </w:r>
      <w:r>
        <w:rPr>
          <w:rFonts w:ascii="Times New Roman" w:hAnsi="Times New Roman"/>
          <w:noProof/>
          <w:color w:val="000000"/>
          <w:sz w:val="24"/>
        </w:rPr>
        <w:t>stwom trzecim w niesieniu wsparcia uchodźcom poza jej granicami.</w:t>
      </w:r>
    </w:p>
    <w:p w:rsidR="00277CCE" w:rsidRDefault="00277CCE">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277CCE">
        <w:tc>
          <w:tcPr>
            <w:tcW w:w="9286" w:type="dxa"/>
            <w:shd w:val="clear" w:color="auto" w:fill="1F497D" w:themeFill="text2"/>
          </w:tcPr>
          <w:p w:rsidR="00277CCE" w:rsidRDefault="00757A58">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Najważniejsze kolejne działania</w:t>
            </w:r>
          </w:p>
        </w:tc>
      </w:tr>
      <w:tr w:rsidR="00277CCE">
        <w:tc>
          <w:tcPr>
            <w:tcW w:w="9286" w:type="dxa"/>
            <w:shd w:val="clear" w:color="auto" w:fill="C6D9F1" w:themeFill="text2" w:themeFillTint="33"/>
          </w:tcPr>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Parlament Europejski i Rada powinny przyjąć nowe ramy legislacyjne niezbędne do ustanowienia </w:t>
            </w:r>
            <w:r>
              <w:rPr>
                <w:rFonts w:ascii="Times New Roman" w:eastAsiaTheme="minorHAnsi" w:hAnsi="Times New Roman"/>
                <w:b/>
                <w:i/>
                <w:noProof/>
                <w:color w:val="000000"/>
                <w:sz w:val="24"/>
              </w:rPr>
              <w:t>wspólnego europejskiego systemu azylowego</w:t>
            </w:r>
            <w:r>
              <w:rPr>
                <w:rFonts w:ascii="Times New Roman" w:eastAsiaTheme="minorHAnsi" w:hAnsi="Times New Roman"/>
                <w:noProof/>
                <w:color w:val="000000"/>
                <w:sz w:val="24"/>
              </w:rPr>
              <w:t xml:space="preserve">, który sprostałby </w:t>
            </w:r>
            <w:r>
              <w:rPr>
                <w:rFonts w:ascii="Times New Roman" w:eastAsiaTheme="minorHAnsi" w:hAnsi="Times New Roman"/>
                <w:noProof/>
                <w:color w:val="000000"/>
                <w:sz w:val="24"/>
              </w:rPr>
              <w:t>przyszłym wyzwaniom. Wnioski, które są bliskie finalizacji, powinny zostać przyjęte przed wyborami do Parlamentu Europejskiego.</w:t>
            </w:r>
          </w:p>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Państwa członkowskie, przed terminem, który przypada na październik 2019 r., powinny zapewnić wywiązanie się ze zobowiązania dot</w:t>
            </w:r>
            <w:r>
              <w:rPr>
                <w:rFonts w:ascii="Times New Roman" w:eastAsiaTheme="minorHAnsi" w:hAnsi="Times New Roman"/>
                <w:noProof/>
                <w:color w:val="000000"/>
                <w:sz w:val="24"/>
              </w:rPr>
              <w:t xml:space="preserve">yczącego </w:t>
            </w:r>
            <w:r>
              <w:rPr>
                <w:rFonts w:ascii="Times New Roman" w:eastAsiaTheme="minorHAnsi" w:hAnsi="Times New Roman"/>
                <w:b/>
                <w:i/>
                <w:noProof/>
                <w:color w:val="000000"/>
                <w:sz w:val="24"/>
              </w:rPr>
              <w:t>przesiedlenia</w:t>
            </w:r>
            <w:r>
              <w:rPr>
                <w:rFonts w:ascii="Times New Roman" w:eastAsiaTheme="minorHAnsi" w:hAnsi="Times New Roman"/>
                <w:noProof/>
                <w:color w:val="000000"/>
                <w:sz w:val="24"/>
              </w:rPr>
              <w:t xml:space="preserve"> 50 000 osób.</w:t>
            </w:r>
          </w:p>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UE i państwa członkowskie powinny utrzymać wsparcie niezbędne do </w:t>
            </w:r>
            <w:r>
              <w:rPr>
                <w:rFonts w:ascii="Times New Roman" w:eastAsiaTheme="minorHAnsi" w:hAnsi="Times New Roman"/>
                <w:b/>
                <w:i/>
                <w:noProof/>
                <w:color w:val="000000"/>
                <w:sz w:val="24"/>
              </w:rPr>
              <w:t>ochrony uchodźców i migrantów w państwach trzecich</w:t>
            </w:r>
            <w:r>
              <w:rPr>
                <w:rFonts w:ascii="Times New Roman" w:eastAsiaTheme="minorHAnsi" w:hAnsi="Times New Roman"/>
                <w:noProof/>
                <w:color w:val="000000"/>
                <w:sz w:val="24"/>
              </w:rPr>
              <w:t>, w tym spełnianie zobowiązań podjętych na trzeciej konferencji w Brukseli w sprawie Syrii.</w:t>
            </w:r>
          </w:p>
        </w:tc>
      </w:tr>
    </w:tbl>
    <w:p w:rsidR="00277CCE" w:rsidRDefault="00277CCE">
      <w:pPr>
        <w:jc w:val="both"/>
        <w:rPr>
          <w:rFonts w:ascii="Times New Roman" w:hAnsi="Times New Roman"/>
          <w:noProof/>
          <w:color w:val="000000"/>
          <w:sz w:val="24"/>
          <w:szCs w:val="24"/>
        </w:rPr>
      </w:pPr>
    </w:p>
    <w:p w:rsidR="00277CCE" w:rsidRDefault="00277CCE">
      <w:pPr>
        <w:jc w:val="both"/>
        <w:rPr>
          <w:rFonts w:ascii="Times New Roman" w:hAnsi="Times New Roman"/>
          <w:noProof/>
          <w:color w:val="000000"/>
          <w:sz w:val="24"/>
          <w:szCs w:val="24"/>
        </w:rPr>
      </w:pPr>
    </w:p>
    <w:p w:rsidR="00277CCE" w:rsidRDefault="00757A58">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Legalna migracja i integracja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Legalne drogi wjazdu stanowią niezbędny element zarządzania migracjami w UE jako czynnik zniechęcający do korzystania z nielegalnych szlaków oraz dowód zaangażowania UE na rzecz prawdziwego długoterminowego partnerstwa. Są o</w:t>
      </w:r>
      <w:r>
        <w:rPr>
          <w:rFonts w:ascii="Times New Roman" w:hAnsi="Times New Roman"/>
          <w:noProof/>
          <w:color w:val="000000"/>
          <w:sz w:val="24"/>
        </w:rPr>
        <w:t>ne również niezbędne, by UE mogła zaspokoić obecne i przyszłe potrzeby w zakresie umiejętności. Legalna migracja odbywa się w prawidłowo opracowanych ramach prawnych na poziomie UE dotyczących warunków przyjmowania oraz procedur i praw obywateli państw trz</w:t>
      </w:r>
      <w:r>
        <w:rPr>
          <w:rFonts w:ascii="Times New Roman" w:hAnsi="Times New Roman"/>
          <w:noProof/>
          <w:color w:val="000000"/>
          <w:sz w:val="24"/>
        </w:rPr>
        <w:t>ecich, przy czym państwa członkowskie są odpowiedzialne za podejmowanie decyzji w sprawie liczby obywateli państw trzecich przyjmowanych ze względów gospodarczych. Wniosek dotyczący zmiany dyrektywy w sprawie niebieskiej karty, który w tym obszarze ma najw</w:t>
      </w:r>
      <w:r>
        <w:rPr>
          <w:rFonts w:ascii="Times New Roman" w:hAnsi="Times New Roman"/>
          <w:noProof/>
          <w:color w:val="000000"/>
          <w:sz w:val="24"/>
        </w:rPr>
        <w:t xml:space="preserve">iększe znaczenie, utknął jednak obecnie w martwym punkcie. Komisja pokrótce przedstawi wyniki kompleksowej oceny („ocena adekwatności”) ram regulacyjnych w zakresie legalnej migracji do dalszych konsultacji. </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W międzyczasie trwa realizacja szeregu projekt</w:t>
      </w:r>
      <w:r>
        <w:rPr>
          <w:rFonts w:ascii="Times New Roman" w:hAnsi="Times New Roman"/>
          <w:noProof/>
          <w:color w:val="000000"/>
          <w:sz w:val="24"/>
        </w:rPr>
        <w:t>ów pilotażowych dotyczących migracji pracowników, lub są one w przygotowaniu. Stanowią one ważny element przy otwieraniu drogi do nowego podejścia do tematu legalnej migracji. W ramach takich projektów pilotażowych można badać i wdrażać nowe struktury i po</w:t>
      </w:r>
      <w:r>
        <w:rPr>
          <w:rFonts w:ascii="Times New Roman" w:hAnsi="Times New Roman"/>
          <w:noProof/>
          <w:color w:val="000000"/>
          <w:sz w:val="24"/>
        </w:rPr>
        <w:t>dejścia do skuteczniejszego zarządzania legalną migracją w kluczowych krajach partnerskich. Projekty obejmujące Belgię i Litwę, Maroko i Nigerię łączą w sobie rozwiązanie problemu niedoboru wykwalifikowanej siły roboczej w sektorze informatycznym z potencj</w:t>
      </w:r>
      <w:r>
        <w:rPr>
          <w:rFonts w:ascii="Times New Roman" w:hAnsi="Times New Roman"/>
          <w:noProof/>
          <w:color w:val="000000"/>
          <w:sz w:val="24"/>
        </w:rPr>
        <w:t>alną reintegracją po zakończeniu projektu. Analizowane są dalsze propozycje projektów z Hiszpanii i Francji dotyczące współpracy z krajami Afryki Północnej. Te konkretne projekty są realizowane jako uzupełnienie programu regionalnego dotyczącego legalnej m</w:t>
      </w:r>
      <w:r>
        <w:rPr>
          <w:rFonts w:ascii="Times New Roman" w:hAnsi="Times New Roman"/>
          <w:noProof/>
          <w:color w:val="000000"/>
          <w:sz w:val="24"/>
        </w:rPr>
        <w:t>igracji, który przyjęto w grudniu 2018 r., z udziałem Niemiec w programach mobilności z wybranymi państwami Afryki Północnej.</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Integracja stanowi kluczowy krok w obszarze procesu migracji, a jej celem jest zapewnienie, aby umiejętności i kompetencje osób, którym przysługuje prawo pobytu, były wykorzystywane i rozwijane z korzyścią dla wszystkich, a także zapewnienie integracyjnego</w:t>
      </w:r>
      <w:r>
        <w:rPr>
          <w:rFonts w:ascii="Times New Roman" w:hAnsi="Times New Roman"/>
          <w:noProof/>
          <w:color w:val="000000"/>
          <w:sz w:val="24"/>
        </w:rPr>
        <w:t xml:space="preserve"> i spójnego społeczeństwa. Pomyślna integracja obywateli państw trzecich legalnie, którzy legalnie przebywają na terytorium UE, ma zatem zasadnicze znaczenie dla ekonomicznego i społecznego funkcjonowania migracji, biorąc pod uwagę zróżnicowanie między oby</w:t>
      </w:r>
      <w:r>
        <w:rPr>
          <w:rFonts w:ascii="Times New Roman" w:hAnsi="Times New Roman"/>
          <w:noProof/>
          <w:color w:val="000000"/>
          <w:sz w:val="24"/>
        </w:rPr>
        <w:t xml:space="preserve">watelami państw trzecich i obywatelami Unii pod względem zatrudnienia, ubóstwa i dostępu do kluczowych usług, takich jak edukacja i opieka zdrowotna. Wspieranie </w:t>
      </w:r>
      <w:r>
        <w:rPr>
          <w:rFonts w:ascii="Times New Roman" w:hAnsi="Times New Roman"/>
          <w:noProof/>
          <w:sz w:val="24"/>
        </w:rPr>
        <w:t>integracji obywateli państw trzecich, którzy legalnie przebywają na terytorium UE, i osób pocho</w:t>
      </w:r>
      <w:r>
        <w:rPr>
          <w:rFonts w:ascii="Times New Roman" w:hAnsi="Times New Roman"/>
          <w:noProof/>
          <w:sz w:val="24"/>
        </w:rPr>
        <w:t>dzącym ze środowisk migracyjnych jest centralnym punktem proponowanych wieloletnich ram finansowych na lata 2021–2027</w:t>
      </w:r>
      <w:r>
        <w:rPr>
          <w:rStyle w:val="FootnoteReference"/>
          <w:rFonts w:ascii="Times New Roman" w:hAnsi="Times New Roman"/>
          <w:noProof/>
          <w:sz w:val="24"/>
        </w:rPr>
        <w:footnoteReference w:id="46"/>
      </w:r>
      <w:r>
        <w:rPr>
          <w:rFonts w:ascii="Times New Roman" w:hAnsi="Times New Roman"/>
          <w:noProof/>
          <w:sz w:val="24"/>
        </w:rPr>
        <w:t>. Działania ogólnie ukierunkowane na wczesnych etapach integracji zawierałyby podstawowe kursy językowe, kształtowanie świadomości obywate</w:t>
      </w:r>
      <w:r>
        <w:rPr>
          <w:rFonts w:ascii="Times New Roman" w:hAnsi="Times New Roman"/>
          <w:noProof/>
          <w:sz w:val="24"/>
        </w:rPr>
        <w:t>lskiej oraz ośrodki kompleksowego doradztwa</w:t>
      </w:r>
      <w:r>
        <w:rPr>
          <w:rStyle w:val="FootnoteReference"/>
          <w:rFonts w:ascii="Times New Roman" w:hAnsi="Times New Roman"/>
          <w:noProof/>
          <w:sz w:val="24"/>
        </w:rPr>
        <w:footnoteReference w:id="47"/>
      </w:r>
      <w:r>
        <w:rPr>
          <w:rFonts w:ascii="Times New Roman" w:hAnsi="Times New Roman"/>
          <w:noProof/>
          <w:sz w:val="24"/>
        </w:rPr>
        <w:t>. Inne rodzaje działań objęłyby bardziej systematyczną integrację na rynku pracy</w:t>
      </w:r>
      <w:r>
        <w:rPr>
          <w:rStyle w:val="FootnoteReference"/>
          <w:rFonts w:ascii="Times New Roman" w:hAnsi="Times New Roman"/>
          <w:noProof/>
          <w:sz w:val="24"/>
        </w:rPr>
        <w:footnoteReference w:id="48"/>
      </w:r>
      <w:r>
        <w:rPr>
          <w:rFonts w:ascii="Times New Roman" w:hAnsi="Times New Roman"/>
          <w:noProof/>
          <w:sz w:val="24"/>
        </w:rPr>
        <w:t xml:space="preserve"> oraz włączenie społeczne obywateli państw trzecich i osób ze środowisk migracyjnych</w:t>
      </w:r>
      <w:r>
        <w:rPr>
          <w:rStyle w:val="FootnoteReference"/>
          <w:rFonts w:ascii="Times New Roman" w:hAnsi="Times New Roman"/>
          <w:noProof/>
          <w:sz w:val="24"/>
        </w:rPr>
        <w:footnoteReference w:id="49"/>
      </w:r>
      <w:r>
        <w:rPr>
          <w:rFonts w:ascii="Times New Roman" w:hAnsi="Times New Roman"/>
          <w:noProof/>
          <w:sz w:val="24"/>
        </w:rPr>
        <w:t>.</w:t>
      </w:r>
    </w:p>
    <w:p w:rsidR="00277CCE" w:rsidRDefault="00277CCE">
      <w:pPr>
        <w:jc w:val="both"/>
        <w:rPr>
          <w:rFonts w:ascii="Times New Roman" w:hAnsi="Times New Roman"/>
          <w:noProof/>
          <w:color w:val="000000"/>
          <w:sz w:val="24"/>
          <w:szCs w:val="24"/>
        </w:rPr>
      </w:pPr>
    </w:p>
    <w:p w:rsidR="00277CCE" w:rsidRDefault="00757A58">
      <w:pPr>
        <w:jc w:val="both"/>
        <w:rPr>
          <w:rFonts w:ascii="Times New Roman" w:hAnsi="Times New Roman"/>
          <w:noProof/>
          <w:color w:val="000000"/>
          <w:sz w:val="24"/>
          <w:szCs w:val="24"/>
        </w:rPr>
      </w:pPr>
      <w:r>
        <w:rPr>
          <w:rFonts w:ascii="Times New Roman" w:hAnsi="Times New Roman"/>
          <w:noProof/>
          <w:color w:val="000000"/>
          <w:sz w:val="24"/>
        </w:rPr>
        <w:t>Kolejnym ważnym aspektem jest przeciwdziała</w:t>
      </w:r>
      <w:r>
        <w:rPr>
          <w:rFonts w:ascii="Times New Roman" w:hAnsi="Times New Roman"/>
          <w:noProof/>
          <w:color w:val="000000"/>
          <w:sz w:val="24"/>
        </w:rPr>
        <w:t>nie wyzyskowi pracowników i zwalczanie go, również stanowi on bowiem czynnik przyciągający migrację nieuregulowaną. Przepisy UE zakazują zatrudniania nielegalnie przebywających obywateli państw trzecich, w tym osób, które pracują w warunkach szczególnego w</w:t>
      </w:r>
      <w:r>
        <w:rPr>
          <w:rFonts w:ascii="Times New Roman" w:hAnsi="Times New Roman"/>
          <w:noProof/>
          <w:color w:val="000000"/>
          <w:sz w:val="24"/>
        </w:rPr>
        <w:t>yzysku, a także wymagają określenia minimalnych norm w celu zapobiegania naruszeniom oraz wykrywania i sankcjonowania ich.</w:t>
      </w:r>
    </w:p>
    <w:p w:rsidR="00277CCE" w:rsidRDefault="00277CCE">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277CCE">
        <w:tc>
          <w:tcPr>
            <w:tcW w:w="9286" w:type="dxa"/>
            <w:shd w:val="clear" w:color="auto" w:fill="1F497D" w:themeFill="text2"/>
          </w:tcPr>
          <w:p w:rsidR="00277CCE" w:rsidRDefault="00757A58">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Najważniejsze kolejne działania</w:t>
            </w:r>
          </w:p>
        </w:tc>
      </w:tr>
      <w:tr w:rsidR="00277CCE">
        <w:tc>
          <w:tcPr>
            <w:tcW w:w="9286" w:type="dxa"/>
            <w:shd w:val="clear" w:color="auto" w:fill="C6D9F1" w:themeFill="text2" w:themeFillTint="33"/>
          </w:tcPr>
          <w:p w:rsidR="00277CCE" w:rsidRDefault="00757A58">
            <w:pPr>
              <w:numPr>
                <w:ilvl w:val="0"/>
                <w:numId w:val="68"/>
              </w:numPr>
              <w:ind w:left="360"/>
              <w:contextualSpacing/>
              <w:jc w:val="both"/>
              <w:rPr>
                <w:rFonts w:ascii="Times New Roman" w:hAnsi="Times New Roman"/>
                <w:noProof/>
                <w:sz w:val="24"/>
                <w:szCs w:val="24"/>
              </w:rPr>
            </w:pPr>
            <w:r>
              <w:rPr>
                <w:rFonts w:ascii="Times New Roman" w:hAnsi="Times New Roman"/>
                <w:noProof/>
                <w:sz w:val="24"/>
              </w:rPr>
              <w:t>Komisja zakończy kompleksową ocenę („</w:t>
            </w:r>
            <w:r>
              <w:rPr>
                <w:rFonts w:ascii="Times New Roman" w:hAnsi="Times New Roman"/>
                <w:b/>
                <w:i/>
                <w:noProof/>
                <w:sz w:val="24"/>
              </w:rPr>
              <w:t>ocena adekwatności</w:t>
            </w:r>
            <w:r>
              <w:rPr>
                <w:rFonts w:ascii="Times New Roman" w:hAnsi="Times New Roman"/>
                <w:noProof/>
                <w:sz w:val="24"/>
              </w:rPr>
              <w:t>”) istniejących ram regulacyjnych w zakresie</w:t>
            </w:r>
            <w:r>
              <w:rPr>
                <w:rFonts w:ascii="Times New Roman" w:hAnsi="Times New Roman"/>
                <w:noProof/>
                <w:sz w:val="24"/>
              </w:rPr>
              <w:t xml:space="preserve"> legalnej migracji i rozpocznie konsultacje z zainteresowanymi stronami dotyczące jej wyników.</w:t>
            </w:r>
          </w:p>
          <w:p w:rsidR="00277CCE" w:rsidRDefault="00757A58">
            <w:pPr>
              <w:numPr>
                <w:ilvl w:val="0"/>
                <w:numId w:val="68"/>
              </w:numPr>
              <w:ind w:left="360"/>
              <w:contextualSpacing/>
              <w:jc w:val="both"/>
              <w:rPr>
                <w:rFonts w:ascii="Times New Roman" w:hAnsi="Times New Roman"/>
                <w:noProof/>
                <w:sz w:val="24"/>
                <w:szCs w:val="24"/>
              </w:rPr>
            </w:pPr>
            <w:r>
              <w:rPr>
                <w:rFonts w:ascii="Times New Roman" w:hAnsi="Times New Roman"/>
                <w:noProof/>
                <w:sz w:val="24"/>
              </w:rPr>
              <w:t>Państwa członkowskie przy wsparciu UE powinny przyspieszyć</w:t>
            </w:r>
            <w:r>
              <w:rPr>
                <w:rFonts w:ascii="Times New Roman" w:hAnsi="Times New Roman"/>
                <w:b/>
                <w:noProof/>
                <w:sz w:val="24"/>
              </w:rPr>
              <w:t xml:space="preserve"> </w:t>
            </w:r>
            <w:r>
              <w:rPr>
                <w:rFonts w:ascii="Times New Roman" w:hAnsi="Times New Roman"/>
                <w:b/>
                <w:i/>
                <w:noProof/>
                <w:sz w:val="24"/>
              </w:rPr>
              <w:t>realizację projektów pilotażowych w zakresie legalnej migracji,</w:t>
            </w:r>
            <w:r>
              <w:rPr>
                <w:rFonts w:ascii="Times New Roman" w:hAnsi="Times New Roman"/>
                <w:noProof/>
                <w:sz w:val="24"/>
              </w:rPr>
              <w:t xml:space="preserve"> zwiększając wsparcie dla nowych projek</w:t>
            </w:r>
            <w:r>
              <w:rPr>
                <w:rFonts w:ascii="Times New Roman" w:hAnsi="Times New Roman"/>
                <w:noProof/>
                <w:sz w:val="24"/>
              </w:rPr>
              <w:t xml:space="preserve">tów i tworząc synergie między istniejącymi projektami państw członkowskich. </w:t>
            </w:r>
          </w:p>
          <w:p w:rsidR="00277CCE" w:rsidRDefault="00757A58">
            <w:pPr>
              <w:numPr>
                <w:ilvl w:val="0"/>
                <w:numId w:val="68"/>
              </w:numPr>
              <w:ind w:left="360"/>
              <w:contextualSpacing/>
              <w:jc w:val="both"/>
              <w:rPr>
                <w:rFonts w:ascii="Times New Roman" w:hAnsi="Times New Roman"/>
                <w:noProof/>
                <w:sz w:val="24"/>
                <w:szCs w:val="24"/>
              </w:rPr>
            </w:pPr>
            <w:r>
              <w:rPr>
                <w:rFonts w:ascii="Times New Roman" w:hAnsi="Times New Roman"/>
                <w:noProof/>
                <w:sz w:val="24"/>
              </w:rPr>
              <w:t xml:space="preserve">Parlament Europejski i Rada powinny zapewnić wsparcie dla </w:t>
            </w:r>
            <w:r>
              <w:rPr>
                <w:rFonts w:ascii="Times New Roman" w:hAnsi="Times New Roman"/>
                <w:b/>
                <w:i/>
                <w:noProof/>
                <w:sz w:val="24"/>
              </w:rPr>
              <w:t>środków integracyjnych w następnych wieloletnich ramach finansowych</w:t>
            </w:r>
            <w:r>
              <w:rPr>
                <w:rFonts w:ascii="Times New Roman" w:hAnsi="Times New Roman"/>
                <w:noProof/>
                <w:sz w:val="24"/>
              </w:rPr>
              <w:t xml:space="preserve">. </w:t>
            </w:r>
          </w:p>
          <w:p w:rsidR="00277CCE" w:rsidRDefault="00757A58">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 xml:space="preserve">UE powinna wykorzystać szansę, jaką dają nowe programy finansowania, aby zwiększyć koordynację, dopasowanie umiejętności i monitorowanie </w:t>
            </w:r>
            <w:r>
              <w:rPr>
                <w:rFonts w:ascii="Times New Roman" w:hAnsi="Times New Roman"/>
                <w:b/>
                <w:i/>
                <w:noProof/>
                <w:sz w:val="24"/>
              </w:rPr>
              <w:t>działań integracyjnych</w:t>
            </w:r>
            <w:r>
              <w:rPr>
                <w:rFonts w:ascii="Times New Roman" w:hAnsi="Times New Roman"/>
                <w:noProof/>
                <w:sz w:val="24"/>
              </w:rPr>
              <w:t xml:space="preserve"> wdrażanych w państwach członkowskich.</w:t>
            </w:r>
          </w:p>
        </w:tc>
      </w:tr>
    </w:tbl>
    <w:p w:rsidR="00757A58" w:rsidRDefault="00757A58" w:rsidP="00757A58">
      <w:pPr>
        <w:pStyle w:val="ListParagraph"/>
        <w:jc w:val="both"/>
        <w:rPr>
          <w:rFonts w:ascii="Times New Roman" w:hAnsi="Times New Roman"/>
          <w:b/>
          <w:noProof/>
          <w:sz w:val="24"/>
        </w:rPr>
      </w:pPr>
    </w:p>
    <w:p w:rsidR="00277CCE" w:rsidRDefault="00757A58">
      <w:pPr>
        <w:pStyle w:val="ListParagraph"/>
        <w:numPr>
          <w:ilvl w:val="0"/>
          <w:numId w:val="2"/>
        </w:numPr>
        <w:jc w:val="both"/>
        <w:rPr>
          <w:rFonts w:ascii="Times New Roman" w:hAnsi="Times New Roman"/>
          <w:b/>
          <w:noProof/>
          <w:sz w:val="24"/>
          <w:szCs w:val="24"/>
        </w:rPr>
      </w:pPr>
      <w:bookmarkStart w:id="1" w:name="_GoBack"/>
      <w:bookmarkEnd w:id="1"/>
      <w:r>
        <w:rPr>
          <w:rFonts w:ascii="Times New Roman" w:hAnsi="Times New Roman"/>
          <w:b/>
          <w:noProof/>
          <w:sz w:val="24"/>
        </w:rPr>
        <w:t>W</w:t>
      </w:r>
      <w:r>
        <w:rPr>
          <w:rFonts w:ascii="Times New Roman" w:hAnsi="Times New Roman"/>
          <w:b/>
          <w:noProof/>
          <w:sz w:val="24"/>
        </w:rPr>
        <w:t>NIOSEK</w:t>
      </w:r>
    </w:p>
    <w:p w:rsidR="00277CCE" w:rsidRDefault="00277CCE">
      <w:pPr>
        <w:jc w:val="both"/>
        <w:rPr>
          <w:rFonts w:ascii="Times New Roman" w:hAnsi="Times New Roman"/>
          <w:noProof/>
          <w:sz w:val="24"/>
          <w:szCs w:val="24"/>
        </w:rPr>
      </w:pPr>
    </w:p>
    <w:p w:rsidR="00277CCE" w:rsidRDefault="00757A58">
      <w:pPr>
        <w:jc w:val="both"/>
        <w:rPr>
          <w:rFonts w:ascii="Times New Roman" w:hAnsi="Times New Roman"/>
          <w:noProof/>
          <w:sz w:val="24"/>
        </w:rPr>
      </w:pPr>
      <w:r>
        <w:rPr>
          <w:rFonts w:ascii="Times New Roman" w:hAnsi="Times New Roman"/>
          <w:noProof/>
          <w:sz w:val="24"/>
        </w:rPr>
        <w:t>Stały wzrost presji migracyjnej i ryzyko niestab</w:t>
      </w:r>
      <w:r>
        <w:rPr>
          <w:rFonts w:ascii="Times New Roman" w:hAnsi="Times New Roman"/>
          <w:noProof/>
          <w:sz w:val="24"/>
        </w:rPr>
        <w:t>ilności poza granicami UE sprawią, że migracja pozostanie jednym z głównych wyzwań stojących przed UE. Dlatego tak ważne jest, aby UE dysponowała narzędziami, których będzie potrzebować w nadchodzących latach: ścisłym partnerstwem z krajami pochodzenia i t</w:t>
      </w:r>
      <w:r>
        <w:rPr>
          <w:rFonts w:ascii="Times New Roman" w:hAnsi="Times New Roman"/>
          <w:noProof/>
          <w:sz w:val="24"/>
        </w:rPr>
        <w:t xml:space="preserve">ranzytu, niezbędnymi zasobami finansowymi oraz ramami legislacyjnymi i zdolnością operacyjną, która właściwie odzwierciedla równowagę między solidarnością a odpowiedzialnością, co musi stanowić centralny element kompleksowego podejścia UE. Zdaniem Komisji </w:t>
      </w:r>
      <w:r>
        <w:rPr>
          <w:rFonts w:ascii="Times New Roman" w:hAnsi="Times New Roman"/>
          <w:noProof/>
          <w:sz w:val="24"/>
        </w:rPr>
        <w:t>przyjęcie wniosków dotyczących reformy wspólnego europejskiego systemu azylowego oraz modernizacji Europejskiej Straży Granicznej i Przybrzeżnej, a także zapewnienie wystarczającego finansowania w kolejnych wieloletnich ramach finansowych – z utrzymaniem o</w:t>
      </w:r>
      <w:r>
        <w:rPr>
          <w:rFonts w:ascii="Times New Roman" w:hAnsi="Times New Roman"/>
          <w:noProof/>
          <w:sz w:val="24"/>
        </w:rPr>
        <w:t>dpowiedniego poziomu ambicji – jest właściwym krokiem naprzód, jeżeli UE ma sprostać temu wyzwaniu.</w:t>
      </w:r>
    </w:p>
    <w:p w:rsidR="00277CCE" w:rsidRDefault="00277CCE">
      <w:pPr>
        <w:jc w:val="both"/>
        <w:rPr>
          <w:rFonts w:ascii="Times New Roman" w:hAnsi="Times New Roman"/>
          <w:noProof/>
          <w:sz w:val="24"/>
        </w:rPr>
      </w:pPr>
    </w:p>
    <w:p w:rsidR="00277CCE" w:rsidRDefault="00757A58">
      <w:pPr>
        <w:pStyle w:val="ListParagraph"/>
        <w:ind w:left="0"/>
        <w:jc w:val="both"/>
        <w:rPr>
          <w:rFonts w:ascii="Times New Roman" w:hAnsi="Times New Roman"/>
          <w:noProof/>
          <w:sz w:val="24"/>
        </w:rPr>
      </w:pPr>
      <w:r>
        <w:rPr>
          <w:rFonts w:ascii="Times New Roman" w:hAnsi="Times New Roman"/>
          <w:noProof/>
          <w:sz w:val="24"/>
        </w:rPr>
        <w:t xml:space="preserve">Niezbędne jest zastosowanie kompleksowego podejścia – obejmującego wspólne działania z partnerami spoza UE, na granicach zewnętrznych i wewnątrz UE. </w:t>
      </w:r>
      <w:r>
        <w:rPr>
          <w:rFonts w:ascii="Times New Roman" w:hAnsi="Times New Roman"/>
          <w:noProof/>
          <w:sz w:val="24"/>
        </w:rPr>
        <w:t>Istnieje wyraźna korelacja między silną polityką graniczną i migracyjną a naszą zdolnością do zachowania korzyści płynących ze strefy Schengen. Obecnie sześć państw strefy Schengen stosuje wewnętrzne kontrole graniczne</w:t>
      </w:r>
      <w:r>
        <w:rPr>
          <w:rStyle w:val="FootnoteReference"/>
          <w:rFonts w:ascii="Times New Roman" w:hAnsi="Times New Roman"/>
          <w:noProof/>
          <w:sz w:val="24"/>
        </w:rPr>
        <w:footnoteReference w:id="50"/>
      </w:r>
      <w:r>
        <w:rPr>
          <w:rFonts w:ascii="Times New Roman" w:hAnsi="Times New Roman"/>
          <w:noProof/>
          <w:sz w:val="24"/>
        </w:rPr>
        <w:t>. Komisja określiła, w jaki sposób mo</w:t>
      </w:r>
      <w:r>
        <w:rPr>
          <w:rFonts w:ascii="Times New Roman" w:hAnsi="Times New Roman"/>
          <w:noProof/>
          <w:sz w:val="24"/>
        </w:rPr>
        <w:t xml:space="preserve">żna podnieść bezpieczeństwo dzięki proporcjonalnym kontrolom policyjnym i współpracy bez konieczności przeprowadzania kontroli granicznych, a także zaproponowała wprowadzenie zmian w przepisach dotyczących </w:t>
      </w:r>
      <w:r>
        <w:rPr>
          <w:rFonts w:ascii="Times New Roman" w:hAnsi="Times New Roman"/>
          <w:noProof/>
          <w:color w:val="000000"/>
          <w:sz w:val="24"/>
        </w:rPr>
        <w:t xml:space="preserve">tymczasowego przywrócenia kontroli granicznych na </w:t>
      </w:r>
      <w:r>
        <w:rPr>
          <w:rFonts w:ascii="Times New Roman" w:hAnsi="Times New Roman"/>
          <w:noProof/>
          <w:color w:val="000000"/>
          <w:sz w:val="24"/>
        </w:rPr>
        <w:t>granicach wewnętrznych</w:t>
      </w:r>
      <w:r>
        <w:rPr>
          <w:rStyle w:val="FootnoteReference"/>
          <w:rFonts w:ascii="Times New Roman" w:hAnsi="Times New Roman"/>
          <w:noProof/>
          <w:sz w:val="24"/>
        </w:rPr>
        <w:footnoteReference w:id="51"/>
      </w:r>
      <w:r>
        <w:rPr>
          <w:rFonts w:ascii="Times New Roman" w:hAnsi="Times New Roman"/>
          <w:noProof/>
          <w:color w:val="000000"/>
          <w:sz w:val="24"/>
        </w:rPr>
        <w:t>.</w:t>
      </w:r>
      <w:r>
        <w:rPr>
          <w:rFonts w:ascii="Times New Roman" w:hAnsi="Times New Roman"/>
          <w:noProof/>
          <w:sz w:val="24"/>
        </w:rPr>
        <w:t xml:space="preserve"> Uwzględniając wszystkie starania dołożone w celu wzmocnienia zarządzania granicami zewnętrznymi oraz biorąc pod uwagę zmniejszenie liczby przybywających osób o nieuregulowanym statusie, nadszedł czas na bilans sytuacji pod kątem zn</w:t>
      </w:r>
      <w:r>
        <w:rPr>
          <w:rFonts w:ascii="Times New Roman" w:hAnsi="Times New Roman"/>
          <w:noProof/>
          <w:sz w:val="24"/>
        </w:rPr>
        <w:t xml:space="preserve">iesienia kontroli na granicach wewnętrznych i przywrócenia w pełni funkcjonującej strefy Schengen. </w:t>
      </w:r>
    </w:p>
    <w:p w:rsidR="00277CCE" w:rsidRDefault="00277CCE">
      <w:pPr>
        <w:jc w:val="both"/>
        <w:rPr>
          <w:rFonts w:ascii="Times New Roman" w:hAnsi="Times New Roman"/>
          <w:noProof/>
          <w:color w:val="000000"/>
          <w:sz w:val="24"/>
          <w:szCs w:val="24"/>
        </w:rPr>
      </w:pPr>
    </w:p>
    <w:p w:rsidR="00277CCE" w:rsidRDefault="00757A58">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Okres czterech lat od przyjęcia Europejskiego programu w zakresie migracji pokazał, że sytuacja ta wymaga prowadzenia ciągłych, zdecydowanych działań w cał</w:t>
      </w:r>
      <w:r>
        <w:rPr>
          <w:rFonts w:ascii="Times New Roman" w:hAnsi="Times New Roman"/>
          <w:noProof/>
          <w:color w:val="000000"/>
          <w:sz w:val="24"/>
        </w:rPr>
        <w:t>ym zakresie kompleksowego podejścia. Wypływa stąd wniosek, że zjednoczone działanie i wspólne starania państw członkowskich i UE w ścisłej współpracy z partnerami spoza UE przyniosły rezultaty i są jedynym sposobem na lepsze zarządzanie migracją oraz zapew</w:t>
      </w:r>
      <w:r>
        <w:rPr>
          <w:rFonts w:ascii="Times New Roman" w:hAnsi="Times New Roman"/>
          <w:noProof/>
          <w:color w:val="000000"/>
          <w:sz w:val="24"/>
        </w:rPr>
        <w:t>nienie, aby wartości UE pozostały podstawą naszej polityki migracyjnej. Tego oczekują obywatele od Unii Europejskiej.</w:t>
      </w:r>
    </w:p>
    <w:sectPr w:rsidR="00277CCE">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CE" w:rsidRDefault="00757A58">
      <w:r>
        <w:separator/>
      </w:r>
    </w:p>
  </w:endnote>
  <w:endnote w:type="continuationSeparator" w:id="0">
    <w:p w:rsidR="00277CCE" w:rsidRDefault="00757A58">
      <w:r>
        <w:continuationSeparator/>
      </w:r>
    </w:p>
  </w:endnote>
  <w:endnote w:type="continuationNotice" w:id="1">
    <w:p w:rsidR="00277CCE" w:rsidRDefault="00277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757A58">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277CCE" w:rsidRDefault="00757A58">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23</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CE" w:rsidRDefault="00757A58">
      <w:r>
        <w:separator/>
      </w:r>
    </w:p>
  </w:footnote>
  <w:footnote w:type="continuationSeparator" w:id="0">
    <w:p w:rsidR="00277CCE" w:rsidRDefault="00757A58">
      <w:r>
        <w:continuationSeparator/>
      </w:r>
    </w:p>
  </w:footnote>
  <w:footnote w:type="continuationNotice" w:id="1">
    <w:p w:rsidR="00277CCE" w:rsidRDefault="00277CCE"/>
  </w:footnote>
  <w:footnote w:id="2">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z 13.5.2015.</w:t>
      </w:r>
    </w:p>
  </w:footnote>
  <w:footnote w:id="3">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Poza wsparciem zapewnianym na podstawie bieżących unijnych </w:t>
      </w:r>
      <w:r>
        <w:rPr>
          <w:rFonts w:ascii="Times New Roman" w:hAnsi="Times New Roman"/>
          <w:sz w:val="18"/>
        </w:rPr>
        <w:t>programów rozwoju.</w:t>
      </w:r>
    </w:p>
  </w:footnote>
  <w:footnote w:id="4">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Państwa członkowskie przedstawiają obecnie sprawozdania z realizacji działań w 2018 r. Wielu uchodźców i legalnych migrantów skorzystało również z programów integracji realizowanych w ramach Europejskiego Funduszu Społecznego i Europej</w:t>
      </w:r>
      <w:r>
        <w:rPr>
          <w:rFonts w:ascii="Times New Roman" w:hAnsi="Times New Roman"/>
          <w:sz w:val="18"/>
        </w:rPr>
        <w:t xml:space="preserve">skiego Funduszu Rozwoju Regionalnego. </w:t>
      </w:r>
    </w:p>
  </w:footnote>
  <w:footnote w:id="5">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Do wysiedleńców zaliczają się uchodźcy i osoby wewnętrznie przesiedlone. Wsparcie jest zapewniane również społecznościom przyjmującym.</w:t>
      </w:r>
      <w:r>
        <w:rPr>
          <w:rFonts w:ascii="Times New Roman" w:hAnsi="Times New Roman"/>
          <w:sz w:val="18"/>
        </w:rPr>
        <w:t xml:space="preserve"> Pomoc humanitarna UE udzielana jest zgodnie z podstawowych zasadami humanitaryzm</w:t>
      </w:r>
      <w:r>
        <w:rPr>
          <w:rFonts w:ascii="Times New Roman" w:hAnsi="Times New Roman"/>
          <w:sz w:val="18"/>
        </w:rPr>
        <w:t>u, neutralności, bezstronności i niezależności.</w:t>
      </w:r>
    </w:p>
  </w:footnote>
  <w:footnote w:id="6">
    <w:p w:rsidR="00277CCE" w:rsidRDefault="00757A58">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Prace te obejmują wsparcie finansowe w wysokości 13 mld EUR, przekazane bezpośrednio z samego budżetu UE, oraz działania prowadzone w ramach funduszy powierniczych Unii na rzecz działań zewnętrznych i Instr</w:t>
      </w:r>
      <w:r>
        <w:rPr>
          <w:rFonts w:ascii="Times New Roman" w:hAnsi="Times New Roman"/>
          <w:color w:val="000000"/>
          <w:sz w:val="18"/>
        </w:rPr>
        <w:t>umentu Pomocy dla Uchodźców w Turcji.</w:t>
      </w:r>
    </w:p>
  </w:footnote>
  <w:footnote w:id="7">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Źródło wszystkich danych: Europejskiej Agencji Straży Granicznej i Przybrzeżnej, o ile nie zaznaczono inaczej.</w:t>
      </w:r>
    </w:p>
  </w:footnote>
  <w:footnote w:id="8">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Dane podane przez władze hiszpańskie.</w:t>
      </w:r>
    </w:p>
  </w:footnote>
  <w:footnote w:id="9">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Dane udostępnione przez Biuro Wysokiego Komisarza Narodów Zjedn</w:t>
      </w:r>
      <w:r>
        <w:rPr>
          <w:rFonts w:ascii="Times New Roman" w:hAnsi="Times New Roman"/>
          <w:sz w:val="18"/>
        </w:rPr>
        <w:t>oczonych ds. uchodźców (UNHCR).</w:t>
      </w:r>
    </w:p>
  </w:footnote>
  <w:footnote w:id="10">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Od dnia 21 marca 2016 r. na podstawie oświadczenia UE–Turcja do Turcji wróciło 1 836 migrantów, natomiast na podstawie protokołu dwustronnego między Grecją a Turcją – 601 migrantów.</w:t>
      </w:r>
    </w:p>
  </w:footnote>
  <w:footnote w:id="11">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Dane Międzynarodowej Organizacji do </w:t>
      </w:r>
      <w:r>
        <w:rPr>
          <w:rFonts w:ascii="Times New Roman" w:hAnsi="Times New Roman"/>
          <w:sz w:val="18"/>
        </w:rPr>
        <w:t>Spraw Migracji.</w:t>
      </w:r>
    </w:p>
  </w:footnote>
  <w:footnote w:id="12">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Wstępne dane Europejskiego Urzędu Wsparcia w dziedzinie Azylu za 2018 r.</w:t>
      </w:r>
    </w:p>
  </w:footnote>
  <w:footnote w:id="13">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Niemcy były w dalszym ciągu głównym krajem docelowym, choć liczba wniosków zmalała o jedną piątą, natomiast w przypadku Francji i Hiszpanii odnotowano znaczny wzro</w:t>
      </w:r>
      <w:r>
        <w:rPr>
          <w:rFonts w:ascii="Times New Roman" w:hAnsi="Times New Roman"/>
          <w:sz w:val="18"/>
        </w:rPr>
        <w:t>st.</w:t>
      </w:r>
    </w:p>
  </w:footnote>
  <w:footnote w:id="14">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„Trafienie” oznacza zgodność między danymi daktyloskopijnymi zarejestrowanymi w bazie danych a danymi przekazanymi przez państwo członkowskie. Liczba trafień nie musi odpowiadać liczbie osób.</w:t>
      </w:r>
    </w:p>
  </w:footnote>
  <w:footnote w:id="15">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Państwa, w których odnotowano największą liczbę </w:t>
      </w:r>
      <w:r>
        <w:rPr>
          <w:rFonts w:ascii="Times New Roman" w:hAnsi="Times New Roman"/>
          <w:sz w:val="18"/>
        </w:rPr>
        <w:t>nielegalnych pobytów osób ubiegających się o azyl wcześniej zarejestrowanych w innym państwie członkowskim, to Belgia i Niemcy.</w:t>
      </w:r>
    </w:p>
  </w:footnote>
  <w:footnote w:id="16">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color w:val="000000"/>
          <w:sz w:val="18"/>
        </w:rPr>
        <w:t>Przyznano ponadto 14,5 mln EUR na usprawnienie zarządzania migracją na szczeblu regionalnym w związku z migrantami, osobami p</w:t>
      </w:r>
      <w:r>
        <w:rPr>
          <w:rFonts w:ascii="Times New Roman" w:hAnsi="Times New Roman"/>
          <w:color w:val="000000"/>
          <w:sz w:val="18"/>
        </w:rPr>
        <w:t>owracającymi oraz Marokańczykami mieszkającymi za granicą. Łączny budżet realizowanych obecnie programów wynosi 232 mln EUR.</w:t>
      </w:r>
    </w:p>
  </w:footnote>
  <w:footnote w:id="17">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Według danych z aplikacji JORA (Joint Operations Reporting Application – aplikacja służąca do przekazywania informacji o wspólnyc</w:t>
      </w:r>
      <w:r>
        <w:rPr>
          <w:rFonts w:ascii="Times New Roman" w:hAnsi="Times New Roman"/>
          <w:sz w:val="18"/>
        </w:rPr>
        <w:t>h operacjach) Europejskiej Agencji Straży Granicznej i Przybrzeżnej w 2018 r. organy marokańskie powstrzymały prawie 15 000 nielegalnych migrantów przed wyjazdem z Maroka drogą morską. Organy marokańskie podejmują również działania zapobiegawcze na lądzie.</w:t>
      </w:r>
      <w:r>
        <w:rPr>
          <w:rFonts w:ascii="Times New Roman" w:hAnsi="Times New Roman"/>
          <w:sz w:val="18"/>
        </w:rPr>
        <w:t xml:space="preserve"> Marokańskie Ministerstwo Spraw Wewnętrznych szacuje, że w 2018 r. przed wyjazdem z Maroka udało się powstrzymać 88 761 migrantów.</w:t>
      </w:r>
    </w:p>
  </w:footnote>
  <w:footnote w:id="18">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C(2015) 7293 final z dnia 20.10.2015 r.</w:t>
      </w:r>
    </w:p>
  </w:footnote>
  <w:footnote w:id="19">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Stanowi to uzupełnienie istniejących programów finansowanych przez UE, przewidują</w:t>
      </w:r>
      <w:r>
        <w:rPr>
          <w:rFonts w:ascii="Times New Roman" w:hAnsi="Times New Roman"/>
          <w:color w:val="000000"/>
          <w:sz w:val="18"/>
        </w:rPr>
        <w:t>cych wsparcie dla zarządzania migracją, zarządzania granicami, zwalczania przemytu, siatek przestępczych i terroryzmu.</w:t>
      </w:r>
    </w:p>
  </w:footnote>
  <w:footnote w:id="20">
    <w:p w:rsidR="00277CCE" w:rsidRDefault="00757A58">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Kwestia ta zostanie omówiona na kolejnym posiedzeniu Komitetu ds. Europejskiego Instrumentu Sąsiedztwa w kwietniu 2019 r.</w:t>
      </w:r>
    </w:p>
  </w:footnote>
  <w:footnote w:id="21">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Dane szacu</w:t>
      </w:r>
      <w:r>
        <w:rPr>
          <w:rFonts w:ascii="Times New Roman" w:hAnsi="Times New Roman"/>
          <w:sz w:val="18"/>
        </w:rPr>
        <w:t>nkowe dostarczone przez Biuro Wysokiego Komisarza Narodów Zjednoczonych ds. uchodźców (UNHCR) i Międzynarodową Organizację ds. Migracji.</w:t>
      </w:r>
    </w:p>
  </w:footnote>
  <w:footnote w:id="22">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 następnie przesiedlono je do Belgii, Finlandii, Francji, Kanady, Niderlandów, Niemiec, Norwegii, Stanów Zjednoczony</w:t>
      </w:r>
      <w:r>
        <w:rPr>
          <w:rFonts w:ascii="Times New Roman" w:hAnsi="Times New Roman"/>
          <w:sz w:val="18"/>
        </w:rPr>
        <w:t>ch, Szwajcarii, Szwecji i Zjednoczonego Królestwa. Łącznie z dodatkowymi ewakuacjami do Włoch i ośrodka przejściowego w Rumunii przeprowadzanymi przez UNHCR liczba ta wynosi łącznie 3 175.</w:t>
      </w:r>
    </w:p>
  </w:footnote>
  <w:footnote w:id="23">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Niedawne wsparcie obejmowało większą liczbę tłumaczeń ustnych, wi</w:t>
      </w:r>
      <w:r>
        <w:rPr>
          <w:rFonts w:ascii="Times New Roman" w:hAnsi="Times New Roman"/>
          <w:sz w:val="18"/>
        </w:rPr>
        <w:t xml:space="preserve">ększą zdolność przyjmowania, oddelegowanie lekarzy wojskowych, a także przyjęcie planu finansowego na rok 2019, aby zapewnić odpowiednie warunki przyjmowania oraz wsparcie na terytorium kontynentalnym (zob. kolejny przypis). </w:t>
      </w:r>
    </w:p>
  </w:footnote>
  <w:footnote w:id="24">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Ostatnie wsparcie przyznane </w:t>
      </w:r>
      <w:r>
        <w:rPr>
          <w:rFonts w:ascii="Times New Roman" w:hAnsi="Times New Roman"/>
          <w:sz w:val="18"/>
        </w:rPr>
        <w:t xml:space="preserve">w grudniu 2018 r. obejmowało kwotę 190 mln EUR przeznaczoną na wdrożenie programu „Wsparcie w sytuacjach nadzwyczajnych na rzecz integracji i zakwaterowania” (program ESTIA) realizowanego przez Biuro Wysokiego Komisarza Narodów Zjednoczonych ds. Uchodźców </w:t>
      </w:r>
      <w:r>
        <w:rPr>
          <w:rFonts w:ascii="Times New Roman" w:hAnsi="Times New Roman"/>
          <w:sz w:val="18"/>
        </w:rPr>
        <w:t>(UNHCR) oraz kwotę 61 mln EUR przeznaczoną na kontynuację programu wsparcia na miejscu, w ośrodkach recepcyjnych w części kontynentalnej, prowadzonego przez Międzynarodową Organizację do Spraw Migracji oraz Fundusz Narodów Zjednoczonych na rzecz Dzieci (UN</w:t>
      </w:r>
      <w:r>
        <w:rPr>
          <w:rFonts w:ascii="Times New Roman" w:hAnsi="Times New Roman"/>
          <w:sz w:val="18"/>
        </w:rPr>
        <w:t>ICEF). Etap uruchomienia instrumentu na rzecz wsparcia w sytuacjach nadzwyczajnych zakończy się w marcu 2019 r. Główne programy w Grecji są w 2019 r. nadal wspierane ze źródeł finansowania UE.</w:t>
      </w:r>
    </w:p>
  </w:footnote>
  <w:footnote w:id="25">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Kluczowe grupy obejmują osoby wymagające szczególnego traktow</w:t>
      </w:r>
      <w:r>
        <w:rPr>
          <w:rFonts w:ascii="Times New Roman" w:hAnsi="Times New Roman"/>
          <w:sz w:val="18"/>
        </w:rPr>
        <w:t>ania, w tym małoletnich bez opieki, Syryjczyków i obywateli państw charakteryzujących się niskim średnim wskaźnikiem przyznawania azylu na podstawie oficjalnych krajowych statystyk.</w:t>
      </w:r>
    </w:p>
  </w:footnote>
  <w:footnote w:id="26">
    <w:p w:rsidR="00277CCE" w:rsidRDefault="00757A58">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798 final z 4.12.2018.</w:t>
      </w:r>
    </w:p>
  </w:footnote>
  <w:footnote w:id="27">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COM(2016) 385 final z 7.6.2016.</w:t>
      </w:r>
    </w:p>
  </w:footnote>
  <w:footnote w:id="28">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Łąc</w:t>
      </w:r>
      <w:r>
        <w:rPr>
          <w:rFonts w:ascii="Times New Roman" w:hAnsi="Times New Roman"/>
          <w:color w:val="000000"/>
          <w:sz w:val="18"/>
        </w:rPr>
        <w:t xml:space="preserve">zna wartość projektów zatwierdzonych przez komitety operacyjne wynosi około </w:t>
      </w:r>
      <w:r>
        <w:rPr>
          <w:rFonts w:ascii="Times New Roman" w:hAnsi="Times New Roman"/>
          <w:sz w:val="18"/>
        </w:rPr>
        <w:t>3,6 mld EUR</w:t>
      </w:r>
      <w:r>
        <w:t>.</w:t>
      </w:r>
      <w:r>
        <w:rPr>
          <w:rFonts w:ascii="Times New Roman" w:hAnsi="Times New Roman"/>
          <w:color w:val="000000"/>
          <w:sz w:val="18"/>
        </w:rPr>
        <w:t xml:space="preserve"> Do tej pory podpisano 393 u</w:t>
      </w:r>
      <w:r>
        <w:rPr>
          <w:rFonts w:ascii="Times New Roman" w:hAnsi="Times New Roman"/>
          <w:sz w:val="18"/>
        </w:rPr>
        <w:t>mowy opiewające na łączną kwotę 2,6 mld EUR.</w:t>
      </w:r>
    </w:p>
  </w:footnote>
  <w:footnote w:id="29">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Ostateczne kwoty i rozkład gwarancji zostaną określone w umowach gwarancji, które zostaną pod</w:t>
      </w:r>
      <w:r>
        <w:rPr>
          <w:rFonts w:ascii="Times New Roman" w:hAnsi="Times New Roman"/>
          <w:sz w:val="18"/>
        </w:rPr>
        <w:t xml:space="preserve">pisane przez banki rozwoju i Komisję Europejską. </w:t>
      </w:r>
    </w:p>
  </w:footnote>
  <w:footnote w:id="30">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Dokument 15250/18 z 6.12.2018.</w:t>
      </w:r>
    </w:p>
  </w:footnote>
  <w:footnote w:id="31">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285 final z 27.5.2015.</w:t>
      </w:r>
    </w:p>
  </w:footnote>
  <w:footnote w:id="32">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Finansowanych z Funduszu Azylu, Migracji i Integracji.</w:t>
      </w:r>
    </w:p>
  </w:footnote>
  <w:footnote w:id="33">
    <w:p w:rsidR="00277CCE" w:rsidRDefault="00757A58">
      <w:pPr>
        <w:pStyle w:val="FootnoteText"/>
        <w:ind w:left="284" w:hanging="284"/>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Etiopia, Jordania, Liban, Mali, Maroko, Niger, Nigeria, Pakistan, Senegal, </w:t>
      </w:r>
      <w:r>
        <w:rPr>
          <w:rFonts w:ascii="Times New Roman" w:hAnsi="Times New Roman"/>
          <w:sz w:val="18"/>
        </w:rPr>
        <w:t>Serbia, Sudan, Tunezja.</w:t>
      </w:r>
    </w:p>
  </w:footnote>
  <w:footnote w:id="34">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303 final z 16.5.2018.</w:t>
      </w:r>
      <w:r>
        <w:tab/>
      </w:r>
    </w:p>
  </w:footnote>
  <w:footnote w:id="35">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Organizowane w ramach unijnego cyklu polityki / EMPACT (europejskiej multidyscyplinarnej platformy przeciwko zagrożeniom przestępstwami). </w:t>
      </w:r>
    </w:p>
  </w:footnote>
  <w:footnote w:id="36">
    <w:p w:rsidR="00277CCE" w:rsidRDefault="00757A58">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COM(2017) 200 i C(2017) 1600</w:t>
      </w:r>
      <w:r>
        <w:rPr>
          <w:rFonts w:ascii="Times New Roman" w:hAnsi="Times New Roman"/>
          <w:color w:val="000000"/>
          <w:sz w:val="18"/>
        </w:rPr>
        <w:t xml:space="preserve">, oparte na </w:t>
      </w:r>
      <w:r>
        <w:rPr>
          <w:rFonts w:ascii="Times New Roman" w:hAnsi="Times New Roman"/>
          <w:sz w:val="18"/>
        </w:rPr>
        <w:t>COM(2015) 453</w:t>
      </w:r>
      <w:r>
        <w:rPr>
          <w:rFonts w:ascii="Times New Roman" w:hAnsi="Times New Roman"/>
          <w:color w:val="000000"/>
          <w:sz w:val="18"/>
        </w:rPr>
        <w:t xml:space="preserve">. </w:t>
      </w:r>
    </w:p>
  </w:footnote>
  <w:footnote w:id="37">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Rozporządzenie (UE) 2018/1861 z 28 listopada 2018 r. w sprawie utworzenia, funkcjonowania i użytkowania Systemu Informacyjnego Schengen (SIS) w dziedzinie odpraw granicznych oraz rozporządzenie (UE) 2018/1860 z 28 listopada 2018 r. w sprawie użytkowan</w:t>
      </w:r>
      <w:r>
        <w:rPr>
          <w:rFonts w:ascii="Times New Roman" w:hAnsi="Times New Roman"/>
          <w:sz w:val="18"/>
        </w:rPr>
        <w:t>ia Systemu Informacyjnego Schengen do celów powrotu nielegalnie przebywających obywateli państw trzecich.</w:t>
      </w:r>
    </w:p>
  </w:footnote>
  <w:footnote w:id="38">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Działania te zostaną zintensyfikowane za pośrednictwem nowego wniosku w sprawie Europejskiej Straży Granicznej i Przybrzeżnej (COM(2018) 631 final </w:t>
      </w:r>
      <w:r>
        <w:rPr>
          <w:rFonts w:ascii="Times New Roman" w:hAnsi="Times New Roman"/>
          <w:sz w:val="18"/>
        </w:rPr>
        <w:t>z 12.9.2018).</w:t>
      </w:r>
    </w:p>
  </w:footnote>
  <w:footnote w:id="39">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COM(2018) 634 final z 9.12.2018.</w:t>
      </w:r>
    </w:p>
  </w:footnote>
  <w:footnote w:id="40">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Zasada </w:t>
      </w:r>
      <w:r>
        <w:rPr>
          <w:rFonts w:ascii="Times New Roman" w:hAnsi="Times New Roman"/>
          <w:i/>
          <w:sz w:val="18"/>
        </w:rPr>
        <w:t>non-refoulement</w:t>
      </w:r>
      <w:r>
        <w:rPr>
          <w:rFonts w:ascii="Times New Roman" w:hAnsi="Times New Roman"/>
          <w:sz w:val="18"/>
        </w:rPr>
        <w:t xml:space="preserve"> oznacza, że osoby nie można odesłać do państwa, w którym może ona obawiać się prześladowania. </w:t>
      </w:r>
    </w:p>
  </w:footnote>
  <w:footnote w:id="41">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Źródło: Europejska Agencja Straży Granicznej i Przybrzeżnej i operacja „Sophia”.</w:t>
      </w:r>
    </w:p>
  </w:footnote>
  <w:footnote w:id="42">
    <w:p w:rsidR="00277CCE" w:rsidRDefault="00757A58">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CO</w:t>
      </w:r>
      <w:r>
        <w:rPr>
          <w:rFonts w:ascii="Times New Roman" w:hAnsi="Times New Roman"/>
          <w:sz w:val="18"/>
        </w:rPr>
        <w:t>M(2018) 798 final z 4.12.2018.</w:t>
      </w:r>
    </w:p>
  </w:footnote>
  <w:footnote w:id="43">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W ramach programu warunkowego transferu pieniężnego na rzecz edukacji.</w:t>
      </w:r>
    </w:p>
  </w:footnote>
  <w:footnote w:id="44">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Budżet funduszu po</w:t>
      </w:r>
      <w:r>
        <w:rPr>
          <w:rFonts w:ascii="Times New Roman" w:hAnsi="Times New Roman"/>
          <w:color w:val="000000"/>
          <w:sz w:val="18"/>
        </w:rPr>
        <w:t>wierniczego osiągnął poziom 1,6 mld EUR na koniec 2018 r. dzięki wkładowi 22 państw członkowskich i Turcji, a także budżetu UE. Wyko</w:t>
      </w:r>
      <w:r>
        <w:rPr>
          <w:rFonts w:ascii="Times New Roman" w:hAnsi="Times New Roman"/>
          <w:color w:val="000000"/>
          <w:sz w:val="18"/>
        </w:rPr>
        <w:t xml:space="preserve">rzystano 94 % środków budżetu, kontraktując 74 % środków i wypłacając 690 mln EUR. W ramach strategicznego przeglądu śródokresowego zalecono, </w:t>
      </w:r>
      <w:r>
        <w:rPr>
          <w:rFonts w:ascii="Times New Roman" w:hAnsi="Times New Roman"/>
          <w:sz w:val="18"/>
        </w:rPr>
        <w:t xml:space="preserve">aby fundusz powierniczy UE </w:t>
      </w:r>
      <w:r>
        <w:rPr>
          <w:rFonts w:ascii="Times New Roman" w:hAnsi="Times New Roman"/>
          <w:color w:val="000000"/>
          <w:sz w:val="18"/>
        </w:rPr>
        <w:t>rozszerzyć poza zakres jego obecnego mandatu z grudnia 2019 r.</w:t>
      </w:r>
    </w:p>
  </w:footnote>
  <w:footnote w:id="45">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Programy finansowane z</w:t>
      </w:r>
      <w:r>
        <w:rPr>
          <w:rFonts w:ascii="Times New Roman" w:hAnsi="Times New Roman"/>
          <w:sz w:val="18"/>
        </w:rPr>
        <w:t> Funduszu Azylu, Migracji i Integracji.</w:t>
      </w:r>
      <w:r>
        <w:rPr>
          <w:rFonts w:ascii="Times New Roman" w:hAnsi="Times New Roman"/>
          <w:color w:val="000000"/>
          <w:sz w:val="18"/>
        </w:rPr>
        <w:t xml:space="preserve"> Od 2015 r. udostępniono około 37 mln EUR na programy koncentrujące się na ochronie Afryki Północnej oraz 27,5 mln EUR w obszarze Rogu Afryki.</w:t>
      </w:r>
      <w:r>
        <w:rPr>
          <w:rFonts w:ascii="Times New Roman" w:hAnsi="Times New Roman"/>
          <w:color w:val="000000"/>
          <w:sz w:val="24"/>
        </w:rPr>
        <w:t xml:space="preserve"> </w:t>
      </w:r>
    </w:p>
  </w:footnote>
  <w:footnote w:id="46">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Wniosek Komisji wprowadza wspólne przepisy dotyczące siedmiu funduszy, </w:t>
      </w:r>
      <w:r>
        <w:rPr>
          <w:rFonts w:ascii="Times New Roman" w:hAnsi="Times New Roman"/>
          <w:sz w:val="18"/>
        </w:rPr>
        <w:t>które to przepisy powinny zapewnić większą synergię i tym samym większą skuteczność przy podejmowaniu kwestii integracji legalnie przebywających obywateli państw trzecich oraz osób ze środowisk migracyjnych.</w:t>
      </w:r>
    </w:p>
  </w:footnote>
  <w:footnote w:id="47">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Głównie w ramach Funduszu Azylu, Migracji i In</w:t>
      </w:r>
      <w:r>
        <w:rPr>
          <w:rFonts w:ascii="Times New Roman" w:hAnsi="Times New Roman"/>
          <w:sz w:val="18"/>
        </w:rPr>
        <w:t>tegracji. Pozostałe działania obejmowałyby udzielanie pomocy w obszarach takich jak zakwaterowanie i opieka zdrowotna, a także działania promujące interakcję ze społeczeństwami przyjmującymi.</w:t>
      </w:r>
    </w:p>
  </w:footnote>
  <w:footnote w:id="48">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Obejmuje to szkolenia językowe oparte na pracy, kształcenie i </w:t>
      </w:r>
      <w:r>
        <w:rPr>
          <w:rFonts w:ascii="Times New Roman" w:hAnsi="Times New Roman"/>
          <w:sz w:val="18"/>
        </w:rPr>
        <w:t>szkolenie zawodowe, działania w celu wspierania samozatrudnienia, promowanie współczynnika aktywności zawodowej kobiet, włączenie społeczne itd., zgodnie z konkretnymi celami określonymi we wniosku regulacyjnym w sprawie Europejskiego Funduszu Społecznego+</w:t>
      </w:r>
      <w:r>
        <w:rPr>
          <w:rFonts w:ascii="Times New Roman" w:hAnsi="Times New Roman"/>
          <w:sz w:val="18"/>
        </w:rPr>
        <w:t>.</w:t>
      </w:r>
    </w:p>
  </w:footnote>
  <w:footnote w:id="49">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W szczególności dzięki wnioskowanemu przeznaczeniu 25 % środków na włączenie społeczne w ramach Europejskiego Funduszu Społecznego+. W ramach Europejskiego Funduszu Rozwoju Regionalnego przewidziano również udzielenie wsparcia w zakresie inwestowania w</w:t>
      </w:r>
      <w:r>
        <w:rPr>
          <w:rFonts w:ascii="Times New Roman" w:hAnsi="Times New Roman"/>
          <w:sz w:val="18"/>
        </w:rPr>
        <w:t> nowe ośrodki dla cudzoziemców i mieszkalnictwo socjalne, jak również rewitalizację ubogich obszarów miejskich i wiejskich.</w:t>
      </w:r>
    </w:p>
  </w:footnote>
  <w:footnote w:id="50">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Austria, Niemcy, Dania, Szwecja i Norwegia z przyczyn związanych z kryzysem migracyjnym i wtórnymi przepływami; Francja głównie ze</w:t>
      </w:r>
      <w:r>
        <w:rPr>
          <w:rFonts w:ascii="Times New Roman" w:hAnsi="Times New Roman"/>
          <w:sz w:val="18"/>
        </w:rPr>
        <w:t xml:space="preserve"> względu na zagrożenie terroryzmem. </w:t>
      </w:r>
    </w:p>
  </w:footnote>
  <w:footnote w:id="51">
    <w:p w:rsidR="00277CCE" w:rsidRDefault="00757A58">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C(2017) 3349 final z 12.5.2017 i C(2017) 6560 final z 27.9.2017 oraz COM(2017) 571 final z 27.9.2017.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CE" w:rsidRDefault="00277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4DAAC5C-821D-4070-91B8-AFD469F9652E"/>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prawozdanie z post\u281?pów w realizacji Europejskiego programu w zakresie migracji"/>
    <w:docVar w:name="LW_TYPE.DOC.CP" w:val="KOMUNIKAT KOMISJI"/>
    <w:docVar w:name="LW_TYPE.DOC.CP.USERTEXT" w:val="DO PARLAMENTU EUROPEJSKIEGO, RADY EUROPEJSKIEJ I RADY"/>
  </w:docVars>
  <w:rsids>
    <w:rsidRoot w:val="00277CCE"/>
    <w:rsid w:val="00277CCE"/>
    <w:rsid w:val="00757A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pl-PL"/>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83CD42-050C-484A-9A44-CD10F06E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7820</Words>
  <Characters>52398</Characters>
  <Application>Microsoft Office Word</Application>
  <DocSecurity>0</DocSecurity>
  <Lines>858</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2019-03-04T17:51:00Z</dcterms:created>
  <dcterms:modified xsi:type="dcterms:W3CDTF">2019-03-12T15:37:00Z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