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330D33D-807E-47CA-96E2-F811D636F21C" style="width:450.35pt;height:352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Odůvodnění a 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Dohoda mezi Evropským společenstvím a Kapverdskou republikou o partnerství v odvětví rybolovu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(dále jen „dohoda“) vstoupila v platnost dne 30. března 2007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Stávající protokol k dohodě vstoupil v platnost dne 23. prosince 2014 a jeho platnost vypršela dne 22. prosince 2018.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 základě příslušných směrnic pro jednání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vedla Komise jednání s vládou Kapverdské republiky (dále jen „Kapverdy“) s cílem uzavřít nový protokol k dohodě. Po těchto jednáních byl dne 12. října 2018 parafován nový protokol. Protokol se vztahuje na období pěti let od data jeho prozatímního provádění, tj. od data jeho podpisu, jak je uvedeno v jeho článku 15.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Soulad s platnými předpisy v této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V souladu s prioritami reformy rybářské politiky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stanoví nový protokol rybolovná práva pro plavidla Unie ve vodách Kapverd na základě nejlepších dostupných vědeckých doporučení a na základě doporučení Mezinárodní komise pro ochranu tuňáků v Atlantiku (ICCAT). Tento nový protokol zohledňuje výsledky hodnocení posledního protokolu (2014–2018) a do budoucnosti zaměřeného posouzení vhodnosti uzavření nového protokolu. Obě byla provedena externími odborníky. Protokol Evropské unii a Kapverdám rovněž v zájmu obou stran umožní užší spolupráci při podpoře odpovědného využívání rybolovných zdrojů v kapverdských vodách a v rámci úsilí Kapverd o rozvoj své modré ekonomiky.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Protokol stanoví rybolovná práva v těchto kategoriích: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28 mrazírenských plavidel lovících tuňáky vlečnou sítí;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27 plavidel pro povrchový rybolov na dlouhou lovnou šňůru;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14 plavidel lovících tuňáky na pruty.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Soulad s ostatními politikami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Jednání o novém protokolu k dohodě o partnerství v oblasti udržitelného rybolovu s Kapverdami je v souladu s vnější činností EU vůči zemím AKT a zohledňuje zejména cíle Unie v oblasti dodržování demokratických zásad a lidských práv.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keepNext/>
        <w:rPr>
          <w:noProof/>
          <w:sz w:val="22"/>
        </w:rPr>
      </w:pPr>
      <w:r>
        <w:rPr>
          <w:noProof/>
        </w:rPr>
        <w:t xml:space="preserve">Právním základem je Smlouva o fungování Evropské unie, v jejímž čl. 43 odst. 2 je upravena společná rybářská politik a v čl. 218 odst. 5 stanovena příslušná etapa postupu sjednávání a uzavírání dohod mezi EU a třetími zeměmi.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Subsidiarita (v případě nevýlučné pravomoci)</w:t>
      </w:r>
    </w:p>
    <w:p>
      <w:pPr>
        <w:keepNext/>
        <w:rPr>
          <w:noProof/>
          <w:sz w:val="22"/>
        </w:rPr>
      </w:pPr>
      <w:r>
        <w:rPr>
          <w:noProof/>
        </w:rPr>
        <w:t>Návrh spadá do výlučné pravomoci Evropské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keepNext/>
        <w:rPr>
          <w:noProof/>
          <w:sz w:val="22"/>
        </w:rPr>
      </w:pPr>
      <w:r>
        <w:rPr>
          <w:noProof/>
        </w:rPr>
        <w:t xml:space="preserve">Návrh je přiměřený cíli vytvořit rámec správy v právní, environmentální, hospodářské a sociální oblasti pro rybolovné činnosti prováděné plavidly Unie ve vodách třetích zemí, který je zakotven v článku 31 nařízení, kterým se zřizuje společná rybářská politika. Návrh je v souladu s uvedenými ustanoveními a rovněž s ustanoveními o finanční pomoci třetím zemím, která jsou uvedena v článku 32 téhož nařízení.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EX-POST</w:t>
      </w:r>
      <w:r>
        <w:rPr>
          <w:noProof/>
        </w:rPr>
        <w:t>, KONZULTACÍ SE ZÚČASTNĚNÝMI STRANAMI A 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Hodnocení </w:t>
      </w:r>
      <w:r>
        <w:rPr>
          <w:i/>
          <w:noProof/>
        </w:rPr>
        <w:t>ex-post</w:t>
      </w:r>
      <w:r>
        <w:rPr>
          <w:noProof/>
        </w:rPr>
        <w:t xml:space="preserve"> / kontroly účelnosti platných právních předpisů</w:t>
      </w:r>
    </w:p>
    <w:p>
      <w:pPr>
        <w:rPr>
          <w:noProof/>
        </w:rPr>
      </w:pPr>
      <w:r>
        <w:rPr>
          <w:noProof/>
        </w:rPr>
        <w:t xml:space="preserve">V roce 2018 provedla Komise hodnocení </w:t>
      </w:r>
      <w:r>
        <w:rPr>
          <w:i/>
          <w:noProof/>
        </w:rPr>
        <w:t>ex post</w:t>
      </w:r>
      <w:r>
        <w:rPr>
          <w:noProof/>
        </w:rPr>
        <w:t xml:space="preserve"> stávajícího protokolu k dohodě o partnerství v odvětví rybolovu s Kapverdami, jakož i hodnocení </w:t>
      </w:r>
      <w:r>
        <w:rPr>
          <w:i/>
          <w:noProof/>
        </w:rPr>
        <w:t>ex ante</w:t>
      </w:r>
      <w:r>
        <w:rPr>
          <w:noProof/>
        </w:rPr>
        <w:t xml:space="preserve"> týkající se případného obnovení protokolu. Závěry těchto hodnocení jsou uvedeny v samostatném pracovním dokumentu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Hodnocení dospělo k závěru, že odvětví lovu tuňáka v EU má silný zájem o rybolov na Kapverdách a že obnovení protokolu by pomohlo posílit monitorování, kontrolu a dohled a zlepšilo by řízení rybolovu v tomto regionu. Význam zamýšleného nového protokolu, a to jak pro unijní odvětví lovu tuňáka, tak pro předmětnou partnerskou zemi, je o to větší, že Mindelo (ostrov Svatého Vincenta) je jedním z hlavních západoafrických přístavů, kde probíhá vykládka a zpracování.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rámci hodnocení byly konzultovány členské státy, zástupci odvětví, mezinárodní organizace občanské společnosti, jakož i správa rybolovu a občanská společnost Kapverd. Konzultace se konaly také v rámci poradního sboru pro dálkový rybolov.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Sběr a využití výsledků odborných konzultací</w:t>
      </w:r>
    </w:p>
    <w:p>
      <w:pPr>
        <w:spacing w:before="0" w:after="240"/>
        <w:rPr>
          <w:noProof/>
        </w:rPr>
      </w:pPr>
      <w:r>
        <w:rPr>
          <w:noProof/>
        </w:rPr>
        <w:t xml:space="preserve">Komise zadala vypracování hodnocení </w:t>
      </w:r>
      <w:r>
        <w:rPr>
          <w:i/>
          <w:noProof/>
        </w:rPr>
        <w:t>ex post</w:t>
      </w:r>
      <w:r>
        <w:rPr>
          <w:noProof/>
        </w:rPr>
        <w:t xml:space="preserve"> a </w:t>
      </w:r>
      <w:r>
        <w:rPr>
          <w:i/>
          <w:noProof/>
        </w:rPr>
        <w:t>ex ante</w:t>
      </w:r>
      <w:r>
        <w:rPr>
          <w:noProof/>
        </w:rPr>
        <w:t xml:space="preserve"> nezávislému konzultantovi v souladu s ustanoveními čl. 31 odst. 10 nařízení, kterým se zřizuje společná rybářská politika.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rPr>
          <w:noProof/>
        </w:rPr>
      </w:pPr>
      <w:r>
        <w:rPr>
          <w:noProof/>
        </w:rPr>
        <w:t>Roční finanční příspěvek Evropské unie činí 750 000 EUR na základě:</w:t>
      </w:r>
    </w:p>
    <w:p>
      <w:pPr>
        <w:rPr>
          <w:noProof/>
        </w:rPr>
      </w:pPr>
      <w:r>
        <w:rPr>
          <w:noProof/>
        </w:rPr>
        <w:t xml:space="preserve">a) referenčního množství 8 000 tun za rok, k němuž byla stanovena částka spojená s přístupem ve výši 400 000 EUR ročně po celou dobu platnosti protokolu; </w:t>
      </w:r>
    </w:p>
    <w:p>
      <w:pPr>
        <w:rPr>
          <w:noProof/>
        </w:rPr>
      </w:pPr>
      <w:r>
        <w:rPr>
          <w:noProof/>
        </w:rPr>
        <w:t xml:space="preserve">b) podpory na rozvoj odvětvové politiky rybolovu a modré ekonomiky na Kapverdách ve výši 350 000 EUR ročně po celou dobu platnosti protokolu. Tato podpora po celou dobu platnosti </w:t>
      </w:r>
      <w:r>
        <w:rPr>
          <w:noProof/>
        </w:rPr>
        <w:lastRenderedPageBreak/>
        <w:t>protokolu splňuje cíle vnitrostátní politiky v oblasti udržitelného řízení rybolovných zdrojů v kontinentálních či mořských lovištích Kapverd.</w:t>
      </w:r>
    </w:p>
    <w:p>
      <w:pPr>
        <w:rPr>
          <w:noProof/>
        </w:rPr>
      </w:pPr>
      <w:r>
        <w:rPr>
          <w:noProof/>
        </w:rPr>
        <w:t>Roční částka na prostředky pro závazky a na platby se stanoví v rámci ročního rozpočtového procesu, včetně položky rezervy pro protokoly, které na začátku roku ještě nebyly v platnosti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DALŠÍ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provádění a způsoby monitorování, hodnocení a podávání zpráv</w:t>
      </w:r>
    </w:p>
    <w:p>
      <w:pPr>
        <w:rPr>
          <w:noProof/>
        </w:rPr>
      </w:pPr>
      <w:r>
        <w:rPr>
          <w:noProof/>
        </w:rPr>
        <w:t>Způsoby monitorování jsou stanoveny v protokolu.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2019/0071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 podpisu jménem Unie a prozatímním uplatňování protokolu o provádění Dohody mezi Evropskou unií a Kapverdskou republikou o partnerství v odvětví rybolovu (2019–2024)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43 odst. 2 ve spojení s čl. 218 odst. 5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Dne 19. prosince 2006 přijala Rada nařízení (ES) č. 2027/2006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o uzavření Dohody mezi Evropským společenstvím a Kapverdskou republikou o partnerství v odvětví rybolovu (dále jen „dohoda“)</w:t>
      </w:r>
      <w:r>
        <w:rPr>
          <w:rStyle w:val="FootnoteReference"/>
          <w:noProof/>
        </w:rPr>
        <w:footnoteReference w:id="8"/>
      </w:r>
      <w:r>
        <w:rPr>
          <w:noProof/>
        </w:rPr>
        <w:t>, která vstoupila v platnost dne 30. března 2007, byla následně automaticky prodloužena a je stále v platnosti.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Platnost předchozího protokolu k této dohodě vypršela dne 22. prosince 2018.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Komise jménem Unie sjednala nový protokol o provádění dohody (dále jen „protokol“). Jednání byla dne 12. října 2018 uzavřena parafováním protokolu.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Cílem protokolu je umožnit Evropské unii a Kapverdské republice užší spolupráci při podpoře politiky udržitelného rybolovu, odpovědného využívání rybolovných zdrojů v kapverdských vodách a v rámci úsilí Kapverd o rozvoj své modré ekonomiky.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Podpis protokolu by proto měl být schválen s výhradou jeho uzavření k pozdějšímu datu.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Aby bylo zajištěno rychlé zahájení rybolovných činností plavidel Unie, měl by být protokol prozatímně uplatňován od svého podpisu, než vstoupí v platnost,</w:t>
      </w:r>
    </w:p>
    <w:p>
      <w:pPr>
        <w:pStyle w:val="Formuledadoption"/>
        <w:rPr>
          <w:noProof/>
        </w:rPr>
      </w:pPr>
      <w:r>
        <w:rPr>
          <w:noProof/>
        </w:rPr>
        <w:t>PŘIJALA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Unie schvaluje podpis protokolu o provádění Dohody mezi Evropským společenstvím a Kapverdskou republikou o partnerství v odvětví rybolovu (2019–2024) (dále jen „protokol“) s výhradou jeho uzavření.</w:t>
      </w:r>
    </w:p>
    <w:p>
      <w:pPr>
        <w:rPr>
          <w:noProof/>
        </w:rPr>
      </w:pPr>
      <w:r>
        <w:rPr>
          <w:noProof/>
        </w:rPr>
        <w:t>Znění protokolu se připojuje k tomuto rozhodnutí.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 xml:space="preserve">Článek 2 </w:t>
      </w:r>
    </w:p>
    <w:p>
      <w:pPr>
        <w:rPr>
          <w:noProof/>
        </w:rPr>
      </w:pPr>
      <w:r>
        <w:rPr>
          <w:noProof/>
        </w:rPr>
        <w:t xml:space="preserve">Generální sekretariát Rady vystaví plnou moc k podepsání protokolu, s výhradou jeho uzavření, osobě nebo osobám určeným vyjednavačem protokolu. 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keepNext/>
        <w:rPr>
          <w:noProof/>
        </w:rPr>
      </w:pPr>
      <w:r>
        <w:rPr>
          <w:noProof/>
        </w:rPr>
        <w:t>Protokol se prozatímně uplatňuje v souladu s jeho článkem 15 ode dne jeho podpisu do okamžiku jeho vstupu v platnost.</w:t>
      </w:r>
    </w:p>
    <w:p>
      <w:pPr>
        <w:pStyle w:val="Titrearticle"/>
        <w:rPr>
          <w:noProof/>
        </w:rPr>
      </w:pPr>
      <w:r>
        <w:rPr>
          <w:noProof/>
        </w:rPr>
        <w:t>Článek 4</w:t>
      </w:r>
    </w:p>
    <w:p>
      <w:pPr>
        <w:keepNext/>
        <w:rPr>
          <w:noProof/>
        </w:rPr>
      </w:pPr>
      <w:r>
        <w:rPr>
          <w:noProof/>
        </w:rPr>
        <w:t>Toto rozhodnutí vstupuje v platnost prvním dnem po zveřejnění v 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p>
      <w:pPr>
        <w:rPr>
          <w:noProof/>
        </w:rPr>
        <w:sectPr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LEGISLATIVNÍ FINANČNÍ VÝKAZ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RÁMEC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Název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Příslušné oblasti politiky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Návrh/podnět se týká: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Cíle </w:t>
      </w:r>
    </w:p>
    <w:p>
      <w:pPr>
        <w:pStyle w:val="ManualHeading3"/>
        <w:rPr>
          <w:noProof/>
        </w:rPr>
      </w:pPr>
      <w:r>
        <w:rPr>
          <w:noProof/>
        </w:rPr>
        <w:tab/>
        <w:t>1.4.1.</w:t>
      </w:r>
      <w:r>
        <w:rPr>
          <w:noProof/>
        </w:rPr>
        <w:tab/>
        <w:t>Obecné cíle</w:t>
      </w:r>
    </w:p>
    <w:p>
      <w:pPr>
        <w:pStyle w:val="ManualHeading3"/>
        <w:rPr>
          <w:noProof/>
        </w:rPr>
      </w:pPr>
      <w:r>
        <w:rPr>
          <w:noProof/>
        </w:rPr>
        <w:tab/>
        <w:t>1.4.2.</w:t>
      </w:r>
      <w:r>
        <w:rPr>
          <w:noProof/>
        </w:rPr>
        <w:tab/>
        <w:t>Specifické cíle</w:t>
      </w:r>
    </w:p>
    <w:p>
      <w:pPr>
        <w:pStyle w:val="ManualHeading3"/>
        <w:rPr>
          <w:noProof/>
        </w:rPr>
      </w:pPr>
      <w:r>
        <w:rPr>
          <w:noProof/>
        </w:rPr>
        <w:tab/>
        <w:t>1.4.3.</w:t>
      </w:r>
      <w:r>
        <w:rPr>
          <w:noProof/>
        </w:rPr>
        <w:tab/>
        <w:t>Očekávané výsledky a dopady</w:t>
      </w:r>
    </w:p>
    <w:p>
      <w:pPr>
        <w:pStyle w:val="ManualHeading3"/>
        <w:rPr>
          <w:noProof/>
        </w:rPr>
      </w:pPr>
      <w:r>
        <w:rPr>
          <w:noProof/>
        </w:rPr>
        <w:tab/>
        <w:t>1.4.4.</w:t>
      </w:r>
      <w:r>
        <w:rPr>
          <w:noProof/>
        </w:rPr>
        <w:tab/>
        <w:t>Ukazatele výkonnosti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Odůvodnění návrhu/podnětu </w:t>
      </w:r>
    </w:p>
    <w:p>
      <w:pPr>
        <w:pStyle w:val="ManualHeading3"/>
        <w:rPr>
          <w:noProof/>
        </w:rPr>
      </w:pPr>
      <w:r>
        <w:rPr>
          <w:noProof/>
        </w:rPr>
        <w:tab/>
        <w:t>1.5.1.</w:t>
      </w:r>
      <w:r>
        <w:rPr>
          <w:noProof/>
        </w:rPr>
        <w:tab/>
        <w:t>Potřeby, které mají být uspokojeny v krátkodobém nebo dlouhodobém horizontu, včetně podrobného harmonogramu pro zahajovací fázi provádění podnětu</w:t>
      </w:r>
    </w:p>
    <w:p>
      <w:pPr>
        <w:pStyle w:val="ManualHeading3"/>
        <w:rPr>
          <w:noProof/>
        </w:rPr>
      </w:pPr>
      <w:r>
        <w:rPr>
          <w:noProof/>
        </w:rPr>
        <w:tab/>
        <w:t>1.5.2.</w:t>
      </w:r>
      <w:r>
        <w:rPr>
          <w:noProof/>
        </w:rPr>
        <w:tab/>
        <w:t>Přidaná hodnota ze zapojení Unie (může být důsledkem různých faktorů, např. přínosů z koordinace, právní jistoty, vyšší účinnosti nebo doplňkovosti). Pro účely tohoto bodu „přidaná hodnota zapojení Unie“ je hodnota vyplývající ze zásahu Unie, která doplňuje hodnotu, kterou by jinak členské státy vytvořily sami.</w:t>
      </w:r>
    </w:p>
    <w:p>
      <w:pPr>
        <w:pStyle w:val="ManualHeading3"/>
        <w:rPr>
          <w:noProof/>
        </w:rPr>
      </w:pPr>
      <w:r>
        <w:rPr>
          <w:noProof/>
        </w:rPr>
        <w:tab/>
        <w:t>1.5.3.</w:t>
      </w:r>
      <w:r>
        <w:rPr>
          <w:noProof/>
        </w:rPr>
        <w:tab/>
        <w:t>Závěry vyvozené z podobných zkušeností v minulosti</w:t>
      </w:r>
    </w:p>
    <w:p>
      <w:pPr>
        <w:pStyle w:val="ManualHeading3"/>
        <w:rPr>
          <w:noProof/>
        </w:rPr>
      </w:pPr>
      <w:r>
        <w:rPr>
          <w:noProof/>
        </w:rPr>
        <w:tab/>
        <w:t>1.5.4.</w:t>
      </w:r>
      <w:r>
        <w:rPr>
          <w:noProof/>
        </w:rPr>
        <w:tab/>
        <w:t>Slučitelnost s víceletým finančním rámcem a možné synergie s dalšími vhodnými nástroji</w:t>
      </w:r>
    </w:p>
    <w:p>
      <w:pPr>
        <w:pStyle w:val="ManualHeading3"/>
        <w:rPr>
          <w:noProof/>
        </w:rPr>
      </w:pPr>
      <w:r>
        <w:rPr>
          <w:noProof/>
        </w:rPr>
        <w:tab/>
        <w:t>1.5.5.</w:t>
      </w:r>
      <w:r>
        <w:rPr>
          <w:noProof/>
        </w:rPr>
        <w:tab/>
        <w:t>Posouzení různých dostupných možností financování, včetně prostoru pro přerozdělení prostředků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>Doba trvání a finanční dopad návrhu/podnětu</w:t>
      </w:r>
    </w:p>
    <w:p>
      <w:pPr>
        <w:pStyle w:val="ManualHeading2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>Předpokládaný způsob řízení</w:t>
      </w:r>
      <w:r>
        <w:rPr>
          <w:noProof/>
        </w:rPr>
        <w:tab/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 xml:space="preserve">OPATŘENÍ PRO ŘÍZENÍ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Pravidla pro sledování a podávání zpráv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>Systém řízení a kontroly</w:t>
      </w:r>
    </w:p>
    <w:p>
      <w:pPr>
        <w:pStyle w:val="ManualHeading3"/>
        <w:rPr>
          <w:noProof/>
        </w:rPr>
      </w:pPr>
      <w:r>
        <w:rPr>
          <w:noProof/>
        </w:rPr>
        <w:tab/>
        <w:t>2.2.1.</w:t>
      </w:r>
      <w:r>
        <w:rPr>
          <w:noProof/>
        </w:rPr>
        <w:tab/>
        <w:t>Odůvodnění režimu (režimů) řízení, mechanismů financování, platebních postupů a navrhované strategie pro kontrolu</w:t>
      </w:r>
    </w:p>
    <w:p>
      <w:pPr>
        <w:pStyle w:val="ManualHeading3"/>
        <w:rPr>
          <w:noProof/>
        </w:rPr>
      </w:pPr>
      <w:r>
        <w:rPr>
          <w:noProof/>
        </w:rPr>
        <w:tab/>
        <w:t>2.2.2.</w:t>
      </w:r>
      <w:r>
        <w:rPr>
          <w:noProof/>
        </w:rPr>
        <w:tab/>
        <w:t>Informace týkající se identifikovaných rizik a vnitřního kontrolního systému nastaveného na jejich zmírnění</w:t>
      </w:r>
    </w:p>
    <w:p>
      <w:pPr>
        <w:pStyle w:val="ManualHeading3"/>
        <w:rPr>
          <w:noProof/>
        </w:rPr>
      </w:pPr>
      <w:r>
        <w:rPr>
          <w:noProof/>
        </w:rPr>
        <w:tab/>
        <w:t>2.2.3.</w:t>
      </w:r>
      <w:r>
        <w:rPr>
          <w:noProof/>
        </w:rPr>
        <w:tab/>
        <w:t>Odhad a odůvodnění nákladové efektivnosti kontrol (poměr „náklady na kontroly ÷ hodnota souvisejících spravovaných finančních prostředků“) a posouzení očekávané míry rizika výskytu chyb (při platbě a při uzávěrce)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Opatření k zamezení podvodů a nesrovnalostí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ODHADOVANÝ FINANČNÍ DOPAD NÁVRHU/PODNĚTU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Okruhy víceletého finančního rámce a dotčené výdajové rozpočtové položky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Odhadovaný finanční dopad návrhu na prostředky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Odhadovaný souhrnný dopad na operační prostředky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Odhadovaný výstup financovaný z operačních prostředků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Odhadovaný souhrnný dopad na správní prostředky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Soulad se stávajícím víceletým finančním rámcem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Příspěvky třetích stran </w:t>
      </w:r>
    </w:p>
    <w:p>
      <w:pPr>
        <w:pStyle w:val="ManualHeading2"/>
        <w:jc w:val="left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Odhadovaný dopad na příjmy</w:t>
      </w:r>
    </w:p>
    <w:p>
      <w:pPr>
        <w:jc w:val="center"/>
        <w:rPr>
          <w:b/>
          <w:noProof/>
          <w:u w:val="single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LEGISLATIVNÍ FINANČNÍ VÝKAZ</w:t>
      </w:r>
    </w:p>
    <w:p>
      <w:pPr>
        <w:pStyle w:val="ManualHeading1"/>
        <w:rPr>
          <w:noProof/>
        </w:rPr>
      </w:pPr>
      <w:bookmarkStart w:id="1" w:name="_Toc514938007"/>
      <w:bookmarkStart w:id="2" w:name="_Toc520485025"/>
      <w:r>
        <w:t>1.</w:t>
      </w:r>
      <w:r>
        <w:tab/>
      </w:r>
      <w:r>
        <w:rPr>
          <w:noProof/>
        </w:rPr>
        <w:t>RÁMEC NÁVRHU/PODNĚTU</w:t>
      </w:r>
      <w:bookmarkEnd w:id="1"/>
      <w:bookmarkEnd w:id="2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" w:name="_Toc514938008"/>
      <w:bookmarkStart w:id="4" w:name="_Toc520485026"/>
      <w:r>
        <w:t>1.1.</w:t>
      </w:r>
      <w:r>
        <w:tab/>
      </w:r>
      <w:r>
        <w:rPr>
          <w:noProof/>
        </w:rPr>
        <w:t>Název návrhu/podnětu</w:t>
      </w:r>
      <w:bookmarkEnd w:id="3"/>
      <w:bookmarkEnd w:id="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Návrh rozhodnutí Rady o podpisu jménem Unie a prozatímním uplatňování protokolu o provádění Dohody mezi Evropskou unií a Kapverdskou republikou o partnerství v odvětví rybolovu</w:t>
      </w:r>
    </w:p>
    <w:p>
      <w:pPr>
        <w:pStyle w:val="ManualHeading2"/>
        <w:rPr>
          <w:noProof/>
        </w:rPr>
      </w:pPr>
      <w:bookmarkStart w:id="5" w:name="_Toc514938011"/>
      <w:bookmarkStart w:id="6" w:name="_Toc520485027"/>
      <w:r>
        <w:t>1.2.</w:t>
      </w:r>
      <w:r>
        <w:tab/>
      </w:r>
      <w:r>
        <w:rPr>
          <w:noProof/>
        </w:rPr>
        <w:t>Příslušné oblasti politiky</w:t>
      </w:r>
      <w:bookmarkEnd w:id="5"/>
      <w:bookmarkEnd w:id="6"/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 – Námořní záležitosti a rybolov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11.03 – Povinné příspěvky regionálním organizacím pro řízení rybolovu a jiným mezinárodním organizacím a na dohody o udržitelném rybolovu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11.03.01 – Stanovení rámce správy pro rybolovné činnosti prováděné rybářskými plavidly Unie ve vodách třetích zemí</w:t>
      </w:r>
    </w:p>
    <w:p>
      <w:pPr>
        <w:pStyle w:val="ManualHeading2"/>
        <w:rPr>
          <w:bCs/>
          <w:noProof/>
          <w:szCs w:val="24"/>
        </w:rPr>
      </w:pPr>
      <w:bookmarkStart w:id="7" w:name="_Toc514938014"/>
      <w:bookmarkStart w:id="8" w:name="_Toc520485028"/>
      <w:r>
        <w:t>1.3.</w:t>
      </w:r>
      <w:r>
        <w:tab/>
      </w:r>
      <w:r>
        <w:rPr>
          <w:noProof/>
        </w:rPr>
        <w:t>Návrh/podnět se týká:</w:t>
      </w:r>
      <w:bookmarkEnd w:id="7"/>
      <w:bookmarkEnd w:id="8"/>
      <w:r>
        <w:rPr>
          <w:noProof/>
        </w:rPr>
        <w:t xml:space="preserve"> </w:t>
      </w:r>
    </w:p>
    <w:p>
      <w:pPr>
        <w:pStyle w:val="Text1"/>
        <w:rPr>
          <w:b/>
          <w:noProof/>
          <w:sz w:val="22"/>
        </w:rPr>
      </w:pPr>
      <w:r>
        <w:rPr>
          <w:b/>
          <w:noProof/>
          <w:sz w:val="22"/>
        </w:rPr>
        <w:t>X</w:t>
      </w:r>
      <w:r>
        <w:rPr>
          <w:b/>
          <w:i/>
          <w:noProof/>
          <w:sz w:val="22"/>
        </w:rPr>
        <w:t xml:space="preserve"> </w:t>
      </w:r>
      <w:r>
        <w:rPr>
          <w:b/>
          <w:noProof/>
        </w:rPr>
        <w:t>nové akce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nové akce po pilotním projektu/přípravné akci</w:t>
      </w:r>
      <w:r>
        <w:rPr>
          <w:rStyle w:val="FootnoteReference"/>
          <w:b/>
          <w:noProof/>
        </w:rPr>
        <w:footnoteReference w:id="9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prodloužení stávající akce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b/>
          <w:noProof/>
        </w:rPr>
        <w:t>sloučení nebo přesměrování jedné nebo více akcí na jinou/novou akci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bookmarkStart w:id="9" w:name="_Toc514938015"/>
      <w:bookmarkStart w:id="10" w:name="_Toc520485029"/>
      <w:r>
        <w:t>1.4.</w:t>
      </w:r>
      <w:r>
        <w:tab/>
      </w:r>
      <w:r>
        <w:rPr>
          <w:noProof/>
        </w:rPr>
        <w:t>Cíle</w:t>
      </w:r>
      <w:bookmarkEnd w:id="9"/>
      <w:bookmarkEnd w:id="10"/>
    </w:p>
    <w:p>
      <w:pPr>
        <w:pStyle w:val="ManualHeading3"/>
        <w:rPr>
          <w:noProof/>
        </w:rPr>
      </w:pPr>
      <w:bookmarkStart w:id="11" w:name="_Toc514938016"/>
      <w:bookmarkStart w:id="12" w:name="_Toc520485030"/>
      <w:r>
        <w:t>1.4.1.</w:t>
      </w:r>
      <w:r>
        <w:tab/>
      </w:r>
      <w:r>
        <w:rPr>
          <w:noProof/>
        </w:rPr>
        <w:t>Obecné cíle</w:t>
      </w:r>
      <w:bookmarkEnd w:id="11"/>
      <w:bookmarkEnd w:id="1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Sjednávání a uzavírání dohod o partnerství v odvětví udržitelného rybolovu se třetími zeměmi splňuje obecný cíl poskytnout rybářským plavidlům EU přístup k rybolovným oblastem ve třetích zemích a rozvíjet s těmito zeměmi partnerství v zájmu udržitelného využívání rybolovných zdrojů mimo vody EU.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Uvedené dohody rovněž zajišťují soudržnost mezi zásadami, jimiž se řídí společná rybářská politika, a závazky přijatými v rámci jiných evropských politik (udržitelné využívání zdrojů třetích zemí, boj proti nezákonnému, nehlášenému a neregulovanému rybolovu, integrace partnerských zemí do globální ekonomiky a lepší politické a finanční řízení rybolovu).</w:t>
      </w:r>
    </w:p>
    <w:p>
      <w:pPr>
        <w:pStyle w:val="ManualHeading3"/>
        <w:rPr>
          <w:bCs/>
          <w:noProof/>
          <w:szCs w:val="24"/>
        </w:rPr>
      </w:pPr>
      <w:bookmarkStart w:id="13" w:name="_Toc514938018"/>
      <w:bookmarkStart w:id="14" w:name="_Toc520485031"/>
      <w:r>
        <w:t>1.4.2.</w:t>
      </w:r>
      <w:r>
        <w:tab/>
      </w:r>
      <w:r>
        <w:rPr>
          <w:noProof/>
        </w:rPr>
        <w:t>Specifické cíle</w:t>
      </w:r>
      <w:bookmarkEnd w:id="13"/>
      <w:bookmarkEnd w:id="1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Specifický cíl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Přispívat k udržitelnému rybolovu ve vodách mimo EU, udržovat evropskou přítomnost v zámořských lovištích a chránit zájmy evropského rybářského odvětví a spotřebitelů sjednáváním a uzavíráním dohod o partnerství v odvětví udržitelného rybolovu s pobřežními státy v souladu s ostatními evropskými politikami.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Příslušné aktivity ABM/ABB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Námořní záležitosti a rybolov, vytvoření rámce pro řízení rybolovných činností prováděných rybářskými plavidly Evropské unie ve vodách třetích zemí (dohody o udržitelném rybolovu) (rozpočtová položka 11.03.01).</w:t>
      </w:r>
    </w:p>
    <w:p>
      <w:pPr>
        <w:pStyle w:val="ManualHeading3"/>
        <w:rPr>
          <w:noProof/>
        </w:rPr>
      </w:pPr>
      <w:bookmarkStart w:id="15" w:name="_Toc514938019"/>
      <w:bookmarkStart w:id="16" w:name="_Toc520485032"/>
      <w:r>
        <w:lastRenderedPageBreak/>
        <w:t>1.4.3.</w:t>
      </w:r>
      <w:r>
        <w:tab/>
      </w:r>
      <w:r>
        <w:rPr>
          <w:noProof/>
        </w:rPr>
        <w:t>Očekávané výsledky a dopady</w:t>
      </w:r>
      <w:bookmarkEnd w:id="15"/>
      <w:bookmarkEnd w:id="16"/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účinky, které by návrh/podnět měl mít na příjemce / cílové skupiny.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Uzavření protokolu umožňuje vytvoření strategického partnerství v odvětví rybolovu mezi Evropskou unií a Kapverdami. Uzavření protokolu povede ke vzniku rybolovných práv pro plavidla Unie v kapverdských vodách.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Protokol rovněž přispěje k lepšímu řízení a uchovávání rybolovných zdrojů prostřednictvím finanční (odvětvové) podpory pro provádění programů přijatých na vnitrostátní úrovni partnerskou zemí, zejména v souvislosti se sledováním nezákonného rybolovu, bojem proti němu a podporou odvětví drobného rybolovu.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Protokol také přispěje k rozvoji modré ekonomiky Kapverd, podpoře růstu souvisejícího s námořními činnostmi a udržitelného využívání jeho mořských zdrojů.</w:t>
      </w:r>
    </w:p>
    <w:p>
      <w:pPr>
        <w:pStyle w:val="ManualHeading3"/>
        <w:rPr>
          <w:noProof/>
          <w:szCs w:val="24"/>
        </w:rPr>
      </w:pPr>
      <w:bookmarkStart w:id="17" w:name="_Toc514938023"/>
      <w:bookmarkStart w:id="18" w:name="_Toc520485033"/>
      <w:r>
        <w:t>1.4.4.</w:t>
      </w:r>
      <w:r>
        <w:tab/>
      </w:r>
      <w:r>
        <w:rPr>
          <w:noProof/>
        </w:rPr>
        <w:t>Ukazatele výkonnosti</w:t>
      </w:r>
      <w:bookmarkEnd w:id="17"/>
      <w:bookmarkEnd w:id="18"/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ukazatele pro sledování pokroku a dosažených výsledků.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Míra využití rybolovných práv (procentní podíl využitých oprávnění k rybolovu za rok vzhledem k objemu dostupnému na základě protokolu).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Data o úlovcích (shromažďování a analýza) a obchodní hodnota dohody.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Příspěvek k zaměstnanosti a přidané hodnotě v Unii a ke stabilizaci trhu Unie (souhrnně s ostatními dohodami o partnerství v odvětví udržitelného rybolovu).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Příspěvek ke zdokonalení výzkumu, monitorování a kontroly rybolovných činností v partnerské zemi a rozvoje odvětví rybolovu, zejména drobného rybolovu.</w:t>
      </w:r>
    </w:p>
    <w:p>
      <w:pPr>
        <w:pStyle w:val="ManualHeading2"/>
        <w:rPr>
          <w:bCs/>
          <w:noProof/>
          <w:szCs w:val="24"/>
        </w:rPr>
      </w:pPr>
      <w:bookmarkStart w:id="19" w:name="_Toc514938025"/>
      <w:bookmarkStart w:id="20" w:name="_Toc520485034"/>
      <w:r>
        <w:t>1.5.</w:t>
      </w:r>
      <w:r>
        <w:tab/>
      </w:r>
      <w:r>
        <w:rPr>
          <w:noProof/>
        </w:rPr>
        <w:t>Odůvodnění návrhu/podnětu</w:t>
      </w:r>
      <w:bookmarkEnd w:id="19"/>
      <w:bookmarkEnd w:id="20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21" w:name="_Toc514938026"/>
      <w:bookmarkStart w:id="22" w:name="_Toc520485035"/>
      <w:r>
        <w:t>1.5.1.</w:t>
      </w:r>
      <w:r>
        <w:tab/>
      </w:r>
      <w:r>
        <w:rPr>
          <w:noProof/>
        </w:rPr>
        <w:t>Potřeby, které mají být uspokojeny v krátkodobém nebo dlouhodobém horizontu, včetně podrobného harmonogramu pro zahajovací fázi provádění podnětu</w:t>
      </w:r>
      <w:bookmarkEnd w:id="21"/>
      <w:bookmarkEnd w:id="22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Aby se omezilo přerušení stávajících rybolovných činností probíhajících podle stávajícího protokolu, je záměrem prozatímní uplatňování nového protokolu od data jeho podpisu.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Nový protokol vytvoří rámec pro rybolovné činnosti unijního loďstva v kapverdské rybolovné oblasti a umožní majitelům plavidel EU žádat o oprávnění k rybolovu pro uvedenou oblast. Tento nový protokol navíc posiluje spolupráci mezi EU a Kapverdami za účelem podpory rozvoje udržitelné rybářské politiky. Počítá zejména se sledováním plavidel pomocí systému VMS a se sdělováním údajů o úlovcích elektronickou cestou. Odvětvová podpora dostupná na základě protokolu pomůže Kapverdám plnit jejich vnitrostátní strategii v oblasti rybolovu, včetně boje s nezákonným, nehlášeným a neregulovaným rybolovem. </w:t>
      </w:r>
    </w:p>
    <w:p>
      <w:pPr>
        <w:pStyle w:val="ManualHeading3"/>
        <w:rPr>
          <w:bCs/>
          <w:noProof/>
          <w:szCs w:val="24"/>
        </w:rPr>
      </w:pPr>
      <w:bookmarkStart w:id="23" w:name="_Toc514938029"/>
      <w:bookmarkStart w:id="24" w:name="_Toc520485036"/>
      <w:r>
        <w:t>1.5.2.</w:t>
      </w:r>
      <w:r>
        <w:tab/>
      </w:r>
      <w:r>
        <w:rPr>
          <w:noProof/>
        </w:rPr>
        <w:t>Přidaná hodnota ze zapojení Unie (může být důsledkem různých faktorů, např. přínosů z koordinace, právní jistoty, vyšší účinnosti nebo doplňkovosti). Pro účely tohoto bodu „přidaná hodnota zapojení Unie“ je hodnota vyplývající ze zásahu Unie, která doplňuje hodnotu, kterou by jinak členské státy vytvořily sami.</w:t>
      </w:r>
      <w:bookmarkEnd w:id="23"/>
      <w:bookmarkEnd w:id="2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Pokud Unie nový protokol neuzavře, byl by plavidlům Unie znemožněn rybolov, jelikož dohoda obsahuje ustanovení, které vylučuje rybolovné činnosti, jež neprobíhají v rámci definovaném protokolem k dohodě. Přidaná hodnota pro zámořské loďstvo EU je tedy jednoznačná. Protokol poskytuje rovněž rámec pro posílenou spolupráci mezi Unií a Kapverdami. </w:t>
      </w:r>
    </w:p>
    <w:p>
      <w:pPr>
        <w:pStyle w:val="ManualHeading3"/>
        <w:rPr>
          <w:noProof/>
        </w:rPr>
      </w:pPr>
      <w:bookmarkStart w:id="25" w:name="_Toc514938030"/>
      <w:bookmarkStart w:id="26" w:name="_Toc520485037"/>
      <w:r>
        <w:rPr>
          <w:noProof/>
        </w:rPr>
        <w:br w:type="page"/>
      </w:r>
      <w:r>
        <w:lastRenderedPageBreak/>
        <w:t>1.5.3.</w:t>
      </w:r>
      <w:r>
        <w:tab/>
      </w:r>
      <w:r>
        <w:rPr>
          <w:noProof/>
        </w:rPr>
        <w:t>Závěry vyvozené z podobných zkušeností v minulosti</w:t>
      </w:r>
      <w:bookmarkEnd w:id="25"/>
      <w:bookmarkEnd w:id="26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Na základě analýzy minulých úlovků v kapverdské rybolovné oblasti a nedávných úlovků v rámci podobných protokolů v dotčeném regionu, jakož i posouzení a dostupných vědeckých doporučení, smluvní strany stanovily referenční množství tuňáka a tuňákovitých ryb ve výši 8 000 tun ročně s rybolovnými právy pro 28 mrazírenských plavidel lovících tuňáky nevodem, 27 plavidel pro povrchový rybolov na dlouhou lovnou šňůru a 14 plavidel lovících tuňáky na pruty. Odvětvová podpora byla stanovena relativně vysoká, aby se zohlednily potřeby, pokud jde o budování kapacity kapverdských rybářských orgánů a priority vnitrostátní rybářské strategie, jakož i plány na podporu modré ekonomiky tohoto pobřežního státu.</w:t>
      </w:r>
    </w:p>
    <w:p>
      <w:pPr>
        <w:pStyle w:val="ManualHeading3"/>
        <w:rPr>
          <w:noProof/>
        </w:rPr>
      </w:pPr>
      <w:bookmarkStart w:id="27" w:name="_Toc514938033"/>
      <w:bookmarkStart w:id="28" w:name="_Toc520485038"/>
      <w:r>
        <w:t>1.5.4.</w:t>
      </w:r>
      <w:r>
        <w:tab/>
      </w:r>
      <w:r>
        <w:rPr>
          <w:noProof/>
        </w:rPr>
        <w:t>Slučitelnost s víceletým finančním rámcem a možné synergie s dalšími vhodnými nástroji</w:t>
      </w:r>
      <w:bookmarkEnd w:id="27"/>
      <w:bookmarkEnd w:id="28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Finanční prostředky poskytnuté jakožto finanční příspěvek za přístup k rybolovu v rámci dohody o partnerství v odvětví rybolovu představují ve vnitrostátním rozpočtu Kapverd zastupitelné příjmy. Prostředky určené na odvětvovou podporu jsou nicméně přiděleny (obvykle jako součást každoročního zákona o rozpočtu) ministerstvu odpovědnému za rybolov, což je podmínkou uzavření a provádění dohody o partnerství v odvětví rybolovu. Tyto finanční prostředky jsou slučitelné s jinými zdroji financování pocházejícími od jiných mezinárodních investorů a určenými pro realizaci projektů nebo programů prováděných v odvětví rybolovu na vnitrostátní úrovni.</w:t>
      </w:r>
    </w:p>
    <w:p>
      <w:pPr>
        <w:pStyle w:val="ManualHeading3"/>
        <w:rPr>
          <w:noProof/>
        </w:rPr>
      </w:pPr>
      <w:bookmarkStart w:id="29" w:name="_Toc514938036"/>
      <w:bookmarkStart w:id="30" w:name="_Toc520485039"/>
      <w:r>
        <w:t>1.5.5.</w:t>
      </w:r>
      <w:r>
        <w:tab/>
      </w:r>
      <w:r>
        <w:rPr>
          <w:noProof/>
        </w:rPr>
        <w:t>Posouzení různých dostupných možností financování, včetně prostoru pro přerozdělení prostředků</w:t>
      </w:r>
      <w:bookmarkEnd w:id="29"/>
      <w:bookmarkEnd w:id="30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bookmarkStart w:id="31" w:name="_Toc514938039"/>
      <w:bookmarkStart w:id="32" w:name="_Toc520485040"/>
      <w:r>
        <w:t>1.6.</w:t>
      </w:r>
      <w:r>
        <w:tab/>
      </w:r>
      <w:r>
        <w:rPr>
          <w:noProof/>
        </w:rPr>
        <w:t>Doba trvání a finanční dopad návrhu/podnětu</w:t>
      </w:r>
      <w:bookmarkEnd w:id="31"/>
      <w:bookmarkEnd w:id="32"/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b/>
          <w:i/>
          <w:noProof/>
        </w:rPr>
        <w:t xml:space="preserve"> </w:t>
      </w:r>
      <w:r>
        <w:rPr>
          <w:b/>
          <w:noProof/>
        </w:rPr>
        <w:t xml:space="preserve">omezené trvání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V platnosti od roku 2019 do roku 2024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Finanční dopad od roku 2019 do roku 2024 pro prostředky na závazky a od roku 2019 do roku 2024 pro prostředky na platby.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neomezené trvání</w:t>
      </w:r>
    </w:p>
    <w:p>
      <w:pPr>
        <w:pStyle w:val="ListDash1"/>
        <w:rPr>
          <w:noProof/>
        </w:rPr>
      </w:pPr>
      <w:r>
        <w:rPr>
          <w:noProof/>
        </w:rPr>
        <w:t>Provádění s obdobím rozběhu od RRRR do RRRR,</w:t>
      </w:r>
    </w:p>
    <w:p>
      <w:pPr>
        <w:pStyle w:val="ListDash1"/>
        <w:rPr>
          <w:noProof/>
        </w:rPr>
      </w:pPr>
      <w:r>
        <w:rPr>
          <w:noProof/>
        </w:rPr>
        <w:t>poté plné fungování.</w:t>
      </w:r>
    </w:p>
    <w:p>
      <w:pPr>
        <w:pStyle w:val="ManualHeading2"/>
        <w:rPr>
          <w:bCs/>
          <w:noProof/>
          <w:szCs w:val="24"/>
        </w:rPr>
      </w:pPr>
      <w:bookmarkStart w:id="33" w:name="_Toc514938040"/>
      <w:bookmarkStart w:id="34" w:name="_Toc520485041"/>
      <w:r>
        <w:t>1.7.</w:t>
      </w:r>
      <w:r>
        <w:tab/>
      </w:r>
      <w:r>
        <w:rPr>
          <w:noProof/>
        </w:rPr>
        <w:t>Předpokládaný způsob řízení</w:t>
      </w:r>
      <w:r>
        <w:rPr>
          <w:rStyle w:val="FootnoteReference"/>
          <w:noProof/>
        </w:rPr>
        <w:footnoteReference w:id="10"/>
      </w:r>
      <w:bookmarkEnd w:id="33"/>
      <w:bookmarkEnd w:id="34"/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b/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Přímé řízení</w:t>
      </w:r>
      <w:r>
        <w:rPr>
          <w:noProof/>
        </w:rPr>
        <w:t xml:space="preserve"> Komisí</w:t>
      </w:r>
    </w:p>
    <w:p>
      <w:pPr>
        <w:pStyle w:val="ListDash2"/>
        <w:rPr>
          <w:rFonts w:cs="EUAlbertina"/>
          <w:noProof/>
        </w:rPr>
      </w:pPr>
      <w:r>
        <w:rPr>
          <w:b/>
          <w:noProof/>
        </w:rPr>
        <w:t>X</w:t>
      </w:r>
      <w:r>
        <w:rPr>
          <w:noProof/>
        </w:rPr>
        <w:t xml:space="preserve"> jejími útvary, včetně jejích zaměstnanců v delegacích Unie;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prostřednictvím výkonných agentur.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Sdílené řízení</w:t>
      </w:r>
      <w:r>
        <w:rPr>
          <w:noProof/>
        </w:rPr>
        <w:t xml:space="preserve"> s členskými státy </w:t>
      </w:r>
    </w:p>
    <w:p>
      <w:pPr>
        <w:pStyle w:val="Text1"/>
        <w:rPr>
          <w:noProof/>
        </w:rPr>
      </w:pPr>
      <w:r>
        <w:rPr>
          <w:noProof/>
        </w:rPr>
        <w:lastRenderedPageBreak/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Nepřímé řízení</w:t>
      </w:r>
      <w:r>
        <w:rPr>
          <w:noProof/>
        </w:rPr>
        <w:t>, při kterém jsou úkoly souvisejícími s plněním rozpočtu pověřeny: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třetí země nebo subjekty určené těmito zeměmi,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mezinárodní organizace a jejich agentury (upřesněte),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EIB a Evropský investiční fond,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subjekty uvedené v článcích 70 a 71 finančního nařízení,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veřejnoprávní subjekty,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pověřené výkonem veřejné služby v rozsahu, v jakém poskytují dostatečné finanční záruky,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členského státu pověřené uskutečňováním partnerství soukromého a veřejného sektoru a poskytující dostatečné finanční záruky,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osoby pověřené prováděním zvláštních činností v rámci společné zahraniční a bezpečnostní politiky podle hlavy V Smlouvy o EU a určené v příslušném základním právním aktu.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Pokud vyberete více způsobů řízení, upřesněte je v části „Poznámky“.</w:t>
      </w:r>
    </w:p>
    <w:p>
      <w:pPr>
        <w:rPr>
          <w:noProof/>
        </w:rPr>
      </w:pPr>
      <w:r>
        <w:rPr>
          <w:noProof/>
        </w:rPr>
        <w:t xml:space="preserve">Poznámky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bookmarkStart w:id="35" w:name="_Toc514938041"/>
      <w:bookmarkStart w:id="36" w:name="_Toc520485042"/>
      <w:r>
        <w:lastRenderedPageBreak/>
        <w:t>2.</w:t>
      </w:r>
      <w:r>
        <w:tab/>
      </w:r>
      <w:r>
        <w:rPr>
          <w:noProof/>
        </w:rPr>
        <w:t>OPATŘENÍ PRO ŘÍZENÍ</w:t>
      </w:r>
      <w:bookmarkEnd w:id="35"/>
      <w:bookmarkEnd w:id="36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37" w:name="_Toc514938042"/>
      <w:bookmarkStart w:id="38" w:name="_Toc520485043"/>
      <w:r>
        <w:t>2.1.</w:t>
      </w:r>
      <w:r>
        <w:tab/>
      </w:r>
      <w:r>
        <w:rPr>
          <w:noProof/>
        </w:rPr>
        <w:t>Pravidla pro sledování a podávání zpráv</w:t>
      </w:r>
      <w:bookmarkEnd w:id="37"/>
      <w:bookmarkEnd w:id="38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četnost a podmínky.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Komise (GŘ MARE, ve spolupráci se svým atašé pro rybolov přítomným v regionu – Dakar, Senegal) bude zajišťovat pravidelné sledování uplatňování protokolu, pokud jde o využívání rybolovných práv ze strany provozovatelů, údaje o úlovcích a dodržování podmínek odvětvové podpory.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Dohoda o partnerství v odvětví rybolovu stanoví, že se musí každý rok uskutečnit nejméně jedno zasedání smíšeného výboru, na němž Komise a Kapverdy přezkoumají provádění dohody a jejího protokolu a v případě potřeby upraví plánování a popřípadě i finanční příspěvek.</w:t>
      </w:r>
    </w:p>
    <w:p>
      <w:pPr>
        <w:pStyle w:val="ManualHeading2"/>
        <w:rPr>
          <w:bCs/>
          <w:noProof/>
          <w:szCs w:val="24"/>
        </w:rPr>
      </w:pPr>
      <w:bookmarkStart w:id="39" w:name="_Toc514938045"/>
      <w:bookmarkStart w:id="40" w:name="_Toc520485044"/>
      <w:r>
        <w:t>2.2.</w:t>
      </w:r>
      <w:r>
        <w:tab/>
      </w:r>
      <w:r>
        <w:rPr>
          <w:noProof/>
        </w:rPr>
        <w:t>Systém řízení a kontroly</w:t>
      </w:r>
      <w:bookmarkEnd w:id="39"/>
      <w:bookmarkEnd w:id="40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41" w:name="_Toc514938046"/>
      <w:bookmarkStart w:id="42" w:name="_Toc520485045"/>
      <w:r>
        <w:t>2.2.1.</w:t>
      </w:r>
      <w:r>
        <w:tab/>
      </w:r>
      <w:r>
        <w:rPr>
          <w:noProof/>
        </w:rPr>
        <w:t>Odůvodnění režimu (režimů) řízení, mechanismů financování, platebních postupů a navrhované strategie pro kontrolu</w:t>
      </w:r>
      <w:bookmarkEnd w:id="41"/>
      <w:bookmarkEnd w:id="42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 xml:space="preserve">Zjištěným rizikem je nevyužití rybolovných práv udělených rybářským plavidlům EU a nedostatečné využití nebo zpoždění při využití finančních prostředků určených na financování odvětvové rybářské politiky Kapverd. </w:t>
      </w:r>
    </w:p>
    <w:p>
      <w:pPr>
        <w:pStyle w:val="ManualHeading3"/>
        <w:rPr>
          <w:bCs/>
          <w:noProof/>
          <w:szCs w:val="24"/>
        </w:rPr>
      </w:pPr>
      <w:bookmarkStart w:id="43" w:name="_Toc514938047"/>
      <w:bookmarkStart w:id="44" w:name="_Toc520485046"/>
      <w:r>
        <w:t>2.2.2.</w:t>
      </w:r>
      <w:r>
        <w:tab/>
      </w:r>
      <w:r>
        <w:rPr>
          <w:noProof/>
        </w:rPr>
        <w:t>Informace týkající se identifikovaných rizik a vnitřního kontrolního systému nastaveného na jejich zmírnění</w:t>
      </w:r>
      <w:bookmarkEnd w:id="43"/>
      <w:bookmarkEnd w:id="44"/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Počítá se s trvalým dialogem o plánování a provádění odvětvové politiky stanovené v dohodě a protokolu. Součástí těchto kontrolních metod je rovněž společná analýza výsledků uvedená v článku 5 protokolu.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Kromě toho dohoda a protokol obsahují specifická ustanovení umožňující za určitých podmínek a okolností jejich pozastavení.</w:t>
      </w:r>
    </w:p>
    <w:p>
      <w:pPr>
        <w:pStyle w:val="ManualHeading3"/>
        <w:rPr>
          <w:noProof/>
        </w:rPr>
      </w:pPr>
      <w:bookmarkStart w:id="45" w:name="_Toc514938048"/>
      <w:bookmarkStart w:id="46" w:name="_Toc520485047"/>
      <w:r>
        <w:rPr>
          <w:noProof/>
        </w:rPr>
        <w:br w:type="page"/>
      </w:r>
      <w:r>
        <w:lastRenderedPageBreak/>
        <w:t>2.2.3.</w:t>
      </w:r>
      <w:r>
        <w:tab/>
      </w:r>
      <w:r>
        <w:rPr>
          <w:noProof/>
        </w:rPr>
        <w:t>Odhad a odůvodnění nákladové efektivnosti kontrol (poměr „náklady na kontroly ÷ hodnota souvisejících spravovaných finančních prostředků“) a posouzení očekávané míry rizika výskytu chyb (při platbě a při uzávěrce)</w:t>
      </w:r>
      <w:bookmarkEnd w:id="45"/>
      <w:bookmarkEnd w:id="46"/>
      <w:r>
        <w:rPr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bookmarkStart w:id="47" w:name="_Toc514938049"/>
      <w:bookmarkStart w:id="48" w:name="_Toc520485048"/>
      <w:r>
        <w:t>2.3.</w:t>
      </w:r>
      <w:r>
        <w:tab/>
      </w:r>
      <w:r>
        <w:rPr>
          <w:noProof/>
        </w:rPr>
        <w:t>Opatření k zamezení podvodů a nesrovnalostí</w:t>
      </w:r>
      <w:bookmarkEnd w:id="47"/>
      <w:bookmarkEnd w:id="48"/>
      <w:r>
        <w:rPr>
          <w:noProof/>
        </w:rPr>
        <w:t xml:space="preserve">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stávající či předpokládaná preventivní a ochranná opatření, např. ze strategie pro boj proti podvodům.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Komise se zavazuje navázat s Kapverdskou republikou politický dialog a pravidelnou koordinaci s cílem zlepšit řízení dohody a protokolu a posílit příspěvek EU k udržitelnému řízení zdrojů. Na veškeré platby, které Komise v rámci dohod o partnerství v odvětví rybolovu provádí, se vztahují standardní pravidla a rozpočtové a finanční postupy Komise. Zejména je provedena plná identifikace bankovního účtu třetích zemí, na nějž se finanční příspěvek vyplácí. V čl. 4 odst. 6 protokolu se stanoví, že finanční příspěvek za přístup k rybolovu musí být vyplacen státní pokladně Kapverd a část určená na rozvoj odvětví má být vyplacena na bankovní účet státní pokladny Kapverd, který je za tímto účelem zřízen.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bookmarkStart w:id="49" w:name="_Toc514938050"/>
      <w:bookmarkStart w:id="50" w:name="_Toc520485049"/>
      <w:r>
        <w:lastRenderedPageBreak/>
        <w:t>3.</w:t>
      </w:r>
      <w:r>
        <w:tab/>
      </w:r>
      <w:r>
        <w:rPr>
          <w:noProof/>
        </w:rPr>
        <w:t>ODHADOVANÝ FINANČNÍ DOPAD NÁVRHU/PODNĚTU</w:t>
      </w:r>
      <w:bookmarkEnd w:id="49"/>
      <w:bookmarkEnd w:id="50"/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bookmarkStart w:id="51" w:name="_Toc514938051"/>
      <w:bookmarkStart w:id="52" w:name="_Toc520485050"/>
      <w:r>
        <w:t>3.1.</w:t>
      </w:r>
      <w:r>
        <w:tab/>
      </w:r>
      <w:r>
        <w:rPr>
          <w:noProof/>
        </w:rPr>
        <w:t>Okruhy víceletého finančního rámce a dotčené výdajové rozpočtové položky</w:t>
      </w:r>
      <w:bookmarkEnd w:id="51"/>
      <w:bookmarkEnd w:id="52"/>
      <w:r>
        <w:rPr>
          <w:noProof/>
        </w:rPr>
        <w:t xml:space="preserve"> </w:t>
      </w:r>
    </w:p>
    <w:p>
      <w:pPr>
        <w:pStyle w:val="ListBullet1"/>
        <w:rPr>
          <w:noProof/>
        </w:rPr>
      </w:pPr>
      <w:r>
        <w:rPr>
          <w:noProof/>
        </w:rPr>
        <w:t xml:space="preserve">Stávající rozpočtové položky </w:t>
      </w:r>
    </w:p>
    <w:p>
      <w:pPr>
        <w:pStyle w:val="Text1"/>
        <w:rPr>
          <w:i/>
          <w:noProof/>
        </w:rPr>
      </w:pPr>
      <w:r>
        <w:rPr>
          <w:i/>
          <w:noProof/>
          <w:u w:val="single"/>
        </w:rPr>
        <w:t>V pořadí</w:t>
      </w:r>
      <w:r>
        <w:rPr>
          <w:i/>
          <w:noProof/>
        </w:rPr>
        <w:t xml:space="preserve"> okruhů víceletého finančního rámce a rozpočtových položek.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1080"/>
        <w:gridCol w:w="1076"/>
        <w:gridCol w:w="1080"/>
        <w:gridCol w:w="1084"/>
        <w:gridCol w:w="1320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Okruh víceletého finančního rámce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Druh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výdaje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Příspěvek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Číslo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RP/NRP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zemí ESVO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kandidátských zemí</w:t>
            </w:r>
            <w:r>
              <w:rPr>
                <w:rStyle w:val="FootnoteReference"/>
                <w:noProof/>
                <w:sz w:val="18"/>
              </w:rPr>
              <w:footnoteReference w:id="13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třetích zemí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ve smyslu čl. 21 odst. 2 písm. b) finančního nařízení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11.03.01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Vytvoření rámce pro řízení rybolovných činností prováděných rybářskými plavidly Evropské unie ve vodách třetích zemí (dohody o udržitelném rybolovu)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RP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</w:t>
            </w:r>
          </w:p>
        </w:tc>
      </w:tr>
    </w:tbl>
    <w:p>
      <w:pPr>
        <w:pStyle w:val="ListBullet1"/>
        <w:rPr>
          <w:noProof/>
        </w:rPr>
      </w:pPr>
      <w:r>
        <w:rPr>
          <w:noProof/>
        </w:rPr>
        <w:t xml:space="preserve">Nové rozpočtové položky, jejichž vytvoření se požaduje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V pořadí</w:t>
      </w:r>
      <w:r>
        <w:rPr>
          <w:i/>
          <w:noProof/>
        </w:rPr>
        <w:t xml:space="preserve"> okruhů víceletého finančního rámce a rozpočtových položek.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1080"/>
        <w:gridCol w:w="1076"/>
        <w:gridCol w:w="1080"/>
        <w:gridCol w:w="1084"/>
        <w:gridCol w:w="1320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Okruh víceletého finančního rámce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Druh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výdaje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Příspěvek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Číslo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RP/NRP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zemí ESVO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kandidátských zemí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třetích zemí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ve smyslu čl. 21 odst. 2 písm. b) finančního nařízení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  <w:sz w:val="22"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ANO/NE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0"/>
                <w:szCs w:val="20"/>
              </w:rPr>
            </w:pPr>
            <w:r>
              <w:rPr>
                <w:noProof/>
                <w:sz w:val="20"/>
              </w:rPr>
              <w:t>ANO/NE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noProof/>
                <w:color w:val="0000FF"/>
                <w:sz w:val="20"/>
                <w:szCs w:val="20"/>
              </w:rPr>
            </w:pPr>
            <w:r>
              <w:rPr>
                <w:noProof/>
                <w:sz w:val="20"/>
              </w:rPr>
              <w:t>ANO/NE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ANO/NE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bookmarkStart w:id="53" w:name="_Toc514938052"/>
      <w:bookmarkStart w:id="54" w:name="_Toc520485051"/>
      <w:r>
        <w:lastRenderedPageBreak/>
        <w:t>3.2.</w:t>
      </w:r>
      <w:r>
        <w:tab/>
      </w:r>
      <w:r>
        <w:rPr>
          <w:noProof/>
        </w:rPr>
        <w:t>Odhadovaný finanční dopad návrhu na prostředky</w:t>
      </w:r>
      <w:bookmarkEnd w:id="53"/>
      <w:bookmarkEnd w:id="54"/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bookmarkStart w:id="55" w:name="_Toc514938053"/>
      <w:bookmarkStart w:id="56" w:name="_Toc520485052"/>
      <w:r>
        <w:t>3.2.1.</w:t>
      </w:r>
      <w:r>
        <w:tab/>
      </w:r>
      <w:r>
        <w:rPr>
          <w:noProof/>
        </w:rPr>
        <w:t>Odhadovaný souhrnný dopad na operační prostředky</w:t>
      </w:r>
      <w:bookmarkEnd w:id="55"/>
      <w:bookmarkEnd w:id="56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Návrh/podnět nevyžaduje využití operačních prostředků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Návrh/podnět vyžaduje využití operačních prostředků, jak je vysvětleno dále:</w:t>
      </w:r>
    </w:p>
    <w:p>
      <w:pPr>
        <w:jc w:val="right"/>
        <w:rPr>
          <w:noProof/>
          <w:sz w:val="18"/>
          <w:szCs w:val="18"/>
        </w:rPr>
      </w:pPr>
      <w:r>
        <w:rPr>
          <w:noProof/>
          <w:sz w:val="18"/>
        </w:rPr>
        <w:t>v milionech EUR (zaokrouhleno na tři desetinná místa)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Okruh 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Číslo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Udržitelný růst: přírodní zdroje</w:t>
            </w:r>
          </w:p>
        </w:tc>
      </w:tr>
    </w:tbl>
    <w:p>
      <w:pPr>
        <w:rPr>
          <w:noProof/>
          <w:sz w:val="16"/>
        </w:rPr>
      </w:pPr>
    </w:p>
    <w:tbl>
      <w:tblPr>
        <w:tblW w:w="121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99"/>
        <w:gridCol w:w="1746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GŘ: MARE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Operační prostředky</w:t>
            </w: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  <w:r>
              <w:rPr>
                <w:rStyle w:val="FootnoteReference"/>
                <w:noProof/>
                <w:sz w:val="20"/>
              </w:rPr>
              <w:footnoteReference w:id="14"/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(1b)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(2b)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Prostředky správní povahy financované z rámce na zvláštní programy</w:t>
            </w:r>
            <w:r>
              <w:rPr>
                <w:rStyle w:val="FootnoteReference"/>
                <w:noProof/>
                <w:sz w:val="21"/>
              </w:rPr>
              <w:footnoteReference w:id="15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Prostředky pro GŘ MARE CELKEM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=1a+1b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=2a+2b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99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4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rPr>
          <w:noProof/>
        </w:rPr>
      </w:pPr>
      <w:r>
        <w:rPr>
          <w:noProof/>
        </w:rPr>
        <w:lastRenderedPageBreak/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1732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</w:t>
            </w:r>
            <w:r>
              <w:rPr>
                <w:noProof/>
                <w:sz w:val="21"/>
              </w:rPr>
              <w:t>Operační prostředky CELKEM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Prostředky správní povahy financované z rámce na zvláštní programy CELKEM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Prostředky z OKRUHU &lt;2&gt; </w:t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b/>
                <w:noProof/>
                <w:sz w:val="22"/>
              </w:rPr>
              <w:t xml:space="preserve"> CELKEM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32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Pokud je návrhem/podnětem dotčen více než jeden operační okruh, zopakuje se výše uvedený oddíl: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Operační prostředky CELKEM (všechny operační okruhy)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t xml:space="preserve"> Prostředky správní povahy financované z rámce na zvláštní programy (všechny operační okruhy) CELKEM</w:t>
            </w:r>
          </w:p>
        </w:tc>
        <w:tc>
          <w:tcPr>
            <w:tcW w:w="654" w:type="dxa"/>
            <w:vAlign w:val="center"/>
          </w:tcPr>
          <w:p>
            <w:pPr>
              <w:rPr>
                <w:noProof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Prostředky pro OKRUHY 1 až 4 víceletého finančního rámce CELKEM</w:t>
            </w:r>
            <w:r>
              <w:rPr>
                <w:noProof/>
                <w:sz w:val="22"/>
              </w:rPr>
              <w:br/>
              <w:t>víceletého finančního rámce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(referenční částka)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rPr>
          <w:noProof/>
        </w:rPr>
      </w:pPr>
    </w:p>
    <w:p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lastRenderedPageBreak/>
              <w:br w:type="page"/>
            </w:r>
            <w:r>
              <w:rPr>
                <w:b/>
                <w:noProof/>
                <w:sz w:val="22"/>
              </w:rPr>
              <w:t xml:space="preserve">Okruh víceletého finančního rámce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„Správní výdaje“</w:t>
            </w:r>
          </w:p>
        </w:tc>
      </w:tr>
    </w:tbl>
    <w:p>
      <w:pPr>
        <w:jc w:val="left"/>
        <w:rPr>
          <w:noProof/>
          <w:sz w:val="20"/>
        </w:rPr>
      </w:pPr>
      <w:r>
        <w:rPr>
          <w:noProof/>
        </w:rPr>
        <w:t xml:space="preserve">Tento oddíl se vyplní pomocí „rozpočtových údajů správní povahy“, jež se nejprve uvedou v </w:t>
      </w:r>
      <w:hyperlink r:id="rId18">
        <w:r>
          <w:rPr>
            <w:rStyle w:val="Hyperlink"/>
            <w:noProof/>
          </w:rPr>
          <w:t>příloze legislativního finančního výkazu</w:t>
        </w:r>
      </w:hyperlink>
      <w:r>
        <w:rPr>
          <w:noProof/>
        </w:rPr>
        <w:t xml:space="preserve"> (příloha V interních pravidel), která se pro účely konzultace mezi útvary vloží do aplikace DECIDE.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milionech EUR (zaokrouhleno na tři desetinná místa)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rPr>
          <w:gridAfter w:val="8"/>
          <w:wAfter w:w="8211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GŘ: MARE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Lidské zdroje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Ostatní správní výdaje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GŘ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MARE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CELKEM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Prostředky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Prostředky z OKRUHU 5 </w:t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b/>
                <w:noProof/>
                <w:sz w:val="22"/>
              </w:rPr>
              <w:t xml:space="preserve"> CELKEM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(Závazky celkem = platby celkem)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 milionech EUR (zaokrouhleno na tři desetinná místa)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Prostředky pro OKRUHY 1 až 5 víceletého finančního rámce CELKEM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0,750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3,750</w:t>
            </w:r>
          </w:p>
        </w:tc>
      </w:tr>
    </w:tbl>
    <w:p>
      <w:pP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bookmarkStart w:id="57" w:name="_Toc514938054"/>
      <w:bookmarkStart w:id="58" w:name="_Toc520485053"/>
      <w:r>
        <w:t>3.2.2.</w:t>
      </w:r>
      <w:r>
        <w:tab/>
      </w:r>
      <w:r>
        <w:rPr>
          <w:noProof/>
        </w:rPr>
        <w:t>Odhadovaný výstup financovaný z operačních prostředků</w:t>
      </w:r>
      <w:bookmarkEnd w:id="57"/>
      <w:bookmarkEnd w:id="58"/>
      <w:r>
        <w:rPr>
          <w:noProof/>
        </w:rPr>
        <w:t xml:space="preserve">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Prostředky na závazky v milionech EUR (zaokrouhleno na tři desetinná místa)</w:t>
      </w:r>
    </w:p>
    <w:tbl>
      <w:tblPr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12"/>
        <w:gridCol w:w="708"/>
        <w:gridCol w:w="900"/>
        <w:gridCol w:w="12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Uveďte cíle a výstupy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2019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2021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2022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2023</w:t>
            </w:r>
          </w:p>
        </w:tc>
        <w:tc>
          <w:tcPr>
            <w:tcW w:w="1620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CELKEM</w:t>
            </w:r>
          </w:p>
        </w:tc>
      </w:tr>
      <w:tr>
        <w:trPr>
          <w:gridAfter w:val="17"/>
          <w:wAfter w:w="9785" w:type="dxa"/>
          <w:trHeight w:val="465"/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Druh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Průměrné náklady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Celkový počet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 celkem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SPECIFICKÝ CÍL č. 1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– Přístup 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Roční</w:t>
            </w: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0,400</w:t>
            </w: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2,000</w:t>
            </w: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Odvětvový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Roční</w:t>
            </w: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0,350</w:t>
            </w: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1,750</w:t>
            </w: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Výstup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77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Mezisoučet za specifický cíl č.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SPECIFICKÝ CÍL č. 2…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Výstup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Mezisoučet za specifický cíl č.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CELKEM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0,750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3,750</w:t>
            </w:r>
          </w:p>
        </w:tc>
      </w:tr>
    </w:tbl>
    <w:p>
      <w:pPr>
        <w:rPr>
          <w:noProof/>
        </w:rPr>
        <w:sectPr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bookmarkStart w:id="59" w:name="_Toc514938055"/>
      <w:bookmarkStart w:id="60" w:name="_Toc520485054"/>
      <w:r>
        <w:lastRenderedPageBreak/>
        <w:t>3.2.3.</w:t>
      </w:r>
      <w:r>
        <w:tab/>
      </w:r>
      <w:r>
        <w:rPr>
          <w:noProof/>
        </w:rPr>
        <w:t>Odhadovaný souhrnný dopad na správní prostředky</w:t>
      </w:r>
      <w:bookmarkEnd w:id="59"/>
      <w:bookmarkEnd w:id="60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Návrh/podnět nevyžaduje využití prostředků správní povahy.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využití prostředků správní povahy, jak je vysvětleno dále: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milionech EUR (zaokrouhleno na tři desetinná místa)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sz w:val="16"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Vložit počet let podle trvání finančního dopadu (viz bod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OKRUH 5 víceletého finančního rámce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Ostatní správní výdaje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Mezisoučet za OKRUH 5 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Mimo OKRUH 5</w:t>
            </w:r>
            <w:r>
              <w:rPr>
                <w:rStyle w:val="FootnoteReference"/>
                <w:b/>
                <w:noProof/>
                <w:sz w:val="16"/>
              </w:rPr>
              <w:footnoteReference w:id="19"/>
            </w:r>
            <w:r>
              <w:rPr>
                <w:b/>
                <w:noProof/>
                <w:sz w:val="16"/>
              </w:rPr>
              <w:t xml:space="preserve"> víceletého finančního rámce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Ostatní správní výdaje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Mezisoučet mimo OKRUH 5 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>Potřebné prostředky na oblast lidských zdrojů a ostatní výdaje správní povahy budou pokryty z prostředků GŘ, které jsou již vyčleněny na řízení akce a/nebo byly vnitřně přerozděleny v rámci GŘ, a případně doplněny z dodatečného přídělu, který lze řídícímu GŘ poskytnout v rámci ročního přidělování a s ohledem na rozpočtová omezení.</w:t>
      </w:r>
    </w:p>
    <w:p>
      <w:pPr>
        <w:rPr>
          <w:noProof/>
          <w:sz w:val="18"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4"/>
        <w:rPr>
          <w:bCs/>
          <w:noProof/>
          <w:szCs w:val="24"/>
        </w:rPr>
      </w:pPr>
      <w:r>
        <w:lastRenderedPageBreak/>
        <w:t>3.2.3.1.</w:t>
      </w:r>
      <w:r>
        <w:tab/>
      </w:r>
      <w:r>
        <w:rPr>
          <w:noProof/>
        </w:rPr>
        <w:t xml:space="preserve">Odhadované potřeby v oblasti lidských zdrojů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Návrh/podnět nevyžaduje využití lidských zdrojů.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využití lidských zdrojů, jak je vysvětleno dále: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Odhad vyjádřete v přepočtu na plné pracovní úvazky</w:t>
      </w:r>
    </w:p>
    <w:tbl>
      <w:tblPr>
        <w:tblW w:w="9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376"/>
        <w:gridCol w:w="2378"/>
        <w:gridCol w:w="731"/>
        <w:gridCol w:w="731"/>
        <w:gridCol w:w="731"/>
        <w:gridCol w:w="731"/>
        <w:gridCol w:w="731"/>
        <w:gridCol w:w="731"/>
        <w:gridCol w:w="731"/>
      </w:tblGrid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Vložit počet let podle trvání finančního dopadu (viz bod 1.6)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600" w:type="dxa"/>
            <w:gridSpan w:val="9"/>
            <w:shd w:val="clear" w:color="auto" w:fill="auto"/>
          </w:tcPr>
          <w:p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Pracovní místa podle plánu pracovních míst (místa úředníků a dočasných zaměstnanců)</w:t>
            </w: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(v ústředí a v zastoupeních Komise)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(při delegacích)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01/11/21 (v nepřímém výzkumu)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01/11 (v přímém výzkumu)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48"/>
          <w:jc w:val="center"/>
        </w:trPr>
        <w:tc>
          <w:tcPr>
            <w:tcW w:w="600" w:type="dxa"/>
            <w:gridSpan w:val="10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Externí zaměstnanci (v přepočtu na plné pracovní úvazky: FTE)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(SZ, VNO, ZAP z celkového rámce)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(SZ, MZ, VNO, ZAP a MOD při delegacích)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 v ústředí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při delegacích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02/12/22 (SZ, VNO, ZAP v nepřímém výzkumu)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02/12 (SZ, VNO, ZAP v přímém výzkumu)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Jiné rozpočtové linie (upřesněte)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13" w:type="dxa"/>
          <w:trHeight w:val="289"/>
          <w:jc w:val="center"/>
        </w:trPr>
        <w:tc>
          <w:tcPr>
            <w:tcW w:w="39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je oblast politiky nebo dotčená hlava rozpočtu.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Potřeby v oblasti lidských zdrojů budou pokryty ze zdrojů GŘ, které jsou již vyčleněny na řízení akce a/nebo byly vnitřně přeobsazeny v rámci GŘ, a případně doplněny z dodatečného přídělu, který lze řídícímu GŘ poskytnout v rámci ročního přidělování a s ohledem na rozpočtová omezení.</w:t>
      </w:r>
    </w:p>
    <w:p>
      <w:pPr>
        <w:rPr>
          <w:noProof/>
          <w:sz w:val="20"/>
        </w:rPr>
      </w:pPr>
      <w:r>
        <w:rPr>
          <w:noProof/>
          <w:sz w:val="20"/>
        </w:rPr>
        <w:t>Popis úkolů: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Úředníci a dočasní zaměstnanci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</w:rPr>
              <w:t>Provádění protokolu (platby, přístup plavidel EU do vod Kapverd, zpracování oprávnění k rybolovu), příprava zasedání smíšeného výboru a následná opatření, příprava obnovení protokolu: externí hodnocení, legislativní postupy, jednání.</w:t>
            </w: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Externí zaměstnanci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</w:rPr>
              <w:t>Provádění protokolu: kontakty s orgány Kapverd za účelem přístupu plavidel Unie do kapverdských vod, příprava oprávnění k rybolovu a návazná opatření k zasedáním smíšeného výboru, zejména provádění odvětvové podpory.</w:t>
            </w: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noProof/>
        </w:rPr>
      </w:pPr>
      <w:bookmarkStart w:id="61" w:name="_Toc514938056"/>
      <w:bookmarkStart w:id="62" w:name="_Toc520485055"/>
      <w:r>
        <w:lastRenderedPageBreak/>
        <w:t>3.2.4.</w:t>
      </w:r>
      <w:r>
        <w:tab/>
      </w:r>
      <w:r>
        <w:rPr>
          <w:noProof/>
        </w:rPr>
        <w:t>Soulad se stávajícím víceletým finančním rámcem</w:t>
      </w:r>
      <w:bookmarkEnd w:id="61"/>
      <w:bookmarkEnd w:id="62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Návrh/podnět: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může být v plném rozsahu financován přerozdělením prostředků v rámci příslušného okruhu víceletého finančního rámce (VFR).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To se týká využití rezervy (kapitola 40).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vyžaduje použití nepřiděleného rozpětí v rámci příslušného okruhu VFR a/nebo použití zvláštních nástrojů definovaných v nařízení o VFR.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Upřesněte, co se požaduje, příslušné okruhy a rozpočtové položky, odpovídající částky a navrhované nástroje, které mají být použity.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vyžaduje revizi VFR.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Upřesněte potřebu, příslušné okruhy a rozpočtové položky a odpovídající částky.</w:t>
      </w:r>
    </w:p>
    <w:p>
      <w:pPr>
        <w:pStyle w:val="ManualHeading3"/>
        <w:rPr>
          <w:bCs/>
          <w:noProof/>
          <w:szCs w:val="24"/>
        </w:rPr>
      </w:pPr>
      <w:bookmarkStart w:id="63" w:name="_Toc514938058"/>
      <w:bookmarkStart w:id="64" w:name="_Toc520485056"/>
      <w:r>
        <w:t>3.2.5.</w:t>
      </w:r>
      <w:r>
        <w:tab/>
      </w:r>
      <w:r>
        <w:rPr>
          <w:noProof/>
        </w:rPr>
        <w:t>Příspěvky třetích stran</w:t>
      </w:r>
      <w:bookmarkEnd w:id="63"/>
      <w:bookmarkEnd w:id="64"/>
      <w:r>
        <w:rPr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Návrh/podnět: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nepočítá se spolufinancováním od třetích stran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počítá se spolufinancováním od třetích stran podle následujícího odhadu: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Prostředky v milionech EUR (zaokrouhleno na tři desetinná místa)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22"/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Vložit počet let podle trvání finančního dopadu (viz bod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Celkem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Upřesněte spolufinancující subjekt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Spolufinancované prostředky CELKEM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bookmarkStart w:id="65" w:name="_Toc514938059"/>
      <w:bookmarkStart w:id="66" w:name="_Toc520485057"/>
      <w:r>
        <w:t>3.3.</w:t>
      </w:r>
      <w:r>
        <w:tab/>
      </w:r>
      <w:r>
        <w:rPr>
          <w:noProof/>
        </w:rPr>
        <w:t>Odhadovaný dopad na příjmy</w:t>
      </w:r>
      <w:bookmarkEnd w:id="65"/>
      <w:bookmarkEnd w:id="66"/>
      <w:r>
        <w:rPr>
          <w:noProof/>
        </w:rPr>
        <w:t xml:space="preserve">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Návrh/podnět nemá žádný finanční dopad na příjmy.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má tento finanční dopad: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dopad na vlastní zdroje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na jiné příjmy</w:t>
      </w:r>
    </w:p>
    <w:p>
      <w:pPr>
        <w:pStyle w:val="ListNumberLevel3"/>
        <w:rPr>
          <w:noProof/>
        </w:rPr>
      </w:pPr>
      <w:r>
        <w:rPr>
          <w:noProof/>
        </w:rPr>
        <w:t>uveďte, zda je příjem účelově vázán na výdajové položky </w:t>
      </w:r>
      <w:r>
        <w:rPr>
          <w:noProof/>
        </w:rPr>
        <w:sym w:font="Wingdings" w:char="F0A8"/>
      </w:r>
      <w:r>
        <w:rPr>
          <w:noProof/>
        </w:rPr>
        <w:tab/>
      </w:r>
    </w:p>
    <w:p>
      <w:pPr>
        <w:ind w:left="4320"/>
        <w:rPr>
          <w:i/>
          <w:noProof/>
          <w:sz w:val="20"/>
        </w:rPr>
      </w:pPr>
      <w:r>
        <w:rPr>
          <w:noProof/>
        </w:rPr>
        <w:t xml:space="preserve">     v milionech EUR (zaokrouhleno na tři desetinná místa)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325"/>
        <w:gridCol w:w="1031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Příjmová rozpočtová položka: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Prostředky dostupné v běžném rozpočtovém roce</w:t>
            </w:r>
          </w:p>
        </w:tc>
        <w:tc>
          <w:tcPr>
            <w:tcW w:w="7151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Dopad návrhu/podnětu</w:t>
            </w:r>
            <w:r>
              <w:rPr>
                <w:rStyle w:val="FootnoteReference"/>
                <w:noProof/>
                <w:sz w:val="18"/>
              </w:rPr>
              <w:footnoteReference w:id="23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325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Vložit počet let podle trvání finančního dopadu (viz bod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Článek ………….</w:t>
            </w:r>
          </w:p>
        </w:tc>
        <w:tc>
          <w:tcPr>
            <w:tcW w:w="1325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31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U účelově vázaných příjmů upřesněte dotčenou výdajovou rozpočtovou položku (dotčené výdajové rozpočtové položky).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Jiné poznámky (např. způsob/vzorec výpočtu dopadu na příjmy nebo jiné údaje).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Úř. věst. L 414, 30.12.2006, s. 3.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107, 25.4.2007, s. 7.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Přijaty na zasedání Rady ve složení pro spravedlnost a vnitřní věci ve dnech 4. a 5. června 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Úř. věst. L 354, 28.12.2013, s. 22.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SWD (2018) 194 final, 16.5.2018.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V souladu s interinstitucionální dohodou o spolupráci v rozpočtových záležitostech (2013/C 373/01).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 2027/2006 ze dne 19. prosince 2006 o uzavření Dohody mezi Evropským společenstvím a Kapverdskou republikou o partnerství v odvětví rybolovu (Úř. věst. L 414, 30.12.2006, s. 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Úř. věst. L 414, 30.12.2006, s. 3.</w:t>
      </w:r>
    </w:p>
  </w:footnote>
  <w:footnote w:id="9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tab/>
        <w:t xml:space="preserve">Uvedené v čl. 58 odst. </w:t>
      </w:r>
      <w:r>
        <w:rPr>
          <w:lang w:val="pt-PT"/>
        </w:rPr>
        <w:t>2 písm. a) nebo b) finančního nařízení.</w:t>
      </w:r>
    </w:p>
  </w:footnote>
  <w:footnote w:id="10">
    <w:p>
      <w:pPr>
        <w:pStyle w:val="FootnoteText"/>
        <w:jc w:val="lef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Vysvětlení způsobů řízení spolu s odkazem na finanční nařízení jsou k dispozici na stránkách BudgWeb: </w:t>
      </w:r>
      <w:hyperlink r:id="rId1">
        <w:r>
          <w:rPr>
            <w:rStyle w:val="Hyperlink"/>
            <w:lang w:val="pt-PT"/>
          </w:rPr>
          <w:t>https://myintracomm.ec.europa.eu/budgweb/CS/man/budgmanag/Pages/budgmanag.aspx.</w:t>
        </w:r>
      </w:hyperlink>
      <w:r>
        <w:rPr>
          <w:lang w:val="pt-PT"/>
        </w:rPr>
        <w:t xml:space="preserve"> </w:t>
      </w:r>
    </w:p>
  </w:footnote>
  <w:footnote w:id="11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RP = rozlišené prostředky / NRP = nerozlišené prostředky.</w:t>
      </w:r>
    </w:p>
  </w:footnote>
  <w:footnote w:id="12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ESVO: Evropské sdružení volného obchodu. </w:t>
      </w:r>
    </w:p>
  </w:footnote>
  <w:footnote w:id="13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Kandidátské země a případně potenciální kandidátské země západního Balkánu.</w:t>
      </w:r>
    </w:p>
  </w:footnote>
  <w:footnote w:id="14">
    <w:p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8"/>
          <w:lang w:val="pt-PT"/>
        </w:rPr>
        <w:t>Podle oficiální rozpočtové nomenklatury.</w:t>
      </w:r>
    </w:p>
  </w:footnote>
  <w:footnote w:id="15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8"/>
          <w:lang w:val="pt-PT"/>
        </w:rPr>
        <w:t>Technická a/nebo administrativní pomoc a výdaje na podporu provádění programů a/nebo akcí EU (bývalé položky „BA“), nepřímý výzkum, přímý výzkum.</w:t>
      </w:r>
    </w:p>
  </w:footnote>
  <w:footnote w:id="16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Výstupy se rozumí produkty a služby, které mají být dodány (např.: počet financovaných studentských výměn, počet vybudovaných kilometrů silnic atd.).</w:t>
      </w:r>
    </w:p>
  </w:footnote>
  <w:footnote w:id="17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Popsaný v bodě 1.4.2. „Specifické cíle…“. </w:t>
      </w:r>
    </w:p>
  </w:footnote>
  <w:footnote w:id="18">
    <w:p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8"/>
          <w:lang w:val="pt-PT"/>
        </w:rPr>
        <w:t>Rokem N se rozumí rok, kdy se návrh/podnět začíná provádět. Výraz „N“ nahraďte předpokládaným prvním rokem provádění (například 2021). Totéž proveďte u let následujících.</w:t>
      </w:r>
    </w:p>
  </w:footnote>
  <w:footnote w:id="19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8"/>
          <w:lang w:val="pt-PT"/>
        </w:rPr>
        <w:t>Technická a/nebo administrativní pomoc a výdaje na podporu provádění programů a/nebo akcí EU (bývalé položky „BA“), nepřímý výzkum, přímý výzkum.</w:t>
      </w:r>
    </w:p>
  </w:footnote>
  <w:footnote w:id="20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SZ = smluvní zaměstnanec; MZ = místní zaměstnanec; VNO = vyslaný národní odborník; ZAP = zaměstnanec agentury práce; MOD = mladý odborník při delegaci. </w:t>
      </w:r>
    </w:p>
  </w:footnote>
  <w:footnote w:id="21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Dílčí strop na externí pracovníky z operačních prostředků (bývalé linie „BA“).</w:t>
      </w:r>
    </w:p>
  </w:footnote>
  <w:footnote w:id="2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Rokem N se rozumí rok, kdy se návrh/podnět začíná provádět. Výraz „N“ nahraďte předpokládaným prvním rokem provádění (například 2021). Totéž proveďte u let následujících.</w:t>
      </w:r>
    </w:p>
  </w:footnote>
  <w:footnote w:id="23">
    <w:p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Pokud jde o tradiční vlastní zdroje (cla, dávky z cukru), je třeba uvést čisté částky, tj. hrubé částky po odečtení 20 % nákladů na výběr.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7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8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4"/>
  </w:num>
  <w:num w:numId="6">
    <w:abstractNumId w:val="25"/>
  </w:num>
  <w:num w:numId="7">
    <w:abstractNumId w:val="22"/>
  </w:num>
  <w:num w:numId="8">
    <w:abstractNumId w:val="26"/>
  </w:num>
  <w:num w:numId="9">
    <w:abstractNumId w:val="2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21"/>
  </w:num>
  <w:num w:numId="19">
    <w:abstractNumId w:val="11"/>
  </w:num>
  <w:num w:numId="20">
    <w:abstractNumId w:val="24"/>
  </w:num>
  <w:num w:numId="21">
    <w:abstractNumId w:val="6"/>
  </w:num>
  <w:num w:numId="22">
    <w:abstractNumId w:val="12"/>
  </w:num>
  <w:num w:numId="23">
    <w:abstractNumId w:val="4"/>
  </w:num>
  <w:num w:numId="24">
    <w:abstractNumId w:val="23"/>
  </w:num>
  <w:num w:numId="25">
    <w:abstractNumId w:val="3"/>
  </w:num>
  <w:num w:numId="26">
    <w:abstractNumId w:val="13"/>
  </w:num>
  <w:num w:numId="27">
    <w:abstractNumId w:val="19"/>
  </w:num>
  <w:num w:numId="28">
    <w:abstractNumId w:val="20"/>
  </w:num>
  <w:num w:numId="29">
    <w:abstractNumId w:val="5"/>
  </w:num>
  <w:num w:numId="30">
    <w:abstractNumId w:val="17"/>
  </w:num>
  <w:num w:numId="31">
    <w:abstractNumId w:val="28"/>
  </w:num>
  <w:num w:numId="32">
    <w:abstractNumId w:val="21"/>
  </w:num>
  <w:num w:numId="33">
    <w:abstractNumId w:val="11"/>
  </w:num>
  <w:num w:numId="34">
    <w:abstractNumId w:val="24"/>
  </w:num>
  <w:num w:numId="35">
    <w:abstractNumId w:val="6"/>
  </w:num>
  <w:num w:numId="36">
    <w:abstractNumId w:val="12"/>
  </w:num>
  <w:num w:numId="37">
    <w:abstractNumId w:val="4"/>
  </w:num>
  <w:num w:numId="38">
    <w:abstractNumId w:val="23"/>
  </w:num>
  <w:num w:numId="39">
    <w:abstractNumId w:val="3"/>
  </w:num>
  <w:num w:numId="40">
    <w:abstractNumId w:val="13"/>
  </w:num>
  <w:num w:numId="41">
    <w:abstractNumId w:val="19"/>
  </w:num>
  <w:num w:numId="42">
    <w:abstractNumId w:val="20"/>
  </w:num>
  <w:num w:numId="43">
    <w:abstractNumId w:val="5"/>
  </w:num>
  <w:num w:numId="44">
    <w:abstractNumId w:val="17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3 14:24:4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330D33D-807E-47CA-96E2-F811D636F21C"/>
    <w:docVar w:name="LW_COVERPAGE_TYPE" w:val="1"/>
    <w:docVar w:name="LW_CROSSREFERENCE" w:val="&lt;UNUSED&gt;"/>
    <w:docVar w:name="LW_DocType" w:val="COM"/>
    <w:docVar w:name="LW_EMISSION" w:val="14.3.2019"/>
    <w:docVar w:name="LW_EMISSION_ISODATE" w:val="2019-03-14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1"/>
    <w:docVar w:name="LW_REF.II.NEW.CP_YEAR" w:val="2019"/>
    <w:docVar w:name="LW_REF.INST.NEW" w:val="COM"/>
    <w:docVar w:name="LW_REF.INST.NEW_ADOPTED" w:val="final"/>
    <w:docVar w:name="LW_REF.INST.NEW_TEXT" w:val="(2019) 1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podpisu jménem Unie a prozatímním uplat\u328?ování protokolu o provád\u283?ní Dohody mezi Evropskou unií a Kapverdskou republikou o partnerství v odv\u283?tví rybolovu (2019\u8211?2024)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cs-CZ" w:eastAsia="cs-CZ" w:bidi="cs-CZ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cs-CZ" w:eastAsia="cs-CZ" w:bidi="cs-CZ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cs-CZ" w:eastAsia="cs-CZ" w:bidi="cs-CZ"/>
    </w:rPr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cs-CZ" w:eastAsia="cs-CZ" w:bidi="cs-CZ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rPr>
      <w:rFonts w:eastAsia="Times New Roman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cs-CZ" w:eastAsia="cs-CZ" w:bidi="cs-CZ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cs-CZ" w:eastAsia="cs-CZ" w:bidi="cs-CZ"/>
    </w:rPr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3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82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myintracomm.ec.europa.eu/budgweb/FR/leg/internal/Documents/2016-5-legislative-financial-statement-ann-fr.docx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intracomm.ec.europa.eu/budgweb/CS/man/budgmanag/Pages/budgmanag.aspx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0942-50FF-4728-8983-D7B184F3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16</Pages>
  <Words>4129</Words>
  <Characters>24898</Characters>
  <Application>Microsoft Office Word</Application>
  <DocSecurity>0</DocSecurity>
  <Lines>1310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2018-12-06T13:51:00Z</cp:lastPrinted>
  <dcterms:created xsi:type="dcterms:W3CDTF">2019-02-18T07:54:00Z</dcterms:created>
  <dcterms:modified xsi:type="dcterms:W3CDTF">2019-03-13T13:24:00Z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