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7B58B27-9B20-4A02-8BBD-A5721DFB532C"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Η συμφωνία αλιευτικής σύμπραξης μεταξύ της Ευρωπαϊκής Κοινότητας και της Δημοκρατίας του Πράσινου Ακρωτηρίου</w:t>
      </w:r>
      <w:r>
        <w:rPr>
          <w:rStyle w:val="FootnoteReference"/>
          <w:noProof/>
        </w:rPr>
        <w:footnoteReference w:id="1"/>
      </w:r>
      <w:r>
        <w:rPr>
          <w:noProof/>
        </w:rPr>
        <w:t xml:space="preserve"> (εφεξής «η συμφωνία») άρχισε να ισχύει στις 30 Μαρτίου 2007</w:t>
      </w:r>
      <w:r>
        <w:rPr>
          <w:rStyle w:val="FootnoteReference"/>
          <w:noProof/>
        </w:rPr>
        <w:footnoteReference w:id="2"/>
      </w:r>
      <w:r>
        <w:rPr>
          <w:noProof/>
        </w:rPr>
        <w:t xml:space="preserve">. Το ισχύον πρωτόκολλο της συμφωνίας άρχισε να ισχύει την 23η Δεκεμβρίου 2014 και λήγει στις 22 Δεκεμβρίου 2018. </w:t>
      </w:r>
    </w:p>
    <w:p>
      <w:pPr>
        <w:pBdr>
          <w:top w:val="nil"/>
          <w:left w:val="nil"/>
          <w:bottom w:val="nil"/>
          <w:right w:val="nil"/>
          <w:between w:val="nil"/>
          <w:bar w:val="nil"/>
        </w:pBdr>
        <w:spacing w:before="0" w:after="240"/>
        <w:rPr>
          <w:rFonts w:eastAsia="Arial Unicode MS"/>
          <w:noProof/>
        </w:rPr>
      </w:pPr>
      <w:r>
        <w:rPr>
          <w:noProof/>
        </w:rPr>
        <w:t>Βάσει των σχετικών οδηγιών διαπραγμάτευσης</w:t>
      </w:r>
      <w:r>
        <w:rPr>
          <w:rStyle w:val="FootnoteReference"/>
          <w:noProof/>
        </w:rPr>
        <w:footnoteReference w:id="3"/>
      </w:r>
      <w:r>
        <w:rPr>
          <w:noProof/>
        </w:rPr>
        <w:t>, η Επιτροπή διεξήγαγε διαπραγματεύσεις με την κυβέρνηση της Δημοκρατίας του Πράσινου Ακρωτηρίου (εφεξής «Πράσινο Ακρωτήριο») με σκοπό τη σύναψη νέου πρωτοκόλλου της συμφωνίας. Μετά το πέρας των διαπραγματεύσεων, μονογραφήθηκε νέο πρωτόκολλο στις 12 Οκτωβρίου 2018. Το πρωτόκολλο καλύπτει περίοδο πέντε ετών από την ημερομηνία έναρξης της προσωρινής του εφαρμογής, ήτοι από την ημερομηνία της υπογραφής του, όπως αναφέρεται στο άρθρο 15.</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Συνέπεια με τις ισχύουσες διατάξεις στον τομέα πολιτικής</w:t>
      </w:r>
    </w:p>
    <w:p>
      <w:pPr>
        <w:pBdr>
          <w:top w:val="nil"/>
          <w:left w:val="nil"/>
          <w:bottom w:val="nil"/>
          <w:right w:val="nil"/>
          <w:between w:val="nil"/>
          <w:bar w:val="nil"/>
        </w:pBdr>
        <w:spacing w:before="0"/>
        <w:rPr>
          <w:noProof/>
        </w:rPr>
      </w:pPr>
      <w:r>
        <w:rPr>
          <w:noProof/>
        </w:rPr>
        <w:t>Σύμφωνα με τις προτεραιότητες της μεταρρύθμισης της αλιευτικής πολιτικής</w:t>
      </w:r>
      <w:r>
        <w:rPr>
          <w:rStyle w:val="FootnoteReference"/>
          <w:noProof/>
        </w:rPr>
        <w:footnoteReference w:id="4"/>
      </w:r>
      <w:r>
        <w:rPr>
          <w:noProof/>
        </w:rPr>
        <w:t xml:space="preserve">, το νέο πρωτόκολλο παρέχει αλιευτικές δυνατότητες για τα ενωσιακά σκάφη στα ύδατα του Πράσινου Ακρωτηρίου, με βάση τις βέλτιστες διαθέσιμες επιστημονικές γνωμοδοτήσεις και σύμφωνα με τις συστάσεις της Διεθνούς Επιτροπής για τη Διατήρηση των Θυννοειδών του Ατλαντικού (ICCAT). Στο νέο αυτό πρωτόκολλο λαμβάνονται υπόψη τα αποτελέσματα της αξιολόγησης του προηγούμενου πρωτοκόλλου (2014-2018) και της αξιολόγησης των προοπτικών σχετικά με το ενδεχόμενο σύναψης νέου πρωτοκόλλου. Και οι δύο αξιολογήσεις πραγματοποιήθηκαν από εξωτερικούς εμπειρογνώμονες. Το πρωτόκολλο θα επιτρέψει επίσης στην Ευρωπαϊκή Ένωση και στο Πράσινο Ακρωτήριο να συνεργαστούν στενότερα με σκοπό την προώθηση της υπεύθυνης εκμετάλλευσης των αλιευτικών πόρων στα ύδατα του Πράσινου Ακρωτηρίου και τη στήριξη των προσπαθειών του Πράσινου Ακρωτηρίου για την ανάπτυξη της γαλάζιας οικονομίας του, προς το συμφέρον αμφοτέρων των μερών. </w:t>
      </w:r>
    </w:p>
    <w:p>
      <w:pPr>
        <w:pBdr>
          <w:top w:val="nil"/>
          <w:left w:val="nil"/>
          <w:bottom w:val="nil"/>
          <w:right w:val="nil"/>
          <w:between w:val="nil"/>
          <w:bar w:val="nil"/>
        </w:pBdr>
        <w:spacing w:before="0"/>
        <w:rPr>
          <w:noProof/>
        </w:rPr>
      </w:pPr>
      <w:r>
        <w:rPr>
          <w:noProof/>
        </w:rPr>
        <w:t>Το πρωτόκολλο προβλέπει αλιευτικές δυνατότητες στις εξής κατηγορίες:</w:t>
      </w:r>
    </w:p>
    <w:p>
      <w:pPr>
        <w:pBdr>
          <w:top w:val="nil"/>
          <w:left w:val="nil"/>
          <w:bottom w:val="nil"/>
          <w:right w:val="nil"/>
          <w:between w:val="nil"/>
          <w:bar w:val="nil"/>
        </w:pBdr>
        <w:spacing w:before="0"/>
        <w:rPr>
          <w:noProof/>
        </w:rPr>
      </w:pPr>
      <w:r>
        <w:rPr>
          <w:noProof/>
        </w:rPr>
        <w:t>28 θυνναλιευτικά γρι-γρι με εγκαταστάσεις κατάψυξης·</w:t>
      </w:r>
    </w:p>
    <w:p>
      <w:pPr>
        <w:pBdr>
          <w:top w:val="nil"/>
          <w:left w:val="nil"/>
          <w:bottom w:val="nil"/>
          <w:right w:val="nil"/>
          <w:between w:val="nil"/>
          <w:bar w:val="nil"/>
        </w:pBdr>
        <w:spacing w:before="0"/>
        <w:rPr>
          <w:noProof/>
        </w:rPr>
      </w:pPr>
      <w:r>
        <w:rPr>
          <w:noProof/>
        </w:rPr>
        <w:t>27 παραγαδιάρικα επιφανείας·</w:t>
      </w:r>
    </w:p>
    <w:p>
      <w:pPr>
        <w:pBdr>
          <w:top w:val="nil"/>
          <w:left w:val="nil"/>
          <w:bottom w:val="nil"/>
          <w:right w:val="nil"/>
          <w:between w:val="nil"/>
          <w:bar w:val="nil"/>
        </w:pBdr>
        <w:spacing w:before="0" w:after="240"/>
        <w:rPr>
          <w:rFonts w:eastAsia="Arial Unicode MS"/>
          <w:noProof/>
        </w:rPr>
      </w:pPr>
      <w:r>
        <w:rPr>
          <w:noProof/>
        </w:rPr>
        <w:t>14 θυνναλιευτικά με καλάμι.</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Συνέπεια με άλλες πολιτικές της Ένωσης</w:t>
      </w:r>
    </w:p>
    <w:p>
      <w:pPr>
        <w:pBdr>
          <w:top w:val="nil"/>
          <w:left w:val="nil"/>
          <w:bottom w:val="nil"/>
          <w:right w:val="nil"/>
          <w:between w:val="nil"/>
          <w:bar w:val="nil"/>
        </w:pBdr>
        <w:spacing w:before="0" w:after="240"/>
        <w:rPr>
          <w:noProof/>
        </w:rPr>
      </w:pPr>
      <w:r>
        <w:rPr>
          <w:noProof/>
        </w:rPr>
        <w:t>Η διαπραγμάτευση νέου πρωτοκόλλου της συμφωνίας αλιευτικής σύμπραξης με το Πράσινο Ακρωτήριο εντάσσεται στο πλαίσιο της εξωτερικής δράσης της Ένωσης έναντι των χωρών ΑΚΕ και λαμβάνει ιδίως υπόψη τους στόχους της ΕΕ σχετικά με τον σεβασμό των δημοκρατικών αρχών και των ανθρωπίνων δικαιωμάτων.</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keepNext/>
        <w:rPr>
          <w:noProof/>
          <w:sz w:val="22"/>
        </w:rPr>
      </w:pPr>
      <w:r>
        <w:rPr>
          <w:noProof/>
        </w:rPr>
        <w:t xml:space="preserve">Η νομική βάση που έχει επιλεγεί είναι η Συνθήκη για τη λειτουργία της Ευρωπαϊκής Ένωσης, της οποίας το άρθρο 43 παράγραφος 2 θεσπίζει την κοινή αλιευτική πολιτική και το άρθρο 218 παράγραφος 5 θεσπίζει το στάδιο που αφορά τη διαδικασία διαπραγμάτευσης και σύναψης συμφωνιών μεταξύ της Ένωσης και τρίτων χωρών. </w:t>
      </w:r>
    </w:p>
    <w:p>
      <w:pPr>
        <w:pStyle w:val="ManualHeading2"/>
        <w:rPr>
          <w:rFonts w:eastAsia="Arial Unicode MS"/>
          <w:noProof/>
          <w:u w:color="000000"/>
          <w:bdr w:val="nil"/>
        </w:rPr>
      </w:pPr>
      <w:r>
        <w:rPr>
          <w:noProof/>
        </w:rPr>
        <w:t>•</w:t>
      </w:r>
      <w:r>
        <w:rPr>
          <w:noProof/>
        </w:rPr>
        <w:tab/>
        <w:t>Επικουρικότητα (σε περίπτωση μη αποκλειστικής αρμοδιότητας)</w:t>
      </w:r>
    </w:p>
    <w:p>
      <w:pPr>
        <w:keepNext/>
        <w:rPr>
          <w:noProof/>
          <w:sz w:val="22"/>
        </w:rPr>
      </w:pPr>
      <w:r>
        <w:rPr>
          <w:noProof/>
        </w:rPr>
        <w:t>Η πρόταση εμπίπτει στην αποκλειστική αρμοδιότητα της Ευρωπαϊκής Ένωσης.</w:t>
      </w:r>
    </w:p>
    <w:p>
      <w:pPr>
        <w:pStyle w:val="ManualHeading2"/>
        <w:rPr>
          <w:rFonts w:eastAsia="Arial Unicode MS"/>
          <w:noProof/>
          <w:u w:color="000000"/>
          <w:bdr w:val="nil"/>
        </w:rPr>
      </w:pPr>
      <w:r>
        <w:rPr>
          <w:noProof/>
        </w:rPr>
        <w:t>•</w:t>
      </w:r>
      <w:r>
        <w:rPr>
          <w:noProof/>
        </w:rPr>
        <w:tab/>
        <w:t>Αναλογικότητα</w:t>
      </w:r>
    </w:p>
    <w:p>
      <w:pPr>
        <w:keepNext/>
        <w:rPr>
          <w:noProof/>
          <w:sz w:val="22"/>
        </w:rPr>
      </w:pPr>
      <w:r>
        <w:rPr>
          <w:noProof/>
        </w:rPr>
        <w:t xml:space="preserve">Η πρόταση είναι αναλογική προς τον επιδιωκόμενο στόχο, που συνίσταται στο να καθοριστεί νομικό, περιβαλλοντικό, οικονομικό και κοινωνικό πλαίσιο διακυβέρνησης για τις αλιευτικές δραστηριότητες των σκαφών της Ένωσης σε ύδατα τρίτων χωρών, όπως ορίζεται στο άρθρο 31 του κανονισμού σχετικά με την κοινή αλιευτική πολιτική. Συμμορφώνεται με τις διατάξεις αυτές, καθώς και με τις διατάξεις που αφορούν τη χρηματοδοτική συνδρομή προς τρίτες χώρες οι οποίες καθορίζονται στο άρθρο 32 του ίδιου κανονισμού.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pPr>
        <w:rPr>
          <w:noProof/>
        </w:rPr>
      </w:pPr>
      <w:r>
        <w:rPr>
          <w:noProof/>
        </w:rPr>
        <w:t>Η Επιτροπή διενήργησε το 2018 εκ των υστέρων αξιολόγηση του ισχύοντος πρωτοκόλλου της συμφωνίας αλιευτικής σύμπραξης με το Πράσινο Ακρωτήριο, καθώς και εκ των προτέρων αξιολόγηση ενδεχόμενης ανανέωσης του πρωτοκόλλου. Τα συμπεράσματα της αξιολόγησης παρατίθενται σε χωριστό έγγραφο εργασίας των υπηρεσιών της Επιτροπής</w:t>
      </w:r>
      <w:r>
        <w:rPr>
          <w:rStyle w:val="FootnoteReference"/>
          <w:noProof/>
        </w:rPr>
        <w:footnoteReference w:id="5"/>
      </w:r>
      <w:r>
        <w:rPr>
          <w:noProof/>
        </w:rPr>
        <w:t>.</w:t>
      </w:r>
    </w:p>
    <w:p>
      <w:pPr>
        <w:rPr>
          <w:noProof/>
        </w:rPr>
      </w:pPr>
      <w:r>
        <w:rPr>
          <w:noProof/>
        </w:rPr>
        <w:t>Η αξιολόγηση κατέληξε στο συμπέρασμα ότι υπάρχει έντονο ενδιαφέρον από την πλευρά του ενωσιακού τομέα αλιείας τόνου για αλιευτικές δραστηριότητες στο Πράσινο Ακρωτήριο και ότι η ανανέωση του πρωτοκόλλου θα συνέβαλλε στην ενίσχυση της παρακολούθησης, του ελέγχου και της επιτήρησης, καθώς και στη βελτίωση της διακυβέρνησης της αλιείας στην περιοχή. Η σημασία του Mindelo (νήσος Sao Vicente) ως ενός από τους κύριους λιμένες εκφόρτωσης και τόπους μεταποίησης στην Δυτική Αφρική συμβάλλει στη συνάφεια του προβλεπόμενου νέου πρωτοκόλλου, τόσο για τον ενωσιακό κλάδο αλιείας τόνου όσο και για τη χώρα εταίρο.</w:t>
      </w:r>
    </w:p>
    <w:p>
      <w:pPr>
        <w:pStyle w:val="ManualHeading2"/>
        <w:rPr>
          <w:rFonts w:eastAsia="Arial Unicode MS"/>
          <w:noProof/>
          <w:u w:color="000000"/>
          <w:bdr w:val="nil"/>
        </w:rPr>
      </w:pPr>
      <w:r>
        <w:rPr>
          <w:noProof/>
        </w:rPr>
        <w:t>•</w:t>
      </w:r>
      <w:r>
        <w:rPr>
          <w:noProof/>
        </w:rPr>
        <w:tab/>
        <w:t>Διαβούλευση με τα ενδιαφερόμενα μέρη</w:t>
      </w:r>
    </w:p>
    <w:p>
      <w:pPr>
        <w:pBdr>
          <w:top w:val="nil"/>
          <w:left w:val="nil"/>
          <w:bottom w:val="nil"/>
          <w:right w:val="nil"/>
          <w:between w:val="nil"/>
          <w:bar w:val="nil"/>
        </w:pBdr>
        <w:spacing w:before="0" w:after="240"/>
        <w:rPr>
          <w:rFonts w:eastAsia="Arial Unicode MS"/>
          <w:noProof/>
        </w:rPr>
      </w:pPr>
      <w:r>
        <w:rPr>
          <w:noProof/>
        </w:rPr>
        <w:t>Στο πλαίσιο της αξιολόγησης ζητήθηκε η γνώμη των κρατών μελών, εκπροσώπων του κλάδου, διεθνών οργανώσεων της κοινωνίας των πολιτών, καθώς και των αλιευτικών αρχών και εκπροσώπων της κοινωνίας των πολιτών του Πράσινου Ακρωτηρίου. Πραγματοποιήθηκαν επίσης διαβουλεύσεις στο πλαίσιο του γνωμοδοτικού συμβουλίου για την υπερπόντια αλιεία.</w:t>
      </w:r>
    </w:p>
    <w:p>
      <w:pPr>
        <w:pStyle w:val="ManualHeading2"/>
        <w:rPr>
          <w:rFonts w:eastAsia="Arial Unicode MS"/>
          <w:noProof/>
          <w:u w:color="000000"/>
          <w:bdr w:val="nil"/>
        </w:rPr>
      </w:pPr>
      <w:r>
        <w:rPr>
          <w:noProof/>
        </w:rPr>
        <w:t>•</w:t>
      </w:r>
      <w:r>
        <w:rPr>
          <w:noProof/>
        </w:rPr>
        <w:tab/>
        <w:t>Συλλογή και χρήση εμπειρογνωσίας</w:t>
      </w:r>
    </w:p>
    <w:p>
      <w:pPr>
        <w:spacing w:before="0" w:after="240"/>
        <w:rPr>
          <w:noProof/>
        </w:rPr>
      </w:pPr>
      <w:r>
        <w:rPr>
          <w:noProof/>
        </w:rPr>
        <w:t xml:space="preserve">Η Επιτροπή προσέφυγε σε εξωτερικό σύμβουλο για τις εκ των υστέρων και εκ των προτέρων αξιολογήσεις, σύμφωνα με τις διατάξεις του άρθρου 31 παράγραφος 10 του κανονισμού για την κοινή αλιευτική πολιτική. </w:t>
      </w:r>
    </w:p>
    <w:p>
      <w:pPr>
        <w:pStyle w:val="ManualHeading1"/>
        <w:rPr>
          <w:noProof/>
        </w:rPr>
      </w:pPr>
      <w:r>
        <w:rPr>
          <w:noProof/>
        </w:rPr>
        <w:t>4.</w:t>
      </w:r>
      <w:r>
        <w:rPr>
          <w:noProof/>
        </w:rPr>
        <w:tab/>
        <w:t>ΔΗΜΟΣΙΟΝΟΜΙΚΕΣ ΕΠΙΠΤΩΣΕΙΣ</w:t>
      </w:r>
    </w:p>
    <w:p>
      <w:pPr>
        <w:rPr>
          <w:noProof/>
        </w:rPr>
      </w:pPr>
      <w:r>
        <w:rPr>
          <w:noProof/>
        </w:rPr>
        <w:t>Η ετήσια χρηματική αντιπαροχή της Ευρωπαϊκής Ένωσης ανέρχεται σε 750 000 EUR, με βάση:</w:t>
      </w:r>
    </w:p>
    <w:p>
      <w:pPr>
        <w:rPr>
          <w:noProof/>
        </w:rPr>
      </w:pPr>
      <w:r>
        <w:rPr>
          <w:noProof/>
        </w:rPr>
        <w:t xml:space="preserve">α) βάρος αναφοράς 8 000 τόνων ετησίως, για το οποίο ορίστηκε ποσό σχετικά με την πρόσβαση ύψους 400 000 EUR ετησίως για ολόκληρη τη διάρκεια του πρωτοκόλλου. </w:t>
      </w:r>
    </w:p>
    <w:p>
      <w:pPr>
        <w:rPr>
          <w:noProof/>
        </w:rPr>
      </w:pPr>
      <w:r>
        <w:rPr>
          <w:noProof/>
        </w:rPr>
        <w:t>β) τη στήριξη για την ανάπτυξη της τομεακής αλιευτικής πολιτικής και της γαλάζιας οικονομίας του Πράσινου Ακρωτηρίου με το ποσό των 350 000 EUR ετησίως καθ’ όλη τη διάρκεια του πρωτοκόλλου. Η εν λόγω στήριξη ανταποκρίνεται στους στόχους της εθνικής πολιτικής στον τομέα της βιώσιμης διαχείρισης των αλιευτικών πόρων εσωτερικών υδάτων και των θαλάσσιων αλιευτικών πόρων του Πράσινου Ακρωτηρίου καθ’ όλη τη διάρκεια του πρωτοκόλλου.</w:t>
      </w:r>
    </w:p>
    <w:p>
      <w:pPr>
        <w:rPr>
          <w:noProof/>
        </w:rPr>
      </w:pPr>
      <w:r>
        <w:rPr>
          <w:noProof/>
        </w:rPr>
        <w:t>Το ετήσιο ποσό για τις πιστώσεις ανάληψης υποχρεώσεων και πληρωμών καθορίζεται στην ετήσια διαδικασία του προϋπολογισμού, συμπεριλαμβανομένης της γραμμής του αποθεματικού για τα πρωτόκολλα που δεν έχουν ακόμη τεθεί σε ισχύ στις αρχές του έτους</w:t>
      </w:r>
      <w:r>
        <w:rPr>
          <w:rStyle w:val="FootnoteReference"/>
          <w:noProof/>
        </w:rPr>
        <w:footnoteReference w:id="6"/>
      </w:r>
      <w:r>
        <w:rPr>
          <w:noProof/>
        </w:rPr>
        <w:t>.</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rPr>
          <w:noProof/>
        </w:rPr>
      </w:pPr>
      <w:r>
        <w:rPr>
          <w:noProof/>
        </w:rPr>
        <w:t>Οι λεπτομέρειες της παρακολούθησης καθορίζονται στο πρωτόκολλο.</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2019/0071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την υπογραφή, εξ ονόματος της Ένωσης, και την προσωρινή εφαρμογή του πρωτοκόλλου σχετικά με την εφαρμογή της συμφωνίας αλιευτικής σύμπραξης μεταξύ της Ευρωπαϊκής Κοινότητας και της Δημοκρατίας του Πράσινου Ακρωτηρίου (2019-2024)</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 παράγραφος 2, σε συνδυασμό με το άρθρο 218 παράγραφος 5,</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Στις 19 Δεκεμβρίου 2006, το Συμβούλιο εξέδωσε τον κανονισμό (ΕΚ) αριθ. 2027/2006</w:t>
      </w:r>
      <w:r>
        <w:rPr>
          <w:rStyle w:val="FootnoteReference"/>
          <w:noProof/>
        </w:rPr>
        <w:footnoteReference w:id="7"/>
      </w:r>
      <w:r>
        <w:rPr>
          <w:noProof/>
        </w:rPr>
        <w:t xml:space="preserve"> σχετικά με τη σύναψη της συμφωνίας αλιευτικής σύμπραξης μεταξύ της Ευρωπαϊκής Κοινότητας και της Δημοκρατίας του Πράσινου Ακρωτηρίου (εφεξής «η συμφωνία»)</w:t>
      </w:r>
      <w:r>
        <w:rPr>
          <w:rStyle w:val="FootnoteReference"/>
          <w:noProof/>
        </w:rPr>
        <w:footnoteReference w:id="8"/>
      </w:r>
      <w:r>
        <w:rPr>
          <w:noProof/>
        </w:rPr>
        <w:t>, συμφωνία η οποία άρχισε να ισχύει στις 30 Μαρτίου 2007 και στη συνέχεια παρατάθηκε σιωπηρά.</w:t>
      </w:r>
    </w:p>
    <w:p>
      <w:pPr>
        <w:pStyle w:val="ManualConsidrant"/>
        <w:rPr>
          <w:noProof/>
        </w:rPr>
      </w:pPr>
      <w:r>
        <w:t>(2)</w:t>
      </w:r>
      <w:r>
        <w:tab/>
      </w:r>
      <w:r>
        <w:rPr>
          <w:noProof/>
        </w:rPr>
        <w:t>Το τελευταίο πρωτόκολλο της συμφωνίας λήγει στις 22 Δεκεμβρίου 2018.</w:t>
      </w:r>
    </w:p>
    <w:p>
      <w:pPr>
        <w:pStyle w:val="ManualConsidrant"/>
        <w:rPr>
          <w:noProof/>
        </w:rPr>
      </w:pPr>
      <w:r>
        <w:t>(3)</w:t>
      </w:r>
      <w:r>
        <w:tab/>
      </w:r>
      <w:r>
        <w:rPr>
          <w:noProof/>
        </w:rPr>
        <w:t>Η Επιτροπή διαπραγματεύθηκε, εξ ονόματος της Ευρωπαϊκής Ένωσης, νέο πρωτόκολλο σχετικά με την εφαρμογή της συμφωνίας (εφεξής το «πρωτόκολλο»). Αποτέλεσμα των διαπραγματεύσεων αυτών ήταν η μονογράφηση του πρωτοκόλλου στις 12 Οκτωβρίου 2018.</w:t>
      </w:r>
    </w:p>
    <w:p>
      <w:pPr>
        <w:pStyle w:val="ManualConsidrant"/>
        <w:rPr>
          <w:noProof/>
        </w:rPr>
      </w:pPr>
      <w:r>
        <w:t>(4)</w:t>
      </w:r>
      <w:r>
        <w:tab/>
      </w:r>
      <w:r>
        <w:rPr>
          <w:noProof/>
        </w:rPr>
        <w:t>Στόχος του πρωτοκόλλου είναι να δοθεί η δυνατότητα στην Ευρωπαϊκή Ένωση και στη Δημοκρατία του Πράσινου Ακρωτηρίου να συνεργαστούν πιο στενά με σκοπό την προώθηση βιώσιμης αλιευτικής πολιτικής, της υπεύθυνης εκμετάλλευσης των αλιευτικών πόρων στα ύδατα του Πράσινου Ακρωτηρίου και των προσπαθειών του Πράσινου Ακρωτηρίου για την ανάπτυξη γαλάζιας οικονομίας.</w:t>
      </w:r>
    </w:p>
    <w:p>
      <w:pPr>
        <w:pStyle w:val="ManualConsidrant"/>
        <w:rPr>
          <w:noProof/>
        </w:rPr>
      </w:pPr>
      <w:r>
        <w:t>(5)</w:t>
      </w:r>
      <w:r>
        <w:tab/>
      </w:r>
      <w:r>
        <w:rPr>
          <w:noProof/>
        </w:rPr>
        <w:t>Συνεπώς, θα πρέπει να εγκριθεί η υπογραφή του πρωτοκόλλου, με την επιφύλαξη της σύναψής του σε μεταγενέστερη ημερομηνία.</w:t>
      </w:r>
    </w:p>
    <w:p>
      <w:pPr>
        <w:pStyle w:val="ManualConsidrant"/>
        <w:rPr>
          <w:noProof/>
        </w:rPr>
      </w:pPr>
      <w:r>
        <w:t>(6)</w:t>
      </w:r>
      <w:r>
        <w:tab/>
      </w:r>
      <w:r>
        <w:rPr>
          <w:noProof/>
        </w:rPr>
        <w:t>Για να διασφαλιστεί η ταχεία έναρξη των αλιευτικών δραστηριοτήτων των ενωσιακών σκαφών, το πρωτόκολλο θα πρέπει να εφαρμόζεται προσωρινά από την ημερομηνία υπογραφής του, εν αναμονή της έναρξης ισχύος του,</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υπογραφή του πρωτοκόλλου σχετικά με την εφαρμογή της συμφωνίας αλιευτικής σύμπραξης μεταξύ της Ευρωπαϊκής Κοινότητας και της Δημοκρατίας του Πράσινου Ακρωτηρίου (2019-2024) (εφεξής «το πρωτόκολλο») εγκρίνεται από την Ένωση με την επιφύλαξη της σύναψης του εν λόγω πρωτοκόλλου.</w:t>
      </w:r>
    </w:p>
    <w:p>
      <w:pPr>
        <w:rPr>
          <w:noProof/>
        </w:rPr>
      </w:pPr>
      <w:r>
        <w:rPr>
          <w:noProof/>
        </w:rPr>
        <w:t>Το κείμενο του πρωτοκόλλου επισυνάπτεται στην παρούσα απόφαση.</w:t>
      </w:r>
    </w:p>
    <w:p>
      <w:pPr>
        <w:pStyle w:val="Titrearticle"/>
        <w:rPr>
          <w:noProof/>
        </w:rPr>
      </w:pPr>
      <w:r>
        <w:rPr>
          <w:noProof/>
        </w:rPr>
        <w:t xml:space="preserve">Άρθρο 2 </w:t>
      </w:r>
    </w:p>
    <w:p>
      <w:pPr>
        <w:rPr>
          <w:noProof/>
        </w:rPr>
      </w:pPr>
      <w:r>
        <w:rPr>
          <w:noProof/>
        </w:rPr>
        <w:t xml:space="preserve">Η Γενική Γραμματεία του Συμβουλίου καταρτίζει την πράξη εξουσιοδότησης του προσώπου ή των προσώπων που θα ορίσει ο διαπραγματευτής του πρωτοκόλλου για την υπογραφή του πρωτοκόλλου, με την επιφύλαξη της σύναψής του. </w:t>
      </w:r>
    </w:p>
    <w:p>
      <w:pPr>
        <w:pStyle w:val="Titrearticle"/>
        <w:rPr>
          <w:noProof/>
        </w:rPr>
      </w:pPr>
      <w:r>
        <w:rPr>
          <w:noProof/>
        </w:rPr>
        <w:t>Άρθρο 3</w:t>
      </w:r>
    </w:p>
    <w:p>
      <w:pPr>
        <w:keepNext/>
        <w:rPr>
          <w:noProof/>
        </w:rPr>
      </w:pPr>
      <w:r>
        <w:rPr>
          <w:noProof/>
        </w:rPr>
        <w:t>Το πρωτόκολλο εφαρμόζεται προσωρινά, σύμφωνα με το άρθρο 15 του πρωτοκόλλου, από την ημερομηνία της υπογραφής του, ενόσω εκκρεμεί η έναρξη ισχύος του.</w:t>
      </w:r>
    </w:p>
    <w:p>
      <w:pPr>
        <w:pStyle w:val="Titrearticle"/>
        <w:rPr>
          <w:noProof/>
        </w:rPr>
      </w:pPr>
      <w:r>
        <w:rPr>
          <w:noProof/>
        </w:rPr>
        <w:t>Άρθρο 4</w:t>
      </w:r>
    </w:p>
    <w:p>
      <w:pPr>
        <w:keepNext/>
        <w:rPr>
          <w:noProof/>
        </w:rPr>
      </w:pPr>
      <w:r>
        <w:rPr>
          <w:noProof/>
        </w:rPr>
        <w:t xml:space="preserve">Η παρούσα απόφαση αρχίζει να ισχύει την επομένη της δημοσίευσή της στην </w:t>
      </w:r>
      <w:r>
        <w:rPr>
          <w:i/>
          <w:noProof/>
        </w:rPr>
        <w:t>Επίσημη Εφημερίδα της Ευρωπαϊκής Ένωσης</w:t>
      </w:r>
      <w:r>
        <w:rPr>
          <w:noProof/>
        </w:rPr>
        <w:t>.</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Σχετικοί τομείς πολιτικής</w:t>
      </w:r>
    </w:p>
    <w:p>
      <w:pPr>
        <w:pStyle w:val="ManualHeading2"/>
        <w:rPr>
          <w:b w:val="0"/>
          <w:noProof/>
        </w:rPr>
      </w:pPr>
      <w:r>
        <w:rPr>
          <w:noProof/>
        </w:rPr>
        <w:tab/>
      </w:r>
      <w:r>
        <w:rPr>
          <w:b w:val="0"/>
          <w:noProof/>
        </w:rPr>
        <w:t>1.3.</w:t>
      </w:r>
      <w:r>
        <w:rPr>
          <w:noProof/>
        </w:rPr>
        <w:tab/>
      </w:r>
      <w:r>
        <w:rPr>
          <w:b w:val="0"/>
          <w:noProof/>
        </w:rPr>
        <w:t xml:space="preserve">Η πρόταση/πρωτοβουλία αφορά: </w:t>
      </w:r>
    </w:p>
    <w:p>
      <w:pPr>
        <w:pStyle w:val="ManualHeading2"/>
        <w:rPr>
          <w:b w:val="0"/>
          <w:noProof/>
        </w:rPr>
      </w:pPr>
      <w:r>
        <w:rPr>
          <w:noProof/>
        </w:rPr>
        <w:tab/>
      </w:r>
      <w:r>
        <w:rPr>
          <w:b w:val="0"/>
          <w:noProof/>
        </w:rPr>
        <w:t>1.4.</w:t>
      </w:r>
      <w:r>
        <w:rPr>
          <w:noProof/>
        </w:rPr>
        <w:tab/>
      </w:r>
      <w:r>
        <w:rPr>
          <w:b w:val="0"/>
          <w:noProof/>
        </w:rPr>
        <w:t xml:space="preserve">Στόχοι </w:t>
      </w:r>
    </w:p>
    <w:p>
      <w:pPr>
        <w:pStyle w:val="ManualHeading3"/>
        <w:rPr>
          <w:noProof/>
        </w:rPr>
      </w:pPr>
      <w:r>
        <w:rPr>
          <w:noProof/>
        </w:rPr>
        <w:tab/>
        <w:t>1.4.1.</w:t>
      </w:r>
      <w:r>
        <w:rPr>
          <w:noProof/>
        </w:rPr>
        <w:tab/>
        <w:t>Γενικοί στόχοι</w:t>
      </w:r>
    </w:p>
    <w:p>
      <w:pPr>
        <w:pStyle w:val="ManualHeading3"/>
        <w:rPr>
          <w:noProof/>
        </w:rPr>
      </w:pPr>
      <w:r>
        <w:rPr>
          <w:noProof/>
        </w:rPr>
        <w:tab/>
        <w:t>1.4.2.</w:t>
      </w:r>
      <w:r>
        <w:rPr>
          <w:noProof/>
        </w:rPr>
        <w:tab/>
        <w:t>Ειδικοί στόχοι</w:t>
      </w:r>
    </w:p>
    <w:p>
      <w:pPr>
        <w:pStyle w:val="ManualHeading3"/>
        <w:rPr>
          <w:noProof/>
        </w:rPr>
      </w:pPr>
      <w:r>
        <w:rPr>
          <w:noProof/>
        </w:rPr>
        <w:tab/>
        <w:t>1.4.3.</w:t>
      </w:r>
      <w:r>
        <w:rPr>
          <w:noProof/>
        </w:rPr>
        <w:tab/>
        <w:t>Αναμενόμενα αποτελέσματα και επιπτώσεις</w:t>
      </w:r>
    </w:p>
    <w:p>
      <w:pPr>
        <w:pStyle w:val="ManualHeading3"/>
        <w:rPr>
          <w:noProof/>
        </w:rPr>
      </w:pPr>
      <w:r>
        <w:rPr>
          <w:noProof/>
        </w:rPr>
        <w:tab/>
        <w:t>1.4.4.</w:t>
      </w:r>
      <w:r>
        <w:rPr>
          <w:noProof/>
        </w:rPr>
        <w:tab/>
        <w:t>Δείκτες επιδόσεων</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3"/>
        <w:rPr>
          <w:noProof/>
        </w:rPr>
      </w:pPr>
      <w:r>
        <w:rPr>
          <w:noProof/>
        </w:rPr>
        <w:tab/>
        <w:t>1.5.1.</w:t>
      </w:r>
      <w:r>
        <w:rPr>
          <w:noProof/>
        </w:rPr>
        <w:tab/>
        <w:t>Βραχυπρόθεσμη ή μακροπρόθεσμη κάλυψη αναγκών, συμπεριλαμβανομένου λεπτομερούς χρονοδιαγράμματος για τη σταδιακή υλοποίηση της πρωτοβουλίας</w:t>
      </w:r>
    </w:p>
    <w:p>
      <w:pPr>
        <w:pStyle w:val="ManualHeading3"/>
        <w:rPr>
          <w:noProof/>
        </w:rPr>
      </w:pPr>
      <w:r>
        <w:rPr>
          <w:noProof/>
        </w:rPr>
        <w:tab/>
        <w:t>1.5.2.</w:t>
      </w:r>
      <w:r>
        <w:rPr>
          <w:noProof/>
        </w:rPr>
        <w:tab/>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p>
    <w:p>
      <w:pPr>
        <w:pStyle w:val="ManualHeading3"/>
        <w:rPr>
          <w:noProof/>
        </w:rPr>
      </w:pPr>
      <w:r>
        <w:rPr>
          <w:noProof/>
        </w:rPr>
        <w:tab/>
        <w:t>1.5.3.</w:t>
      </w:r>
      <w:r>
        <w:rPr>
          <w:noProof/>
        </w:rPr>
        <w:tab/>
        <w:t>Διδάγματα από ανάλογες εμπειρίες του παρελθόντος</w:t>
      </w:r>
    </w:p>
    <w:p>
      <w:pPr>
        <w:pStyle w:val="ManualHeading3"/>
        <w:rPr>
          <w:noProof/>
        </w:rPr>
      </w:pPr>
      <w:r>
        <w:rPr>
          <w:noProof/>
        </w:rPr>
        <w:tab/>
        <w:t>1.5.4.</w:t>
      </w:r>
      <w:r>
        <w:rPr>
          <w:noProof/>
        </w:rPr>
        <w:tab/>
        <w:t>Συμβατότητα με το πολυετές δημοσιονομικό πλαίσιο και ενδεχόμενες συνέργειες με άλλα κατάλληλα μέσα</w:t>
      </w:r>
    </w:p>
    <w:p>
      <w:pPr>
        <w:pStyle w:val="ManualHeading3"/>
        <w:rPr>
          <w:noProof/>
        </w:rPr>
      </w:pPr>
      <w:r>
        <w:rPr>
          <w:noProof/>
        </w:rPr>
        <w:tab/>
        <w:t>1.5.5.</w:t>
      </w:r>
      <w:r>
        <w:rPr>
          <w:noProof/>
        </w:rPr>
        <w:tab/>
        <w:t>Αξιολόγηση των διαφόρων διαθέσιμων επιλογών χρηματοδότησης, συμπεριλαμβανομένων των δυνατοτήτων ανακατανομής</w:t>
      </w:r>
    </w:p>
    <w:p>
      <w:pPr>
        <w:pStyle w:val="ManualHeading2"/>
        <w:rPr>
          <w:b w:val="0"/>
          <w:noProof/>
        </w:rPr>
      </w:pPr>
      <w:r>
        <w:rPr>
          <w:noProof/>
        </w:rPr>
        <w:tab/>
      </w:r>
      <w:r>
        <w:rPr>
          <w:b w:val="0"/>
          <w:noProof/>
        </w:rPr>
        <w:t>1.6.</w:t>
      </w:r>
      <w:r>
        <w:rPr>
          <w:noProof/>
        </w:rPr>
        <w:tab/>
      </w:r>
      <w:r>
        <w:rPr>
          <w:b w:val="0"/>
          <w:noProof/>
        </w:rPr>
        <w:t>Διάρκεια και δημοσιονομικές επιπτώσεις της πρότασης/πρωτοβουλίας</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Προβλεπόμενοι τρόποι διαχείρισης</w:t>
      </w:r>
      <w:r>
        <w:rPr>
          <w:noProof/>
        </w:rPr>
        <w:tab/>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Κανόνες παρακολούθησης και υποβολής εκθέσεων </w:t>
      </w:r>
    </w:p>
    <w:p>
      <w:pPr>
        <w:pStyle w:val="ManualHeading2"/>
        <w:rPr>
          <w:b w:val="0"/>
          <w:noProof/>
        </w:rPr>
      </w:pPr>
      <w:r>
        <w:rPr>
          <w:noProof/>
        </w:rPr>
        <w:tab/>
      </w:r>
      <w:r>
        <w:rPr>
          <w:b w:val="0"/>
          <w:noProof/>
        </w:rPr>
        <w:t>2.2.</w:t>
      </w:r>
      <w:r>
        <w:rPr>
          <w:noProof/>
        </w:rPr>
        <w:tab/>
      </w:r>
      <w:r>
        <w:rPr>
          <w:b w:val="0"/>
          <w:noProof/>
        </w:rPr>
        <w:t>Σύστημα διαχείρισης και ελέγχου</w:t>
      </w:r>
    </w:p>
    <w:p>
      <w:pPr>
        <w:pStyle w:val="ManualHeading3"/>
        <w:rPr>
          <w:noProof/>
        </w:rPr>
      </w:pPr>
      <w:r>
        <w:rPr>
          <w:noProof/>
        </w:rPr>
        <w:tab/>
        <w:t>2.2.1.</w:t>
      </w:r>
      <w:r>
        <w:rPr>
          <w:noProof/>
        </w:rPr>
        <w:tab/>
        <w:t>Αιτιολόγηση των τρόπων διαχείρισης, των μηχανισμών εκτέλεσης της χρηματοδότησης, των όρων πληρωμής και της προτεινόμενης στρατηγικής ελέγχου</w:t>
      </w:r>
    </w:p>
    <w:p>
      <w:pPr>
        <w:pStyle w:val="ManualHeading3"/>
        <w:rPr>
          <w:noProof/>
        </w:rPr>
      </w:pPr>
      <w:r>
        <w:rPr>
          <w:noProof/>
        </w:rPr>
        <w:tab/>
        <w:t>2.2.2.</w:t>
      </w:r>
      <w:r>
        <w:rPr>
          <w:noProof/>
        </w:rPr>
        <w:tab/>
        <w:t>Πληροφορίες σχετικά με τους κινδύνους που έχουν εντοπιστεί και τα συστήματα εσωτερικού ελέγχου που έχουν δημιουργηθεί για τον μετριασμό τους</w:t>
      </w:r>
    </w:p>
    <w:p>
      <w:pPr>
        <w:pStyle w:val="ManualHeading3"/>
        <w:rPr>
          <w:noProof/>
        </w:rPr>
      </w:pPr>
      <w:r>
        <w:rPr>
          <w:noProof/>
        </w:rPr>
        <w:tab/>
        <w:t>2.2.3.</w:t>
      </w:r>
      <w:r>
        <w:rPr>
          <w:noProof/>
        </w:rPr>
        <w:tab/>
        <w:t>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Τομείς του πολυετούς δημοσιονομικού πλαισίου και γραμμές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δημοσιονομικές επιπτώσεις της πρότασης στις πιστώσεις</w:t>
      </w:r>
    </w:p>
    <w:p>
      <w:pPr>
        <w:pStyle w:val="ManualHeading3"/>
        <w:rPr>
          <w:noProof/>
        </w:rPr>
      </w:pPr>
      <w:r>
        <w:rPr>
          <w:noProof/>
        </w:rPr>
        <w:tab/>
        <w:t>3.2.1.</w:t>
      </w:r>
      <w:r>
        <w:rPr>
          <w:noProof/>
        </w:rPr>
        <w:tab/>
        <w:t xml:space="preserve">Συνοπτική παρουσίαση των εκτιμώμενων επιπτώσεων στις επιχειρησιακές πιστώσεις </w:t>
      </w:r>
    </w:p>
    <w:p>
      <w:pPr>
        <w:pStyle w:val="ManualHeading3"/>
        <w:rPr>
          <w:noProof/>
        </w:rPr>
      </w:pPr>
      <w:r>
        <w:rPr>
          <w:noProof/>
        </w:rPr>
        <w:tab/>
        <w:t>3.2.2.</w:t>
      </w:r>
      <w:r>
        <w:rPr>
          <w:noProof/>
        </w:rPr>
        <w:tab/>
        <w:t xml:space="preserve">Εκτιμώμενο αποτέλεσμα που χρηματοδοτείται με επιχειρησιακές πιστώσεις </w:t>
      </w:r>
    </w:p>
    <w:p>
      <w:pPr>
        <w:pStyle w:val="ManualHeading3"/>
        <w:rPr>
          <w:noProof/>
        </w:rPr>
      </w:pPr>
      <w:r>
        <w:rPr>
          <w:noProof/>
        </w:rPr>
        <w:tab/>
        <w:t>3.2.3.</w:t>
      </w:r>
      <w:r>
        <w:rPr>
          <w:noProof/>
        </w:rPr>
        <w:tab/>
        <w:t>Συνοπτική παρουσίαση των εκτιμώμενων επιπτώσεων στις διοικητικές πιστώσεις</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στη χρηματοδότηση </w:t>
      </w:r>
    </w:p>
    <w:p>
      <w:pPr>
        <w:pStyle w:val="ManualHeading2"/>
        <w:jc w:val="left"/>
        <w:rPr>
          <w:b w:val="0"/>
          <w:noProof/>
        </w:rPr>
      </w:pPr>
      <w:r>
        <w:rPr>
          <w:noProof/>
        </w:rPr>
        <w:tab/>
      </w:r>
      <w:r>
        <w:rPr>
          <w:b w:val="0"/>
          <w:noProof/>
        </w:rPr>
        <w:t>3.3.</w:t>
      </w:r>
      <w:r>
        <w:rPr>
          <w:noProof/>
        </w:rPr>
        <w:tab/>
      </w:r>
      <w:r>
        <w:rPr>
          <w:b w:val="0"/>
          <w:noProof/>
        </w:rPr>
        <w:t>Εκτιμώμενες επιπτώσεις στα έσοδα</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ΝΟΜΟΘΕΤΙΚΟ ΔΗΜΟΣΙΟΝΟΜΙΚΟ ΔΕΛΤΙΟ</w:t>
      </w:r>
    </w:p>
    <w:p>
      <w:pPr>
        <w:pStyle w:val="ManualHeading1"/>
        <w:rPr>
          <w:noProof/>
        </w:rPr>
      </w:pPr>
      <w:bookmarkStart w:id="1" w:name="_Toc514938007"/>
      <w:bookmarkStart w:id="2" w:name="_Toc520485025"/>
      <w:r>
        <w:t>1.</w:t>
      </w:r>
      <w:r>
        <w:tab/>
      </w:r>
      <w:r>
        <w:rPr>
          <w:noProof/>
        </w:rPr>
        <w:t>ΠΛΑΙΣΙΟ ΤΗΣ ΠΡΟΤΑΣΗΣ/ΠΡΩΤΟΒΟΥΛΙΑΣ</w:t>
      </w:r>
      <w:bookmarkEnd w:id="1"/>
      <w:bookmarkEnd w:id="2"/>
      <w:r>
        <w:rPr>
          <w:noProof/>
        </w:rPr>
        <w:t xml:space="preserve"> </w:t>
      </w:r>
    </w:p>
    <w:p>
      <w:pPr>
        <w:pStyle w:val="ManualHeading2"/>
        <w:rPr>
          <w:noProof/>
        </w:rPr>
      </w:pPr>
      <w:bookmarkStart w:id="3" w:name="_Toc514938008"/>
      <w:bookmarkStart w:id="4" w:name="_Toc520485026"/>
      <w:r>
        <w:t>1.1.</w:t>
      </w:r>
      <w:r>
        <w:tab/>
      </w:r>
      <w:r>
        <w:rPr>
          <w:noProof/>
        </w:rPr>
        <w:t>Τίτλος της πρότασης/πρωτοβουλίας</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Πρόταση απόφασης του Συμβουλίου για την υπογραφή, εξ ονόματος της Ένωσης, και την προσωρινή εφαρμογή του πρωτοκόλλου σχετικά με την εφαρμογή της συμφωνίας αλιευτικής σύμπραξης μεταξύ της Ευρωπαϊκής Κοινότητας και της Δημοκρατίας του Πράσινου Ακρωτηρίου.</w:t>
      </w:r>
    </w:p>
    <w:p>
      <w:pPr>
        <w:pStyle w:val="ManualHeading2"/>
        <w:rPr>
          <w:noProof/>
        </w:rPr>
      </w:pPr>
      <w:bookmarkStart w:id="5" w:name="_Toc514938011"/>
      <w:bookmarkStart w:id="6" w:name="_Toc520485027"/>
      <w:r>
        <w:t>1.2.</w:t>
      </w:r>
      <w:r>
        <w:tab/>
      </w:r>
      <w:r>
        <w:rPr>
          <w:noProof/>
        </w:rPr>
        <w:t>Σχετικοί τομείς πολιτικής</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Θαλάσσια πολιτική και αλιεία</w:t>
      </w:r>
    </w:p>
    <w:p>
      <w:pPr>
        <w:pStyle w:val="Text1"/>
        <w:pBdr>
          <w:top w:val="single" w:sz="4" w:space="1" w:color="auto"/>
          <w:left w:val="single" w:sz="4" w:space="4" w:color="auto"/>
          <w:bottom w:val="single" w:sz="4" w:space="1" w:color="auto"/>
          <w:right w:val="single" w:sz="4" w:space="4" w:color="auto"/>
        </w:pBdr>
        <w:rPr>
          <w:noProof/>
        </w:rPr>
      </w:pPr>
      <w:r>
        <w:rPr>
          <w:noProof/>
        </w:rPr>
        <w:t>11.03 – Υποχρεωτικές εισφορές στις περιφερειακές οργανώσεις διαχείρισης αλιείας (ΠΟΔΑ) και σε άλλες διεθνείς οργανώσεις και συμφωνίες βιώσιμης αλιείας (ΣΒΑ)</w:t>
      </w:r>
    </w:p>
    <w:p>
      <w:pPr>
        <w:pStyle w:val="Text1"/>
        <w:pBdr>
          <w:top w:val="single" w:sz="4" w:space="1" w:color="auto"/>
          <w:left w:val="single" w:sz="4" w:space="4" w:color="auto"/>
          <w:bottom w:val="single" w:sz="4" w:space="1" w:color="auto"/>
          <w:right w:val="single" w:sz="4" w:space="4" w:color="auto"/>
        </w:pBdr>
        <w:rPr>
          <w:noProof/>
        </w:rPr>
      </w:pPr>
      <w:r>
        <w:rPr>
          <w:noProof/>
        </w:rPr>
        <w:t>11.03.01 – Καθιέρωση ενός πλαισίου διακυβέρνησης για τις αλιευτικές δραστηριότητες που ασκούνται από αλιευτικά σκάφη της Ένωσης σε ύδατα τρίτων χωρών</w:t>
      </w:r>
    </w:p>
    <w:p>
      <w:pPr>
        <w:pStyle w:val="ManualHeading2"/>
        <w:rPr>
          <w:bCs/>
          <w:noProof/>
          <w:szCs w:val="24"/>
        </w:rPr>
      </w:pPr>
      <w:bookmarkStart w:id="7" w:name="_Toc514938014"/>
      <w:bookmarkStart w:id="8" w:name="_Toc520485028"/>
      <w:r>
        <w:t>1.3.</w:t>
      </w:r>
      <w:r>
        <w:tab/>
      </w:r>
      <w:r>
        <w:rPr>
          <w:noProof/>
        </w:rPr>
        <w:t>Η πρόταση/πρωτοβουλία αφορά:</w:t>
      </w:r>
      <w:bookmarkEnd w:id="7"/>
      <w:bookmarkEnd w:id="8"/>
      <w:r>
        <w:rPr>
          <w:noProof/>
        </w:rPr>
        <w:t xml:space="preserve"> </w:t>
      </w:r>
    </w:p>
    <w:p>
      <w:pPr>
        <w:pStyle w:val="Text1"/>
        <w:rPr>
          <w:b/>
          <w:noProof/>
          <w:sz w:val="22"/>
        </w:rPr>
      </w:pPr>
      <w:r>
        <w:rPr>
          <w:b/>
          <w:noProof/>
          <w:sz w:val="22"/>
        </w:rPr>
        <w:t>X</w:t>
      </w:r>
      <w:r>
        <w:rPr>
          <w:b/>
          <w:i/>
          <w:noProof/>
          <w:sz w:val="22"/>
        </w:rPr>
        <w:t xml:space="preserve">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νέα δράση μετά από πιλοτικό έργο/προπαρασκευαστική δράση</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b/>
          <w:noProof/>
        </w:rPr>
        <w:t>συγχώνευση ή επαναπροσανατολισμό μίας ή περισσότερων δράσεων προς άλλη/νέα δράση</w:t>
      </w:r>
      <w:r>
        <w:rPr>
          <w:noProof/>
        </w:rPr>
        <w:t xml:space="preserve"> </w:t>
      </w:r>
    </w:p>
    <w:p>
      <w:pPr>
        <w:pStyle w:val="ManualHeading2"/>
        <w:rPr>
          <w:bCs/>
          <w:noProof/>
          <w:szCs w:val="24"/>
        </w:rPr>
      </w:pPr>
      <w:bookmarkStart w:id="9" w:name="_Toc514938015"/>
      <w:bookmarkStart w:id="10" w:name="_Toc520485029"/>
      <w:r>
        <w:t>1.4.</w:t>
      </w:r>
      <w:r>
        <w:tab/>
      </w:r>
      <w:r>
        <w:rPr>
          <w:noProof/>
        </w:rPr>
        <w:t>Στόχοι</w:t>
      </w:r>
      <w:bookmarkEnd w:id="9"/>
      <w:bookmarkEnd w:id="10"/>
    </w:p>
    <w:p>
      <w:pPr>
        <w:pStyle w:val="ManualHeading3"/>
        <w:rPr>
          <w:noProof/>
        </w:rPr>
      </w:pPr>
      <w:bookmarkStart w:id="11" w:name="_Toc514938016"/>
      <w:bookmarkStart w:id="12" w:name="_Toc520485030"/>
      <w:r>
        <w:t>1.4.1.</w:t>
      </w:r>
      <w:r>
        <w:tab/>
      </w:r>
      <w:r>
        <w:rPr>
          <w:noProof/>
        </w:rPr>
        <w:t>Γενικοί στόχοι</w:t>
      </w:r>
      <w:bookmarkEnd w:id="11"/>
      <w:bookmarkEnd w:id="12"/>
    </w:p>
    <w:p>
      <w:pPr>
        <w:pStyle w:val="Text1"/>
        <w:pBdr>
          <w:top w:val="single" w:sz="4" w:space="1" w:color="auto"/>
          <w:left w:val="single" w:sz="4" w:space="4" w:color="auto"/>
          <w:bottom w:val="single" w:sz="4" w:space="1" w:color="auto"/>
          <w:right w:val="single" w:sz="4" w:space="4" w:color="auto"/>
        </w:pBdr>
        <w:rPr>
          <w:noProof/>
        </w:rPr>
      </w:pPr>
      <w:r>
        <w:rPr>
          <w:noProof/>
        </w:rPr>
        <w:t>Η διαπραγμάτευση και η σύναψη συμφωνιών σύμπραξης βιώσιμης αλιείας (ΣΣΒΑ) με τρίτες χώρες ανταποκρίνονται στον γενικό στόχο της εξασφάλισης πρόσβασης των αλιευτικών σκαφών της Ευρωπαϊκής Ένωσης στις αλιευτικές ζώνες τρίτων χωρών και της δημιουργίας σύμπραξης με τις εν λόγω χώρες με σκοπό την ενίσχυση της βιώσιμης εκμετάλλευσης των αλιευτικών πόρων εκτός των υδάτων της ΕΕ.</w:t>
      </w:r>
    </w:p>
    <w:p>
      <w:pPr>
        <w:pStyle w:val="Text1"/>
        <w:pBdr>
          <w:top w:val="single" w:sz="4" w:space="1" w:color="auto"/>
          <w:left w:val="single" w:sz="4" w:space="4" w:color="auto"/>
          <w:bottom w:val="single" w:sz="4" w:space="1" w:color="auto"/>
          <w:right w:val="single" w:sz="4" w:space="4" w:color="auto"/>
        </w:pBdr>
        <w:rPr>
          <w:noProof/>
        </w:rPr>
      </w:pPr>
      <w:r>
        <w:rPr>
          <w:noProof/>
        </w:rPr>
        <w:t>Οι ΣΣΒΑ εξασφαλίζουν επίσης τη συνοχή μεταξύ των αρχών που διέπουν την κοινή αλιευτική πολιτική και των δεσμεύσεων που έχουν αναληφθεί στο πλαίσιο άλλων ευρωπαϊκών πολιτικών (βιώσιμη εκμετάλλευση των πόρων τρίτων χωρών, καταπολέμηση της παράνομης, αδήλωτης και ανεξέλεγκτης (ΠΑΑ) αλιείας, ενσωμάτωση των χωρών εταίρων στην παγκόσμια οικονομία, και καλύτερη πολιτική και οικονομική διακυβέρνηση της αλιείας).</w:t>
      </w:r>
    </w:p>
    <w:p>
      <w:pPr>
        <w:pStyle w:val="ManualHeading3"/>
        <w:rPr>
          <w:bCs/>
          <w:noProof/>
          <w:szCs w:val="24"/>
        </w:rPr>
      </w:pPr>
      <w:bookmarkStart w:id="13" w:name="_Toc514938018"/>
      <w:bookmarkStart w:id="14" w:name="_Toc520485031"/>
      <w:r>
        <w:t>1.4.2.</w:t>
      </w:r>
      <w:r>
        <w:tab/>
      </w:r>
      <w:r>
        <w:rPr>
          <w:noProof/>
        </w:rPr>
        <w:t>Ειδικοί στόχοι</w:t>
      </w:r>
      <w:bookmarkEnd w:id="13"/>
      <w:bookmarkEnd w:id="14"/>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w:t>
      </w:r>
    </w:p>
    <w:p>
      <w:pPr>
        <w:pStyle w:val="Text1"/>
        <w:pBdr>
          <w:top w:val="single" w:sz="4" w:space="1" w:color="auto"/>
          <w:left w:val="single" w:sz="4" w:space="4" w:color="auto"/>
          <w:bottom w:val="single" w:sz="4" w:space="1" w:color="auto"/>
          <w:right w:val="single" w:sz="4" w:space="4" w:color="auto"/>
        </w:pBdr>
        <w:rPr>
          <w:noProof/>
        </w:rPr>
      </w:pPr>
      <w:r>
        <w:rPr>
          <w:noProof/>
        </w:rPr>
        <w:t>Η συμβολή στη βιώσιμη αλιεία εκτός των υδάτων της Ένωσης, η διατήρηση της ευρωπαϊκής παρουσίας σε αλιευτικές δραστηριότητες που διεξάγονται σε απομακρυσμένες περιοχές και η προστασία των συμφερόντων του ευρωπαϊκού αλιευτικού κλάδου και των καταναλωτών μέσω της διαπραγμάτευσης και της σύναψης ΣΣΒΑ με παράκτια κράτη, οι οποίες συνάδουν με άλλες ευρωπαϊκές πολιτικές.</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Σχετικές δραστηριότητες ΔΒΔ/ΠΒΔ</w:t>
      </w:r>
    </w:p>
    <w:p>
      <w:pPr>
        <w:pStyle w:val="Text1"/>
        <w:pBdr>
          <w:top w:val="single" w:sz="4" w:space="1" w:color="auto"/>
          <w:left w:val="single" w:sz="4" w:space="4" w:color="auto"/>
          <w:bottom w:val="single" w:sz="4" w:space="1" w:color="auto"/>
          <w:right w:val="single" w:sz="4" w:space="4" w:color="auto"/>
        </w:pBdr>
        <w:rPr>
          <w:noProof/>
        </w:rPr>
      </w:pPr>
      <w:r>
        <w:rPr>
          <w:noProof/>
        </w:rPr>
        <w:t>Θαλάσσιες υποθέσεις και αλιεία, καθιέρωση ενός πλαισίου διακυβέρνησης για τις αλιευτικές δραστηριότητες που ασκούνται από αλιευτικά σκάφη της Ευρωπαϊκής Ένωσης σε ύδατα τρίτων χωρών (ΣΒΑ) (γραμμή του προϋπολογισμού 11.03.01).</w:t>
      </w:r>
    </w:p>
    <w:p>
      <w:pPr>
        <w:pStyle w:val="ManualHeading3"/>
        <w:rPr>
          <w:noProof/>
        </w:rPr>
      </w:pPr>
      <w:bookmarkStart w:id="15" w:name="_Toc514938019"/>
      <w:bookmarkStart w:id="16" w:name="_Toc520485032"/>
      <w:r>
        <w:t>1.4.3.</w:t>
      </w:r>
      <w:r>
        <w:tab/>
      </w:r>
      <w:r>
        <w:rPr>
          <w:noProof/>
        </w:rPr>
        <w:t>Αναμενόμενα αποτελέσματα και επιπτώσεις</w:t>
      </w:r>
      <w:bookmarkEnd w:id="15"/>
      <w:bookmarkEnd w:id="16"/>
    </w:p>
    <w:p>
      <w:pPr>
        <w:pStyle w:val="Text1"/>
        <w:rPr>
          <w:i/>
          <w:noProof/>
          <w:sz w:val="20"/>
        </w:rPr>
      </w:pPr>
      <w:r>
        <w:rPr>
          <w:i/>
          <w:noProof/>
          <w:sz w:val="20"/>
        </w:rPr>
        <w:t>Να προσδιοριστούν τα αποτελέσματα που θα πρέπει να έχει η πρόταση/πρωτοβουλία όσον αφορά τους στοχοθετημένους δικαιούχους / τις στοχοθετημένες ομάδες.</w:t>
      </w:r>
    </w:p>
    <w:p>
      <w:pPr>
        <w:pStyle w:val="Text1"/>
        <w:pBdr>
          <w:top w:val="single" w:sz="4" w:space="1" w:color="auto"/>
          <w:left w:val="single" w:sz="4" w:space="4" w:color="auto"/>
          <w:bottom w:val="single" w:sz="4" w:space="1" w:color="auto"/>
          <w:right w:val="single" w:sz="4" w:space="4" w:color="auto"/>
        </w:pBdr>
        <w:rPr>
          <w:noProof/>
        </w:rPr>
      </w:pPr>
      <w:r>
        <w:rPr>
          <w:noProof/>
        </w:rPr>
        <w:t>Η σύναψη του πρωτοκόλλου επιτρέπει την καθιέρωση στρατηγικής σύμπραξης στον τομέα της αλιείας μεταξύ της Ευρωπαϊκής Ένωσης και του Πράσινου Ακρωτηρίου. Η σύναψη του πρωτοκόλλου θα δημιουργήσει αλιευτικές δυνατότητες για τα σκάφη της Ένωσης στα ύδατα του Πράσινου Ακρωτηρίου.</w:t>
      </w:r>
    </w:p>
    <w:p>
      <w:pPr>
        <w:pStyle w:val="Text1"/>
        <w:pBdr>
          <w:top w:val="single" w:sz="4" w:space="1" w:color="auto"/>
          <w:left w:val="single" w:sz="4" w:space="4" w:color="auto"/>
          <w:bottom w:val="single" w:sz="4" w:space="1" w:color="auto"/>
          <w:right w:val="single" w:sz="4" w:space="4" w:color="auto"/>
        </w:pBdr>
        <w:rPr>
          <w:noProof/>
        </w:rPr>
      </w:pPr>
      <w:r>
        <w:rPr>
          <w:noProof/>
        </w:rPr>
        <w:t>Το πρωτόκολλο συμβάλλει επίσης στην καλύτερη διαχείριση και διατήρηση των αλιευτικών πόρων, μέσω της χρηματοδοτικής στήριξης (τομεακή στήριξη) για την εφαρμογή προγραμμάτων που εγκρίνονται σε εθνικό επίπεδο από τη χώρα εταίρο, ιδίως όσον αφορά την παρακολούθηση και την καταπολέμηση της παράνομης αλιείας και τη στήριξη της αλιείας μικρής κλίμακας.</w:t>
      </w:r>
    </w:p>
    <w:p>
      <w:pPr>
        <w:pStyle w:val="Text1"/>
        <w:pBdr>
          <w:top w:val="single" w:sz="4" w:space="1" w:color="auto"/>
          <w:left w:val="single" w:sz="4" w:space="4" w:color="auto"/>
          <w:bottom w:val="single" w:sz="4" w:space="1" w:color="auto"/>
          <w:right w:val="single" w:sz="4" w:space="4" w:color="auto"/>
        </w:pBdr>
        <w:rPr>
          <w:noProof/>
        </w:rPr>
      </w:pPr>
      <w:r>
        <w:rPr>
          <w:noProof/>
        </w:rPr>
        <w:t>Τέλος, το πρωτόκολλο θα συμβάλει στη γαλάζια οικονομία του Πράσινου Ακρωτηρίου, μέσω της προώθησης της ανάπτυξης που συνδέεται με τις θαλάσσιες δραστηριότητες και της βιώσιμης εκμετάλλευσης των θαλάσσιων πόρων της.</w:t>
      </w:r>
    </w:p>
    <w:p>
      <w:pPr>
        <w:pStyle w:val="ManualHeading3"/>
        <w:rPr>
          <w:noProof/>
          <w:szCs w:val="24"/>
        </w:rPr>
      </w:pPr>
      <w:bookmarkStart w:id="17" w:name="_Toc514938023"/>
      <w:bookmarkStart w:id="18" w:name="_Toc520485033"/>
      <w:r>
        <w:t>1.4.4.</w:t>
      </w:r>
      <w:r>
        <w:tab/>
      </w:r>
      <w:r>
        <w:rPr>
          <w:noProof/>
        </w:rPr>
        <w:t>Δείκτες επιδόσεων</w:t>
      </w:r>
      <w:bookmarkEnd w:id="17"/>
      <w:bookmarkEnd w:id="18"/>
    </w:p>
    <w:p>
      <w:pPr>
        <w:pStyle w:val="Text1"/>
        <w:rPr>
          <w:i/>
          <w:noProof/>
          <w:sz w:val="20"/>
        </w:rPr>
      </w:pPr>
      <w:r>
        <w:rPr>
          <w:i/>
          <w:noProof/>
          <w:sz w:val="20"/>
        </w:rPr>
        <w:t>Να προσδιοριστούν οι δείκτες για την παρακολούθηση της προόδου και των επιτευγμάτων.</w:t>
      </w:r>
    </w:p>
    <w:p>
      <w:pPr>
        <w:pStyle w:val="Text1"/>
        <w:pBdr>
          <w:top w:val="single" w:sz="4" w:space="1" w:color="auto"/>
          <w:left w:val="single" w:sz="4" w:space="4" w:color="auto"/>
          <w:bottom w:val="single" w:sz="4" w:space="1" w:color="auto"/>
          <w:right w:val="single" w:sz="4" w:space="4" w:color="auto"/>
        </w:pBdr>
        <w:rPr>
          <w:noProof/>
        </w:rPr>
      </w:pPr>
      <w:r>
        <w:rPr>
          <w:noProof/>
        </w:rPr>
        <w:t>Ποσοστό χρησιμοποίησης των αλιευτικών δυνατοτήτων (ποσοστό των αδειών αλιείας που χρησιμοποιούνται ετησίως σε σχέση με τη διαθεσιμότητα που προσφέρει το πρωτόκολλο).</w:t>
      </w:r>
    </w:p>
    <w:p>
      <w:pPr>
        <w:pStyle w:val="Text1"/>
        <w:pBdr>
          <w:top w:val="single" w:sz="4" w:space="1" w:color="auto"/>
          <w:left w:val="single" w:sz="4" w:space="4" w:color="auto"/>
          <w:bottom w:val="single" w:sz="4" w:space="1" w:color="auto"/>
          <w:right w:val="single" w:sz="4" w:space="4" w:color="auto"/>
        </w:pBdr>
        <w:rPr>
          <w:noProof/>
        </w:rPr>
      </w:pPr>
      <w:r>
        <w:rPr>
          <w:noProof/>
        </w:rPr>
        <w:t>Δεδομένα για τα αλιεύματα (συλλογή και ανάλυση) και εμπορική αξία της συμφωνίας.</w:t>
      </w:r>
    </w:p>
    <w:p>
      <w:pPr>
        <w:pStyle w:val="Text1"/>
        <w:pBdr>
          <w:top w:val="single" w:sz="4" w:space="1" w:color="auto"/>
          <w:left w:val="single" w:sz="4" w:space="4" w:color="auto"/>
          <w:bottom w:val="single" w:sz="4" w:space="1" w:color="auto"/>
          <w:right w:val="single" w:sz="4" w:space="4" w:color="auto"/>
        </w:pBdr>
        <w:rPr>
          <w:noProof/>
        </w:rPr>
      </w:pPr>
      <w:r>
        <w:rPr>
          <w:noProof/>
        </w:rPr>
        <w:t>Συμβολή στην απασχόληση και στην προστιθέμενη αξία στην Ένωση, καθώς και στη σταθεροποίηση της αγοράς της Ένωσης (συγκεντρωτικά, με άλλες ΣΣΒΑ).</w:t>
      </w:r>
    </w:p>
    <w:p>
      <w:pPr>
        <w:pStyle w:val="Text1"/>
        <w:pBdr>
          <w:top w:val="single" w:sz="4" w:space="1" w:color="auto"/>
          <w:left w:val="single" w:sz="4" w:space="4" w:color="auto"/>
          <w:bottom w:val="single" w:sz="4" w:space="1" w:color="auto"/>
          <w:right w:val="single" w:sz="4" w:space="4" w:color="auto"/>
        </w:pBdr>
        <w:rPr>
          <w:noProof/>
        </w:rPr>
      </w:pPr>
      <w:r>
        <w:rPr>
          <w:noProof/>
        </w:rPr>
        <w:t>Συμβολή στη βελτίωση της έρευνας, της παρακολούθησης και του ελέγχου των αλιευτικών δραστηριοτήτων από τη χώρα εταίρο και της ανάπτυξης του οικείου τομέα της αλιείας, ιδίως της αλιείας μικρής κλίμακας.</w:t>
      </w:r>
    </w:p>
    <w:p>
      <w:pPr>
        <w:pStyle w:val="ManualHeading2"/>
        <w:rPr>
          <w:bCs/>
          <w:noProof/>
          <w:szCs w:val="24"/>
        </w:rPr>
      </w:pPr>
      <w:bookmarkStart w:id="19" w:name="_Toc514938025"/>
      <w:bookmarkStart w:id="20" w:name="_Toc520485034"/>
      <w:r>
        <w:t>1.5.</w:t>
      </w:r>
      <w:r>
        <w:tab/>
      </w:r>
      <w:r>
        <w:rPr>
          <w:noProof/>
        </w:rPr>
        <w:t>Αιτιολόγηση της πρότασης/πρωτοβουλίας</w:t>
      </w:r>
      <w:bookmarkEnd w:id="19"/>
      <w:bookmarkEnd w:id="20"/>
      <w:r>
        <w:rPr>
          <w:noProof/>
        </w:rPr>
        <w:t xml:space="preserve"> </w:t>
      </w:r>
    </w:p>
    <w:p>
      <w:pPr>
        <w:pStyle w:val="ManualHeading3"/>
        <w:rPr>
          <w:noProof/>
        </w:rPr>
      </w:pPr>
      <w:bookmarkStart w:id="21" w:name="_Toc514938026"/>
      <w:bookmarkStart w:id="22" w:name="_Toc520485035"/>
      <w:r>
        <w:t>1.5.1.</w:t>
      </w:r>
      <w:r>
        <w:tab/>
      </w:r>
      <w:r>
        <w:rPr>
          <w:noProof/>
        </w:rPr>
        <w:t>Βραχυπρόθεσμη ή μακροπρόθεσμη κάλυψη αναγκών, συμπεριλαμβανομένου λεπτομερούς χρονοδιαγράμματος για τη σταδιακή υλοποίηση της πρωτοβουλίας</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Προβλέπεται ότι το νέο πρωτόκολλο θα εφαρμόζεται προσωρινά από την ημερομηνία της υπογραφής του, προκειμένου να μην διακοπούν οι αλιευτικές δραστηριότητες που ασκούνται στο πλαίσιο του ισχύοντος πρωτοκόλλου.</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νέο πρωτόκολλο θα παρέχει το πλαίσιο για τις αλιευτικές δραστηριότητες του ενωσιακού στόλου στην αλιευτική ζώνη του Πράσινου Ακρωτηρίου και θα επιτρέπει στους ενωσιακούς πλοιοκτήτες να υποβάλλουν αιτήσεις χορήγησης αδειών αλιείας για να αλιεύουν στην εν λόγω ζώνη. Επιπλέον, το νέο πρωτόκολλο ενισχύει τη συνεργασία μεταξύ της ΕΕ και του Πράσινου Ακρωτηρίου με στόχο την προώθηση της ανάπτυξης βιώσιμης αλιευτικής πολιτικής. Προβλέπει ειδικότερα την παρακολούθηση των σκαφών με ΣΠΣΔ/VMS (σύστημα παρακολούθησης σκαφών μέσω δορυφόρου) και την ηλεκτρονική διαβίβαση των δεδομένων σχετικά με τα αλιεύματα. Η τομεακή στήριξη που διατίθεται δυνάμει του πρωτοκόλλου θα συνδράμει το Πράσινο Ακρωτήριο όσον αφορά την εθνική στρατηγική του στον τομέα της αλιείας, συμπεριλαμβανομένης της καταπολέμησης της ΠΑΑ αλιείας. </w:t>
      </w:r>
    </w:p>
    <w:p>
      <w:pPr>
        <w:pStyle w:val="ManualHeading3"/>
        <w:rPr>
          <w:bCs/>
          <w:noProof/>
          <w:szCs w:val="24"/>
        </w:rPr>
      </w:pPr>
      <w:bookmarkStart w:id="23" w:name="_Toc514938029"/>
      <w:bookmarkStart w:id="24" w:name="_Toc520485036"/>
      <w:r>
        <w:t>1.5.2.</w:t>
      </w:r>
      <w:r>
        <w:tab/>
      </w:r>
      <w:r>
        <w:rPr>
          <w:noProof/>
        </w:rPr>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 xml:space="preserve">Η μη σύναψη νέου πρωτοκόλλου από την Ένωση θα αποτελούσε πρόσκομμα στις αλιευτικές δραστηριότητες των ενωσιακών σκαφών, δεδομένου ότι η συμφωνία περιέχει ρήτρα που αποκλείει τις αλιευτικές δραστηριότητες οι οποίες δεν ασκούνται στο πλαίσιο που καθορίζεται από πρωτόκολλο της συμφωνίας. Επομένως, η προστιθέμενη αξία είναι σαφής για τον στόλο μεγάλων αποστάσεων της ΕΕ. Το πρωτόκολλο προσφέρει επίσης ένα πλαίσιο για ενισχυμένη συνεργασία μεταξύ της Ένωσης και του Πράσινου Ακρωτηρίου. </w:t>
      </w:r>
    </w:p>
    <w:p>
      <w:pPr>
        <w:pStyle w:val="ManualHeading3"/>
        <w:rPr>
          <w:noProof/>
        </w:rPr>
      </w:pPr>
      <w:bookmarkStart w:id="25" w:name="_Toc514938030"/>
      <w:bookmarkStart w:id="26" w:name="_Toc520485037"/>
      <w:r>
        <w:rPr>
          <w:noProof/>
        </w:rPr>
        <w:br w:type="page"/>
      </w:r>
      <w:r>
        <w:t>1.5.3.</w:t>
      </w:r>
      <w:r>
        <w:tab/>
      </w:r>
      <w:r>
        <w:rPr>
          <w:noProof/>
        </w:rPr>
        <w:t>Διδάγματα από ανάλογες εμπειρίες του παρελθόντος</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Η ανάλυση των ιστορικών στοιχείων αλιευμάτων στην αλιευτική ζώνη του Πράσινου Ακρωτηρίου και των πρόσφατων στοιχείων αλιευμάτων στο πλαίσιο παρόμοιων πρωτοκόλλων στην περιοχή, καθώς και των αξιολογήσεων και των διαθέσιμων επιστημονικών γνωμοδοτήσεων, οδήγησαν τα μέρη στον καθορισμό βάρους αναφοράς για τον τόνο και τα θυννοειδή στους 8 000 τόνους ετησίως, με αλιευτικές δυνατότητες για 28 θυνναλιευτικά γρι-γρι με εγκαταστάσεις κατάψυξης, 27 παραγαδιάρικα επιφανείας και 14 θυνναλιευτικά με καλάμι. Η τομεακή στήριξη έχει οριστεί σε σχετικά υψηλό επίπεδο, προκειμένου να ληφθούν υπόψη οι ανάγκες όσον αφορά την ενίσχυση των ικανοτήτων των αλιευτικών αρχών του Πράσινου Ακρωτηρίου και οι προτεραιότητες της εθνικής στρατηγικής στον τομέα της αλιείας, καθώς και τα σχέδια για τη στήριξη της γαλάζιας οικονομίας αυτού του παράκτιου κράτους.</w:t>
      </w:r>
    </w:p>
    <w:p>
      <w:pPr>
        <w:pStyle w:val="ManualHeading3"/>
        <w:rPr>
          <w:noProof/>
        </w:rPr>
      </w:pPr>
      <w:bookmarkStart w:id="27" w:name="_Toc514938033"/>
      <w:bookmarkStart w:id="28" w:name="_Toc520485038"/>
      <w:r>
        <w:t>1.5.4.</w:t>
      </w:r>
      <w:r>
        <w:tab/>
      </w:r>
      <w:r>
        <w:rPr>
          <w:noProof/>
        </w:rPr>
        <w:t>Συμβατότητα με το πολυετές δημοσιονομικό πλαίσιο και ενδεχόμενες συνέργειες με άλλα κατάλληλα μέσα</w:t>
      </w:r>
      <w:bookmarkEnd w:id="27"/>
      <w:bookmarkEnd w:id="28"/>
    </w:p>
    <w:p>
      <w:pPr>
        <w:pStyle w:val="Text1"/>
        <w:pBdr>
          <w:top w:val="single" w:sz="4" w:space="1" w:color="auto"/>
          <w:left w:val="single" w:sz="4" w:space="4" w:color="auto"/>
          <w:bottom w:val="single" w:sz="4" w:space="1" w:color="auto"/>
          <w:right w:val="single" w:sz="4" w:space="4" w:color="auto"/>
        </w:pBdr>
        <w:rPr>
          <w:noProof/>
        </w:rPr>
      </w:pPr>
      <w:r>
        <w:rPr>
          <w:noProof/>
        </w:rPr>
        <w:t>Τα κονδύλια που καταβάλλονται ως χρηματική αντιστάθμιση για την πρόσβαση στο πλαίσιο της ΣΑΣ συνιστούν γενικά έσοδα του προϋπολογισμού του Πράσινου Ακρωτηρίου. Ωστόσο, προϋπόθεση για τη σύναψη και την παρακολούθηση των ΣΑΣ είναι τα κονδύλια για τομεακή στήριξη να διατίθενται (συνήθως μέσω της εγγραφής στον ετήσιο νόμο περί προϋπολογισμού) στο αρμόδιο για την αλιεία υπουργείο. Οι εν λόγω οικονομικοί πόροι είναι συμβατοί με άλλους πόρους χρηματοδότησης από άλλους διεθνείς χορηγούς για την εκτέλεση έργων και/ή προγραμμάτων σε εθνικό επίπεδο στον τομέα της αλιείας.</w:t>
      </w:r>
    </w:p>
    <w:p>
      <w:pPr>
        <w:pStyle w:val="ManualHeading3"/>
        <w:rPr>
          <w:noProof/>
        </w:rPr>
      </w:pPr>
      <w:bookmarkStart w:id="29" w:name="_Toc514938036"/>
      <w:bookmarkStart w:id="30" w:name="_Toc520485039"/>
      <w:r>
        <w:t>1.5.5.</w:t>
      </w:r>
      <w:r>
        <w:tab/>
      </w:r>
      <w:r>
        <w:rPr>
          <w:noProof/>
        </w:rPr>
        <w:t>Αξιολόγηση των διαφόρων διαθέσιμων επιλογών χρηματοδότησης, συμπεριλαμβανομένων των δυνατοτήτων ανακατανομής</w:t>
      </w:r>
      <w:bookmarkEnd w:id="29"/>
      <w:bookmarkEnd w:id="30"/>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p>
      <w:pPr>
        <w:pStyle w:val="ManualHeading2"/>
        <w:rPr>
          <w:bCs/>
          <w:noProof/>
          <w:szCs w:val="24"/>
        </w:rPr>
      </w:pPr>
      <w:bookmarkStart w:id="31" w:name="_Toc514938039"/>
      <w:bookmarkStart w:id="32" w:name="_Toc520485040"/>
      <w:r>
        <w:t>1.6.</w:t>
      </w:r>
      <w:r>
        <w:tab/>
      </w:r>
      <w:r>
        <w:rPr>
          <w:noProof/>
        </w:rPr>
        <w:t>Διάρκεια και δημοσιονομικές επιπτώσεις της πρότασης/πρωτοβουλίας</w:t>
      </w:r>
      <w:bookmarkEnd w:id="31"/>
      <w:bookmarkEnd w:id="32"/>
    </w:p>
    <w:p>
      <w:pPr>
        <w:pStyle w:val="Text1"/>
        <w:rPr>
          <w:noProof/>
        </w:rPr>
      </w:pPr>
      <w:r>
        <w:rPr>
          <w:b/>
          <w:noProof/>
        </w:rPr>
        <w:t>Χ</w:t>
      </w:r>
      <w:r>
        <w:rPr>
          <w:b/>
          <w:i/>
          <w:noProof/>
        </w:rPr>
        <w:t xml:space="preserve"> </w:t>
      </w:r>
      <w:r>
        <w:rPr>
          <w:b/>
          <w:noProof/>
        </w:rPr>
        <w:t xml:space="preserve">περιορισμένη διάρκεια </w:t>
      </w:r>
    </w:p>
    <w:p>
      <w:pPr>
        <w:pStyle w:val="ListDash2"/>
        <w:rPr>
          <w:noProof/>
        </w:rPr>
      </w:pPr>
      <w:r>
        <w:rPr>
          <w:noProof/>
        </w:rPr>
        <w:t>X</w:t>
      </w:r>
      <w:r>
        <w:rPr>
          <w:noProof/>
        </w:rPr>
        <w:tab/>
        <w:t xml:space="preserve"> Πρόταση/πρωτοβουλία με ισχύ από το 2019 έως το 2024 </w:t>
      </w:r>
    </w:p>
    <w:p>
      <w:pPr>
        <w:pStyle w:val="ListDash2"/>
        <w:rPr>
          <w:noProof/>
        </w:rPr>
      </w:pPr>
      <w:r>
        <w:rPr>
          <w:noProof/>
        </w:rPr>
        <w:t>X</w:t>
      </w:r>
      <w:r>
        <w:rPr>
          <w:noProof/>
        </w:rPr>
        <w:tab/>
        <w:t xml:space="preserve">Δημοσιονομικές επιπτώσεις από το 2019 έως το 2024 για πιστώσεις ανάληψης υποχρεώσεων και από το 2019 έως το 2024 για πιστώσεις πληρωμών. </w:t>
      </w:r>
    </w:p>
    <w:p>
      <w:pPr>
        <w:pStyle w:val="Text1"/>
        <w:rPr>
          <w:noProof/>
        </w:rPr>
      </w:pPr>
      <w:r>
        <w:rPr>
          <w:noProof/>
        </w:rPr>
        <w:sym w:font="Wingdings" w:char="F0A8"/>
      </w:r>
      <w:r>
        <w:rPr>
          <w:b/>
          <w:i/>
          <w:noProof/>
        </w:rPr>
        <w:t xml:space="preserve"> </w:t>
      </w:r>
      <w:r>
        <w:rPr>
          <w:b/>
          <w:noProof/>
        </w:rPr>
        <w:t>απεριόριστη διάρκεια</w:t>
      </w:r>
    </w:p>
    <w:p>
      <w:pPr>
        <w:pStyle w:val="ListDash1"/>
        <w:rPr>
          <w:noProof/>
        </w:rPr>
      </w:pPr>
      <w:r>
        <w:rPr>
          <w:noProof/>
        </w:rPr>
        <w:t>Περίοδος σταδιακής εφαρμογής από το ΕΕΕΕ έως το ΕΕΕΕ,</w:t>
      </w:r>
    </w:p>
    <w:p>
      <w:pPr>
        <w:pStyle w:val="ListDash1"/>
        <w:rPr>
          <w:noProof/>
        </w:rPr>
      </w:pPr>
      <w:r>
        <w:rPr>
          <w:noProof/>
        </w:rPr>
        <w:t>και στη συνέχεια πλήρης εφαρμογή.</w:t>
      </w:r>
    </w:p>
    <w:p>
      <w:pPr>
        <w:pStyle w:val="ManualHeading2"/>
        <w:rPr>
          <w:bCs/>
          <w:noProof/>
          <w:szCs w:val="24"/>
        </w:rPr>
      </w:pPr>
      <w:bookmarkStart w:id="33" w:name="_Toc514938040"/>
      <w:bookmarkStart w:id="34" w:name="_Toc520485041"/>
      <w:r>
        <w:t>1.7.</w:t>
      </w:r>
      <w:r>
        <w:tab/>
      </w:r>
      <w:r>
        <w:rPr>
          <w:noProof/>
        </w:rPr>
        <w:t>Προβλεπόμενοι τρόποι διαχείρισης</w:t>
      </w:r>
      <w:r>
        <w:rPr>
          <w:rStyle w:val="FootnoteReference"/>
          <w:noProof/>
        </w:rPr>
        <w:footnoteReference w:id="10"/>
      </w:r>
      <w:bookmarkEnd w:id="33"/>
      <w:bookmarkEnd w:id="34"/>
      <w:r>
        <w:rPr>
          <w:rStyle w:val="FootnoteReference"/>
          <w:noProof/>
        </w:rPr>
        <w:t xml:space="preserve"> </w:t>
      </w:r>
    </w:p>
    <w:p>
      <w:pPr>
        <w:pStyle w:val="Text1"/>
        <w:rPr>
          <w:noProof/>
        </w:rPr>
      </w:pPr>
      <w:r>
        <w:rPr>
          <w:b/>
          <w:noProof/>
        </w:rPr>
        <w:t>X</w:t>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b/>
          <w:noProof/>
        </w:rPr>
        <w:t xml:space="preserve">X </w:t>
      </w:r>
      <w:r>
        <w:rPr>
          <w:noProof/>
        </w:rPr>
        <w:t xml:space="preserve">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στις οργανώσεις τους (να προσδιοριστούν)·</w:t>
      </w:r>
    </w:p>
    <w:p>
      <w:pPr>
        <w:pStyle w:val="ListDash2"/>
        <w:rPr>
          <w:noProof/>
        </w:rPr>
      </w:pPr>
      <w:r>
        <w:rPr>
          <w:noProof/>
        </w:rPr>
        <w:sym w:font="Wingdings" w:char="F0A8"/>
      </w:r>
      <w:r>
        <w:rPr>
          <w:noProof/>
        </w:rPr>
        <w:t xml:space="preserve"> στην ΕΤΕπ και στο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70 και 71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14938041"/>
      <w:bookmarkStart w:id="36" w:name="_Toc520485042"/>
      <w:r>
        <w:t>2.</w:t>
      </w:r>
      <w:r>
        <w:tab/>
      </w:r>
      <w:r>
        <w:rPr>
          <w:noProof/>
        </w:rPr>
        <w:t>ΜΕΤΡΑ ΔΙΑΧΕΙΡΙΣΗΣ</w:t>
      </w:r>
      <w:bookmarkEnd w:id="35"/>
      <w:bookmarkEnd w:id="36"/>
      <w:r>
        <w:rPr>
          <w:noProof/>
        </w:rPr>
        <w:t xml:space="preserve"> </w:t>
      </w:r>
    </w:p>
    <w:p>
      <w:pPr>
        <w:pStyle w:val="ManualHeading2"/>
        <w:rPr>
          <w:noProof/>
        </w:rPr>
      </w:pPr>
      <w:bookmarkStart w:id="37" w:name="_Toc514938042"/>
      <w:bookmarkStart w:id="38" w:name="_Toc520485043"/>
      <w:r>
        <w:t>2.1.</w:t>
      </w:r>
      <w:r>
        <w:tab/>
      </w:r>
      <w:r>
        <w:rPr>
          <w:noProof/>
        </w:rPr>
        <w:t>Κανόνες παρακολούθησης και υποβολής εκθέσεων</w:t>
      </w:r>
      <w:bookmarkEnd w:id="37"/>
      <w:bookmarkEnd w:id="38"/>
      <w:r>
        <w:rPr>
          <w:noProof/>
        </w:rPr>
        <w:t xml:space="preserve"> </w:t>
      </w:r>
    </w:p>
    <w:p>
      <w:pPr>
        <w:pStyle w:val="Text1"/>
        <w:rPr>
          <w:i/>
          <w:noProof/>
          <w:sz w:val="20"/>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Επιτροπή (ΓΔ MARE, σε συνεργασία με τον οικείο ακόλουθο αλιείας, που έχει την έδρα του στην περιοχή – Ντακάρ, Σενεγάλη) θα παρακολουθεί τακτικά την εφαρμογή του πρωτοκόλλου, όσον αφορά τη χρήση των αλιευτικών δυνατοτήτων από τους φορείς εκμετάλλευσης, τα στοιχεία αλιευμάτων και την τήρηση των προϋποθέσεων για την παροχή τομεακής στήριξης. </w:t>
      </w:r>
    </w:p>
    <w:p>
      <w:pPr>
        <w:pBdr>
          <w:top w:val="single" w:sz="4" w:space="1" w:color="auto"/>
          <w:left w:val="single" w:sz="4" w:space="4" w:color="auto"/>
          <w:bottom w:val="single" w:sz="4" w:space="1" w:color="auto"/>
          <w:right w:val="single" w:sz="4" w:space="4" w:color="auto"/>
        </w:pBdr>
        <w:ind w:left="850"/>
        <w:rPr>
          <w:noProof/>
        </w:rPr>
      </w:pPr>
      <w:r>
        <w:rPr>
          <w:noProof/>
        </w:rPr>
        <w:t>Επιπλέον, η ΣΑΣ προβλέπει τουλάχιστον μία ετήσια συνεδρίαση της μεικτής επιτροπής, κατά τη διάρκεια της οποίας η Επιτροπή και το Πράσινο Ακρωτήριο επανεξετάζουν την εφαρμογή της συμφωνίας και του πρωτοκόλλου και τροποποιούν, εφόσον είναι αναγκαίο, τον προγραμματισμό και, ενδεχομένως, τη χρηματική αντιπαροχή.</w:t>
      </w:r>
    </w:p>
    <w:p>
      <w:pPr>
        <w:pStyle w:val="ManualHeading2"/>
        <w:rPr>
          <w:bCs/>
          <w:noProof/>
          <w:szCs w:val="24"/>
        </w:rPr>
      </w:pPr>
      <w:bookmarkStart w:id="39" w:name="_Toc514938045"/>
      <w:bookmarkStart w:id="40" w:name="_Toc520485044"/>
      <w:r>
        <w:t>2.2.</w:t>
      </w:r>
      <w:r>
        <w:tab/>
      </w:r>
      <w:r>
        <w:rPr>
          <w:noProof/>
        </w:rPr>
        <w:t>Συστήματα διαχείρισης και ελέγχου</w:t>
      </w:r>
      <w:bookmarkEnd w:id="39"/>
      <w:bookmarkEnd w:id="40"/>
      <w:r>
        <w:rPr>
          <w:noProof/>
        </w:rPr>
        <w:t xml:space="preserve"> </w:t>
      </w:r>
    </w:p>
    <w:p>
      <w:pPr>
        <w:pStyle w:val="ManualHeading3"/>
        <w:rPr>
          <w:noProof/>
        </w:rPr>
      </w:pPr>
      <w:bookmarkStart w:id="41" w:name="_Toc514938046"/>
      <w:bookmarkStart w:id="42" w:name="_Toc520485045"/>
      <w:r>
        <w:t>2.2.1.</w:t>
      </w:r>
      <w:r>
        <w:tab/>
      </w:r>
      <w:r>
        <w:rPr>
          <w:noProof/>
        </w:rPr>
        <w:t>Αιτιολόγηση των τρόπων διαχείρισης, των μηχανισμών εκτέλεσης της χρηματοδότησης, των όρων πληρωμής και της προτεινόμενης στρατηγικής ελέγχου</w:t>
      </w:r>
      <w:bookmarkEnd w:id="41"/>
      <w:bookmarkEnd w:id="42"/>
    </w:p>
    <w:p>
      <w:pPr>
        <w:pBdr>
          <w:top w:val="single" w:sz="4" w:space="1" w:color="auto"/>
          <w:left w:val="single" w:sz="4" w:space="4" w:color="auto"/>
          <w:bottom w:val="single" w:sz="4" w:space="1" w:color="auto"/>
          <w:right w:val="single" w:sz="4" w:space="4" w:color="auto"/>
        </w:pBdr>
        <w:ind w:left="850"/>
        <w:rPr>
          <w:noProof/>
        </w:rPr>
      </w:pPr>
      <w:r>
        <w:rPr>
          <w:noProof/>
        </w:rPr>
        <w:t xml:space="preserve">Ο κίνδυνος που έχει εντοπιστεί είναι η υποχρησιμοποίηση των αλιευτικών δυνατοτήτων εκ μέρους των πλοιοκτητών της ΕΕ και η υποχρησιμοποίηση ή η καθυστέρηση στη χρησιμοποίηση των κονδυλίων που προορίζονται για τη χρηματοδότηση της τομεακής αλιευτικής πολιτικής εκ μέρους του Πράσινου Ακρωτηρίου. </w:t>
      </w:r>
    </w:p>
    <w:p>
      <w:pPr>
        <w:pStyle w:val="ManualHeading3"/>
        <w:rPr>
          <w:bCs/>
          <w:noProof/>
          <w:szCs w:val="24"/>
        </w:rPr>
      </w:pPr>
      <w:bookmarkStart w:id="43" w:name="_Toc514938047"/>
      <w:bookmarkStart w:id="44" w:name="_Toc520485046"/>
      <w:r>
        <w:t>2.2.2.</w:t>
      </w:r>
      <w:r>
        <w:tab/>
      </w:r>
      <w:r>
        <w:rPr>
          <w:noProof/>
        </w:rPr>
        <w:t>Πληροφορίες σχετικά με τους κινδύνους που έχουν εντοπιστεί και τα συστήματα εσωτερικού ελέγχου που έχουν δημιουργηθεί για τον μετριασμό τους</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Προβλέπεται συνεχής διάλογος σχετικά με τον προγραμματισμό και την υλοποίηση της τομεακής πολιτικής που προβλέπεται από τη συμφωνία και το πρωτόκολλο. Η από κοινού ανάλυση των αποτελεσμάτων που αναφέρεται στο άρθρο 5 του πρωτοκόλλου αποτελεί επίσης μέρος των εν λόγω μεθόδων ελέγχου.</w:t>
      </w:r>
    </w:p>
    <w:p>
      <w:pPr>
        <w:pBdr>
          <w:top w:val="single" w:sz="4" w:space="1" w:color="auto"/>
          <w:left w:val="single" w:sz="4" w:space="4" w:color="auto"/>
          <w:bottom w:val="single" w:sz="4" w:space="1" w:color="auto"/>
          <w:right w:val="single" w:sz="4" w:space="4" w:color="auto"/>
        </w:pBdr>
        <w:ind w:left="850"/>
        <w:rPr>
          <w:noProof/>
        </w:rPr>
      </w:pPr>
      <w:r>
        <w:rPr>
          <w:noProof/>
        </w:rPr>
        <w:t>Επιπλέον, η συμφωνία και το πρωτόκολλο προβλέπουν ειδικές ρήτρες για την αναστολή τους, υπό ορισμένες προϋποθέσεις και σε δεδομένες συνθήκες.</w:t>
      </w:r>
    </w:p>
    <w:p>
      <w:pPr>
        <w:pStyle w:val="ManualHeading3"/>
        <w:rPr>
          <w:noProof/>
        </w:rPr>
      </w:pPr>
      <w:bookmarkStart w:id="45" w:name="_Toc514938048"/>
      <w:bookmarkStart w:id="46" w:name="_Toc520485047"/>
      <w:r>
        <w:rPr>
          <w:noProof/>
        </w:rPr>
        <w:br w:type="page"/>
      </w:r>
      <w:r>
        <w:t>2.2.3.</w:t>
      </w:r>
      <w:r>
        <w:tab/>
      </w:r>
      <w:r>
        <w:rPr>
          <w:noProof/>
        </w:rPr>
        <w:t>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w:t>
      </w:r>
      <w:bookmarkEnd w:id="45"/>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47" w:name="_Toc514938049"/>
      <w:bookmarkStart w:id="48" w:name="_Toc520485048"/>
      <w:r>
        <w:t>2.3.</w:t>
      </w:r>
      <w:r>
        <w:tab/>
      </w:r>
      <w:r>
        <w:rPr>
          <w:noProof/>
        </w:rPr>
        <w:t>Μέτρα για την πρόληψη περιπτώσεων απάτης και παρατυπίας</w:t>
      </w:r>
      <w:bookmarkEnd w:id="47"/>
      <w:bookmarkEnd w:id="48"/>
      <w:r>
        <w:rPr>
          <w:noProof/>
        </w:rPr>
        <w:t xml:space="preserve"> </w:t>
      </w:r>
    </w:p>
    <w:p>
      <w:pPr>
        <w:pStyle w:val="Text1"/>
        <w:rPr>
          <w:i/>
          <w:noProof/>
          <w:sz w:val="20"/>
        </w:rPr>
      </w:pPr>
      <w:r>
        <w:rPr>
          <w:i/>
          <w:noProof/>
          <w:sz w:val="20"/>
        </w:rPr>
        <w:t>Να προσδιοριστούν τα ισχύοντα ή τα προβλεπόμενα μέτρα πρόληψης και προστασίας, π.χ. στη στρατηγική για την καταπολέμηση της απάτης.</w:t>
      </w:r>
    </w:p>
    <w:p>
      <w:pPr>
        <w:pStyle w:val="Text1"/>
        <w:pBdr>
          <w:top w:val="single" w:sz="4" w:space="1" w:color="auto"/>
          <w:left w:val="single" w:sz="4" w:space="4" w:color="auto"/>
          <w:bottom w:val="single" w:sz="4" w:space="1" w:color="auto"/>
          <w:right w:val="single" w:sz="4" w:space="4" w:color="auto"/>
        </w:pBdr>
        <w:rPr>
          <w:noProof/>
        </w:rPr>
      </w:pPr>
      <w:r>
        <w:rPr>
          <w:noProof/>
        </w:rPr>
        <w:t>Η Επιτροπή δεσμεύεται να καθιερώσει πολιτικό διάλογο και τακτικές διαβουλεύσεις με τη Δημοκρατία του Πράσινου Ακρωτηρίου, ώστε να καταστεί δυνατή η βελτίωση της διαχείρισης της συμφωνίας και του πρωτοκόλλου, και να ενισχυθεί η συμβολή της Ένωσης στη βιώσιμη διαχείριση των πόρων. Κάθε πληρωμή που πραγματοποιεί η Επιτροπή στο πλαίσιο ΣΑΣ υπόκειται στους συνήθεις δημοσιονομικούς και χρηματοοικονομικούς κανόνες και διαδικασίες της Επιτροπής. Συγκεκριμένα, ταυτοποιείται πλήρως ο τραπεζικός λογαριασμός των τρίτων χωρών στον οποίο κατατίθεται το ποσό της χρηματικής αντιπαροχής. Το άρθρο 4 παράγραφος 6 του πρωτοκόλλου ορίζει ότι η χρηματική αντιπαροχή σχετικά με την πρόσβαση πρέπει να καταβληθεί στο Δημόσιο Ταμείο του Πράσινου Ακρωτηρίου και το τμήμα που προορίζεται για την ανάπτυξη του τομέα σε ειδικό για τον σκοπό αυτό λογαριασμό που έχει ανοιχθεί στην τράπεζα του Δημόσιου Ταμείου του Πράσινου Ακρωτηρίου.</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9" w:name="_Toc514938050"/>
      <w:bookmarkStart w:id="50" w:name="_Toc520485049"/>
      <w:r>
        <w:t>3.</w:t>
      </w:r>
      <w:r>
        <w:tab/>
      </w:r>
      <w:r>
        <w:rPr>
          <w:noProof/>
        </w:rPr>
        <w:t>ΕΚΤΙΜΩΜΕΝΕΣ ΔΗΜΟΣΙΟΝΟΜΙΚΕΣ ΕΠΙΠΤΩΣΕΙΣ ΤΗΣ ΠΡΟΤΑΣΗΣ/ΠΡΩΤΟΒΟΥΛΙΑΣ</w:t>
      </w:r>
      <w:bookmarkEnd w:id="49"/>
      <w:bookmarkEnd w:id="50"/>
      <w:r>
        <w:rPr>
          <w:noProof/>
        </w:rPr>
        <w:t xml:space="preserve"> </w:t>
      </w:r>
    </w:p>
    <w:p>
      <w:pPr>
        <w:pStyle w:val="ManualHeading2"/>
        <w:rPr>
          <w:noProof/>
        </w:rPr>
      </w:pPr>
      <w:bookmarkStart w:id="51" w:name="_Toc514938051"/>
      <w:bookmarkStart w:id="52" w:name="_Toc520485050"/>
      <w:r>
        <w:t>3.1.</w:t>
      </w:r>
      <w:r>
        <w:tab/>
      </w:r>
      <w:r>
        <w:rPr>
          <w:noProof/>
        </w:rPr>
        <w:t>Τομείς του πολυετούς δημοσιονομικού πλαισίου και γραμμές δαπανών του προϋπολογισμού που επηρεάζονται</w:t>
      </w:r>
      <w:bookmarkEnd w:id="51"/>
      <w:bookmarkEnd w:id="52"/>
      <w:r>
        <w:rPr>
          <w:noProof/>
        </w:rPr>
        <w:t xml:space="preserve"> </w:t>
      </w:r>
    </w:p>
    <w:p>
      <w:pPr>
        <w:pStyle w:val="ListBullet1"/>
        <w:rPr>
          <w:noProof/>
        </w:rPr>
      </w:pPr>
      <w:r>
        <w:rPr>
          <w:noProof/>
        </w:rPr>
        <w:t xml:space="preserve">Υφιστάμενες γραμμές του προϋπολογισμού </w:t>
      </w:r>
    </w:p>
    <w:p>
      <w:pPr>
        <w:pStyle w:val="Text1"/>
        <w:rPr>
          <w:i/>
          <w:noProof/>
        </w:rPr>
      </w:pPr>
      <w:r>
        <w:rPr>
          <w:i/>
          <w:noProof/>
          <w:u w:val="single"/>
        </w:rPr>
        <w:t>Κατά σειρά</w:t>
      </w:r>
      <w:r>
        <w:rPr>
          <w:noProof/>
        </w:rPr>
        <w:t xml:space="preserve"> </w:t>
      </w:r>
      <w:r>
        <w:rPr>
          <w:i/>
          <w:noProof/>
        </w:rPr>
        <w:t>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84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 xml:space="preserve">Είδος </w:t>
            </w:r>
            <w:r>
              <w:rPr>
                <w:noProof/>
                <w:sz w:val="22"/>
              </w:rPr>
              <w:br/>
            </w:r>
            <w:r>
              <w:rPr>
                <w:noProof/>
                <w:sz w:val="18"/>
              </w:rPr>
              <w:t>δαπάνης</w:t>
            </w:r>
          </w:p>
        </w:tc>
        <w:tc>
          <w:tcPr>
            <w:tcW w:w="456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Αριθμός </w:t>
            </w:r>
            <w:r>
              <w:rPr>
                <w:noProof/>
                <w:sz w:val="22"/>
              </w:rPr>
              <w:br/>
            </w:r>
          </w:p>
        </w:tc>
        <w:tc>
          <w:tcPr>
            <w:tcW w:w="1080" w:type="dxa"/>
            <w:vAlign w:val="center"/>
          </w:tcPr>
          <w:p>
            <w:pPr>
              <w:jc w:val="center"/>
              <w:rPr>
                <w:noProof/>
              </w:rPr>
            </w:pPr>
            <w:r>
              <w:rPr>
                <w:noProof/>
                <w:sz w:val="18"/>
              </w:rPr>
              <w:t>ΔΠ/ΜΔΠ</w:t>
            </w:r>
            <w:r>
              <w:rPr>
                <w:rStyle w:val="FootnoteReference"/>
                <w:noProof/>
                <w:sz w:val="18"/>
              </w:rPr>
              <w:footnoteReference w:id="11"/>
            </w:r>
          </w:p>
        </w:tc>
        <w:tc>
          <w:tcPr>
            <w:tcW w:w="1076" w:type="dxa"/>
            <w:vAlign w:val="center"/>
          </w:tcPr>
          <w:p>
            <w:pPr>
              <w:jc w:val="center"/>
              <w:rPr>
                <w:noProof/>
              </w:rPr>
            </w:pPr>
            <w:r>
              <w:rPr>
                <w:noProof/>
                <w:sz w:val="18"/>
              </w:rPr>
              <w:t>χωρών ΕΖΕΣ</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τρίτων χωρών</w:t>
            </w:r>
          </w:p>
        </w:tc>
        <w:tc>
          <w:tcPr>
            <w:tcW w:w="1320"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Καθιέρωση ενός πλαισίου διακυβέρνησης για τις αλιευτικές δραστηριότητες που ασκούνται από αλιευτικά σκάφη της Ευρωπαϊκής Ένωσης σε ύδατα τρίτων χωρών (ΣΒΑ)</w:t>
            </w:r>
          </w:p>
        </w:tc>
        <w:tc>
          <w:tcPr>
            <w:tcW w:w="1080" w:type="dxa"/>
            <w:vAlign w:val="center"/>
          </w:tcPr>
          <w:p>
            <w:pPr>
              <w:jc w:val="center"/>
              <w:rPr>
                <w:noProof/>
                <w:color w:val="0000FF"/>
              </w:rPr>
            </w:pPr>
            <w:r>
              <w:rPr>
                <w:noProof/>
                <w:sz w:val="22"/>
              </w:rPr>
              <w:t>ΔΠ</w:t>
            </w:r>
          </w:p>
        </w:tc>
        <w:tc>
          <w:tcPr>
            <w:tcW w:w="1076" w:type="dxa"/>
            <w:vAlign w:val="center"/>
          </w:tcPr>
          <w:p>
            <w:pPr>
              <w:jc w:val="center"/>
              <w:rPr>
                <w:noProof/>
                <w:sz w:val="20"/>
                <w:szCs w:val="20"/>
              </w:rPr>
            </w:pPr>
            <w:r>
              <w:rPr>
                <w:noProof/>
                <w:sz w:val="20"/>
              </w:rPr>
              <w:t>ΟΧΙ</w:t>
            </w:r>
          </w:p>
        </w:tc>
        <w:tc>
          <w:tcPr>
            <w:tcW w:w="1080" w:type="dxa"/>
            <w:vAlign w:val="center"/>
          </w:tcPr>
          <w:p>
            <w:pPr>
              <w:jc w:val="center"/>
              <w:rPr>
                <w:noProof/>
                <w:sz w:val="20"/>
                <w:szCs w:val="20"/>
              </w:rPr>
            </w:pPr>
            <w:r>
              <w:rPr>
                <w:noProof/>
                <w:sz w:val="20"/>
              </w:rPr>
              <w:t>ΟΧΙ</w:t>
            </w:r>
          </w:p>
        </w:tc>
        <w:tc>
          <w:tcPr>
            <w:tcW w:w="1084" w:type="dxa"/>
            <w:vAlign w:val="center"/>
          </w:tcPr>
          <w:p>
            <w:pPr>
              <w:jc w:val="center"/>
              <w:rPr>
                <w:noProof/>
                <w:sz w:val="20"/>
                <w:szCs w:val="20"/>
              </w:rPr>
            </w:pPr>
            <w:r>
              <w:rPr>
                <w:noProof/>
                <w:sz w:val="20"/>
              </w:rPr>
              <w:t>ΟΧΙ</w:t>
            </w:r>
          </w:p>
        </w:tc>
        <w:tc>
          <w:tcPr>
            <w:tcW w:w="1320" w:type="dxa"/>
            <w:vAlign w:val="center"/>
          </w:tcPr>
          <w:p>
            <w:pPr>
              <w:jc w:val="center"/>
              <w:rPr>
                <w:noProof/>
                <w:sz w:val="20"/>
                <w:szCs w:val="20"/>
              </w:rPr>
            </w:pPr>
            <w:r>
              <w:rPr>
                <w:noProof/>
                <w:sz w:val="20"/>
              </w:rPr>
              <w:t>ΟΧΙ</w:t>
            </w:r>
          </w:p>
        </w:tc>
      </w:tr>
    </w:tbl>
    <w:p>
      <w:pPr>
        <w:pStyle w:val="ListBullet1"/>
        <w:rPr>
          <w:noProof/>
        </w:rPr>
      </w:pPr>
      <w:r>
        <w:rPr>
          <w:noProof/>
        </w:rPr>
        <w:t xml:space="preserve">Νέες γραμμές του προϋπολογισμού, των οποίων έχει ζητηθεί η δημιουργία </w:t>
      </w:r>
    </w:p>
    <w:p>
      <w:pPr>
        <w:pStyle w:val="Text1"/>
        <w:rPr>
          <w:i/>
          <w:noProof/>
          <w:sz w:val="20"/>
        </w:rPr>
      </w:pPr>
      <w:r>
        <w:rPr>
          <w:i/>
          <w:noProof/>
          <w:u w:val="single"/>
        </w:rPr>
        <w:t>Κατά σειρά</w:t>
      </w:r>
      <w:r>
        <w:rPr>
          <w:noProof/>
        </w:rPr>
        <w:t xml:space="preserve"> </w:t>
      </w:r>
      <w:r>
        <w:rPr>
          <w:i/>
          <w:noProof/>
        </w:rPr>
        <w:t>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84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 xml:space="preserve">Είδος </w:t>
            </w:r>
            <w:r>
              <w:rPr>
                <w:noProof/>
                <w:sz w:val="22"/>
              </w:rPr>
              <w:br/>
            </w:r>
            <w:r>
              <w:rPr>
                <w:noProof/>
                <w:sz w:val="18"/>
              </w:rPr>
              <w:t>δαπάνης</w:t>
            </w:r>
          </w:p>
        </w:tc>
        <w:tc>
          <w:tcPr>
            <w:tcW w:w="456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Αριθμός </w:t>
            </w:r>
            <w:r>
              <w:rPr>
                <w:noProof/>
                <w:sz w:val="22"/>
              </w:rPr>
              <w:br/>
            </w:r>
          </w:p>
        </w:tc>
        <w:tc>
          <w:tcPr>
            <w:tcW w:w="1080" w:type="dxa"/>
            <w:vAlign w:val="center"/>
          </w:tcPr>
          <w:p>
            <w:pPr>
              <w:jc w:val="center"/>
              <w:rPr>
                <w:noProof/>
              </w:rPr>
            </w:pPr>
            <w:r>
              <w:rPr>
                <w:noProof/>
                <w:sz w:val="18"/>
              </w:rPr>
              <w:t>ΔΠ/ΜΔΠ</w:t>
            </w:r>
          </w:p>
        </w:tc>
        <w:tc>
          <w:tcPr>
            <w:tcW w:w="107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1084" w:type="dxa"/>
            <w:vAlign w:val="center"/>
          </w:tcPr>
          <w:p>
            <w:pPr>
              <w:jc w:val="center"/>
              <w:rPr>
                <w:noProof/>
                <w:sz w:val="18"/>
              </w:rPr>
            </w:pPr>
            <w:r>
              <w:rPr>
                <w:noProof/>
                <w:sz w:val="18"/>
              </w:rPr>
              <w:t>τρίτων χωρών</w:t>
            </w:r>
          </w:p>
        </w:tc>
        <w:tc>
          <w:tcPr>
            <w:tcW w:w="1320"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ΝΑΙ/ΟΧΙ</w:t>
            </w:r>
          </w:p>
        </w:tc>
        <w:tc>
          <w:tcPr>
            <w:tcW w:w="1080" w:type="dxa"/>
            <w:vAlign w:val="center"/>
          </w:tcPr>
          <w:p>
            <w:pPr>
              <w:jc w:val="center"/>
              <w:rPr>
                <w:noProof/>
                <w:color w:val="0000FF"/>
                <w:sz w:val="20"/>
                <w:szCs w:val="20"/>
              </w:rPr>
            </w:pPr>
            <w:r>
              <w:rPr>
                <w:noProof/>
                <w:sz w:val="20"/>
              </w:rPr>
              <w:t>ΝΑΙ/ΟΧΙ</w:t>
            </w:r>
          </w:p>
        </w:tc>
        <w:tc>
          <w:tcPr>
            <w:tcW w:w="1084" w:type="dxa"/>
            <w:vAlign w:val="center"/>
          </w:tcPr>
          <w:p>
            <w:pPr>
              <w:jc w:val="center"/>
              <w:rPr>
                <w:noProof/>
                <w:color w:val="0000FF"/>
                <w:sz w:val="20"/>
                <w:szCs w:val="20"/>
              </w:rPr>
            </w:pPr>
            <w:r>
              <w:rPr>
                <w:noProof/>
                <w:sz w:val="20"/>
              </w:rPr>
              <w:t>ΝΑΙ/ΟΧΙ</w:t>
            </w:r>
          </w:p>
        </w:tc>
        <w:tc>
          <w:tcPr>
            <w:tcW w:w="1320" w:type="dxa"/>
            <w:vAlign w:val="center"/>
          </w:tcPr>
          <w:p>
            <w:pPr>
              <w:jc w:val="center"/>
              <w:rPr>
                <w:noProof/>
                <w:sz w:val="20"/>
                <w:szCs w:val="20"/>
              </w:rPr>
            </w:pPr>
            <w:r>
              <w:rPr>
                <w:noProof/>
                <w:sz w:val="20"/>
              </w:rPr>
              <w:t>ΝΑΙ/ΟΧΙ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53" w:name="_Toc514938052"/>
      <w:bookmarkStart w:id="54" w:name="_Toc520485051"/>
      <w:r>
        <w:t>3.2.</w:t>
      </w:r>
      <w:r>
        <w:tab/>
      </w:r>
      <w:r>
        <w:rPr>
          <w:noProof/>
        </w:rPr>
        <w:t>Εκτιμώμενες δημοσιονομικές επιπτώσεις της πρότασης στις πιστώσεις</w:t>
      </w:r>
      <w:bookmarkEnd w:id="53"/>
      <w:bookmarkEnd w:id="54"/>
      <w:r>
        <w:rPr>
          <w:noProof/>
        </w:rPr>
        <w:t xml:space="preserve"> </w:t>
      </w:r>
    </w:p>
    <w:p>
      <w:pPr>
        <w:pStyle w:val="ManualHeading3"/>
        <w:rPr>
          <w:noProof/>
        </w:rPr>
      </w:pPr>
      <w:bookmarkStart w:id="55" w:name="_Toc514938053"/>
      <w:bookmarkStart w:id="56" w:name="_Toc520485052"/>
      <w:r>
        <w:t>3.2.1.</w:t>
      </w:r>
      <w:r>
        <w:tab/>
      </w:r>
      <w:r>
        <w:rPr>
          <w:noProof/>
        </w:rPr>
        <w:t>Συνοπτική παρουσίαση των εκτιμώμενων επιπτώσεων στις επιχειρησιακές πιστώσεις</w:t>
      </w:r>
      <w:bookmarkEnd w:id="55"/>
      <w:bookmarkEnd w:id="56"/>
      <w:r>
        <w:rPr>
          <w:noProof/>
        </w:rPr>
        <w:t xml:space="preserve"> </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t>X</w:t>
      </w:r>
      <w:r>
        <w:rPr>
          <w:noProof/>
        </w:rPr>
        <w:tab/>
        <w:t>Η πρόταση/πρωτοβουλία συνεπάγεται τη χρησιμοποίηση επιχειρησιακών πιστώσεων, όπως εξηγείται κατωτέρω:</w:t>
      </w:r>
    </w:p>
    <w:p>
      <w:pPr>
        <w:jc w:val="right"/>
        <w:rPr>
          <w:noProof/>
          <w:sz w:val="18"/>
          <w:szCs w:val="18"/>
        </w:rPr>
      </w:pPr>
      <w:r>
        <w:rPr>
          <w:noProof/>
          <w:sz w:val="18"/>
        </w:rPr>
        <w:t>σε εκατ. EUR (με 3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vAlign w:val="center"/>
          </w:tcPr>
          <w:p>
            <w:pPr>
              <w:spacing w:before="60" w:after="60"/>
              <w:jc w:val="center"/>
              <w:rPr>
                <w:noProof/>
                <w:sz w:val="22"/>
              </w:rPr>
            </w:pPr>
            <w:r>
              <w:rPr>
                <w:noProof/>
                <w:sz w:val="22"/>
              </w:rPr>
              <w:t>Αριθμός</w:t>
            </w:r>
          </w:p>
          <w:p>
            <w:pPr>
              <w:spacing w:before="60" w:after="60"/>
              <w:jc w:val="center"/>
              <w:rPr>
                <w:noProof/>
              </w:rPr>
            </w:pPr>
            <w:r>
              <w:rPr>
                <w:noProof/>
                <w:sz w:val="22"/>
              </w:rPr>
              <w:t>2</w:t>
            </w:r>
          </w:p>
        </w:tc>
        <w:tc>
          <w:tcPr>
            <w:tcW w:w="7817" w:type="dxa"/>
            <w:vAlign w:val="center"/>
          </w:tcPr>
          <w:p>
            <w:pPr>
              <w:spacing w:before="60" w:after="60"/>
              <w:rPr>
                <w:noProof/>
              </w:rPr>
            </w:pPr>
            <w:r>
              <w:rPr>
                <w:noProof/>
              </w:rPr>
              <w:t>Βιώσιμη ανάπτυξη: φυσικοί πόροι</w:t>
            </w:r>
          </w:p>
        </w:tc>
      </w:tr>
    </w:tbl>
    <w:p>
      <w:pPr>
        <w:rPr>
          <w:noProof/>
          <w:sz w:val="16"/>
        </w:rPr>
      </w:pPr>
    </w:p>
    <w:tbl>
      <w:tblPr>
        <w:tblW w:w="12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99"/>
        <w:gridCol w:w="1746"/>
      </w:tblGrid>
      <w:tr>
        <w:tc>
          <w:tcPr>
            <w:tcW w:w="3960" w:type="dxa"/>
            <w:vAlign w:val="center"/>
          </w:tcPr>
          <w:p>
            <w:pPr>
              <w:jc w:val="center"/>
              <w:rPr>
                <w:noProof/>
              </w:rPr>
            </w:pPr>
            <w:r>
              <w:rPr>
                <w:noProof/>
                <w:sz w:val="22"/>
              </w:rPr>
              <w:t>ΓΔ: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2021</w:t>
            </w:r>
          </w:p>
        </w:tc>
        <w:tc>
          <w:tcPr>
            <w:tcW w:w="868" w:type="dxa"/>
            <w:vAlign w:val="center"/>
          </w:tcPr>
          <w:p>
            <w:pPr>
              <w:jc w:val="center"/>
              <w:rPr>
                <w:noProof/>
                <w:sz w:val="20"/>
              </w:rPr>
            </w:pPr>
            <w:r>
              <w:rPr>
                <w:noProof/>
                <w:sz w:val="20"/>
              </w:rPr>
              <w:t>Έτος</w:t>
            </w:r>
            <w:r>
              <w:rPr>
                <w:noProof/>
                <w:sz w:val="22"/>
              </w:rPr>
              <w:br/>
            </w:r>
            <w:r>
              <w:rPr>
                <w:b/>
                <w:noProof/>
                <w:sz w:val="20"/>
              </w:rPr>
              <w:t>2022</w:t>
            </w:r>
          </w:p>
        </w:tc>
        <w:tc>
          <w:tcPr>
            <w:tcW w:w="899" w:type="dxa"/>
            <w:vAlign w:val="center"/>
          </w:tcPr>
          <w:p>
            <w:pPr>
              <w:jc w:val="center"/>
              <w:rPr>
                <w:noProof/>
                <w:sz w:val="20"/>
              </w:rPr>
            </w:pPr>
            <w:r>
              <w:rPr>
                <w:noProof/>
                <w:sz w:val="20"/>
              </w:rPr>
              <w:t>Έτος</w:t>
            </w:r>
            <w:r>
              <w:rPr>
                <w:noProof/>
                <w:sz w:val="22"/>
              </w:rPr>
              <w:br/>
            </w:r>
            <w:r>
              <w:rPr>
                <w:b/>
                <w:noProof/>
                <w:sz w:val="20"/>
              </w:rPr>
              <w:t>2022</w:t>
            </w:r>
          </w:p>
        </w:tc>
        <w:tc>
          <w:tcPr>
            <w:tcW w:w="1746"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Γραμμή του προϋπολογισμού</w:t>
            </w:r>
            <w:r>
              <w:rPr>
                <w:rStyle w:val="FootnoteReference"/>
                <w:noProof/>
                <w:sz w:val="20"/>
              </w:rPr>
              <w:footnoteReference w:id="14"/>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tcPr>
          <w:p>
            <w:pPr>
              <w:spacing w:before="20" w:after="20"/>
              <w:jc w:val="right"/>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tcPr>
          <w:p>
            <w:pPr>
              <w:spacing w:before="20" w:after="20"/>
              <w:jc w:val="right"/>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val="restart"/>
            <w:vAlign w:val="center"/>
          </w:tcPr>
          <w:p>
            <w:pPr>
              <w:rPr>
                <w:noProof/>
              </w:rPr>
            </w:pPr>
            <w:r>
              <w:rPr>
                <w:noProof/>
                <w:sz w:val="20"/>
              </w:rPr>
              <w:t>Γραμμή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(1β)</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(2β)</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99" w:type="dxa"/>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Γραμμή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ΣΥΝΟΛΟ πιστώσεων</w:t>
            </w:r>
            <w:r>
              <w:rPr>
                <w:noProof/>
                <w:sz w:val="22"/>
              </w:rPr>
              <w:br/>
            </w:r>
            <w:r>
              <w:rPr>
                <w:b/>
                <w:noProof/>
                <w:sz w:val="22"/>
              </w:rPr>
              <w:t>για τη ΓΔ MARE</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=1α+1β +3</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vAlign w:val="center"/>
          </w:tcPr>
          <w:p>
            <w:pPr>
              <w:spacing w:before="20" w:after="20"/>
              <w:jc w:val="center"/>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=2α+2β</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vAlign w:val="center"/>
          </w:tcPr>
          <w:p>
            <w:pPr>
              <w:spacing w:before="20" w:after="20"/>
              <w:jc w:val="center"/>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ΣΥΝΟΛΟ πιστώσεων διοικητικού χαρακτήρα χρηματοδοτούμενων από το κονδύλιο ειδικών προγραμμάτων</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ΣΥΝΟΛΟ πιστώσεων </w:t>
            </w:r>
            <w:r>
              <w:rPr>
                <w:noProof/>
                <w:sz w:val="22"/>
              </w:rPr>
              <w:br/>
            </w:r>
            <w:r>
              <w:rPr>
                <w:b/>
                <w:noProof/>
                <w:sz w:val="22"/>
              </w:rPr>
              <w:t>του ΤΟΜΕΑ &lt;2.&gt;</w:t>
            </w:r>
            <w:r>
              <w:rPr>
                <w:noProof/>
                <w:sz w:val="22"/>
              </w:rPr>
              <w:b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bl>
    <w:p>
      <w:pPr>
        <w:spacing w:after="40"/>
        <w:rPr>
          <w:b/>
          <w:noProof/>
          <w:sz w:val="22"/>
          <w:u w:val="single"/>
        </w:rPr>
      </w:pPr>
      <w:r>
        <w:rPr>
          <w:b/>
          <w:noProof/>
          <w:sz w:val="22"/>
          <w:u w:val="single"/>
        </w:rPr>
        <w:t>Αν η πρόταση/πρωτοβουλία επηρεάζει περισσότερους του ενός επιχειρησιακούς τομείς, επαναλάβετε το ανωτέρω τμήμα:</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ΣΥΝΟΛΟ επιχειρησιακών πιστώσεων (όλοι οι επιχειρησιακοί τομείς)</w:t>
            </w:r>
          </w:p>
        </w:tc>
        <w:tc>
          <w:tcPr>
            <w:tcW w:w="1440" w:type="dxa"/>
            <w:tcBorders>
              <w:top w:val="single" w:sz="4" w:space="0" w:color="auto"/>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ΣΥΝΟΛΟ πιστώσεων διοικητικού χαρακτήρα χρηματοδοτούμενων από το κονδύλιο ειδικών προγραμμάτων (όλοι οι επιχειρησιακοί τομείς)</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ΣΥΝΟΛΟ πιστώσεων </w:t>
            </w:r>
            <w:r>
              <w:rPr>
                <w:noProof/>
                <w:sz w:val="22"/>
              </w:rPr>
              <w:br/>
            </w:r>
            <w:r>
              <w:rPr>
                <w:b/>
                <w:noProof/>
                <w:sz w:val="22"/>
              </w:rPr>
              <w:t>των ΤΟΜΕΩΝ 1 έως 4</w:t>
            </w:r>
            <w:r>
              <w:rPr>
                <w:noProof/>
                <w:sz w:val="22"/>
              </w:rPr>
              <w:br/>
              <w:t>του πολυετούς δημοσιονομικού πλαισίου</w:t>
            </w:r>
            <w:r>
              <w:rPr>
                <w:noProof/>
                <w:sz w:val="22"/>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77" w:type="dxa"/>
            <w:tcBorders>
              <w:right w:val="single" w:sz="4" w:space="0" w:color="auto"/>
            </w:tcBorders>
            <w:vAlign w:val="center"/>
          </w:tcPr>
          <w:p>
            <w:pPr>
              <w:spacing w:before="20" w:after="20"/>
              <w:jc w:val="right"/>
              <w:rPr>
                <w:b/>
                <w:noProof/>
                <w:sz w:val="20"/>
              </w:rPr>
            </w:pPr>
            <w:r>
              <w:rPr>
                <w:b/>
                <w:noProof/>
                <w:sz w:val="20"/>
              </w:rPr>
              <w:t>3,750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Πληρωμές</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3,750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«Διοικητικές δαπάνες»</w:t>
            </w:r>
          </w:p>
        </w:tc>
      </w:tr>
    </w:tbl>
    <w:p>
      <w:pPr>
        <w:jc w:val="left"/>
        <w:rPr>
          <w:noProof/>
          <w:sz w:val="20"/>
        </w:rPr>
      </w:pPr>
      <w:r>
        <w:rPr>
          <w:noProof/>
        </w:rPr>
        <w:t xml:space="preserve">Αυτό το τμήμα πρέπει να συμπληρωθεί με «στοιχεία διοικητικού χαρακτήρα του προϋπολογισμού» τα οποία θα εισαχθούν, καταρχάς, στο </w:t>
      </w:r>
      <w:hyperlink r:id="rId18">
        <w:r>
          <w:rPr>
            <w:rStyle w:val="Hyperlink"/>
            <w:noProof/>
          </w:rPr>
          <w:t>παράρτημα του νομοθετικού δημοσιονομικού δελτίου</w:t>
        </w:r>
      </w:hyperlink>
      <w:r>
        <w:rPr>
          <w:noProof/>
        </w:rPr>
        <w:t xml:space="preserve"> (παράρτημα V του εσωτερικού κανονισμού), που τηλεφορτώνεται στο DECIDE για διυπηρεσιακή διαβούλευση.</w:t>
      </w:r>
    </w:p>
    <w:p>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2021</w:t>
            </w:r>
          </w:p>
        </w:tc>
        <w:tc>
          <w:tcPr>
            <w:tcW w:w="868" w:type="dxa"/>
            <w:vAlign w:val="center"/>
          </w:tcPr>
          <w:p>
            <w:pPr>
              <w:jc w:val="center"/>
              <w:rPr>
                <w:noProof/>
                <w:sz w:val="20"/>
              </w:rPr>
            </w:pPr>
            <w:r>
              <w:rPr>
                <w:noProof/>
                <w:sz w:val="20"/>
              </w:rPr>
              <w:t>Έτος</w:t>
            </w:r>
            <w:r>
              <w:rPr>
                <w:noProof/>
                <w:sz w:val="22"/>
              </w:rPr>
              <w:br/>
            </w:r>
            <w:r>
              <w:rPr>
                <w:b/>
                <w:noProof/>
                <w:sz w:val="20"/>
              </w:rPr>
              <w:t>2022</w:t>
            </w:r>
          </w:p>
        </w:tc>
        <w:tc>
          <w:tcPr>
            <w:tcW w:w="868" w:type="dxa"/>
            <w:vAlign w:val="center"/>
          </w:tcPr>
          <w:p>
            <w:pPr>
              <w:jc w:val="center"/>
              <w:rPr>
                <w:b/>
                <w:noProof/>
                <w:sz w:val="18"/>
              </w:rPr>
            </w:pPr>
            <w:r>
              <w:rPr>
                <w:noProof/>
                <w:sz w:val="20"/>
              </w:rPr>
              <w:t>Έτος</w:t>
            </w:r>
            <w:r>
              <w:rPr>
                <w:noProof/>
                <w:sz w:val="22"/>
              </w:rPr>
              <w:br/>
            </w:r>
            <w:r>
              <w:rPr>
                <w:b/>
                <w:noProof/>
                <w:sz w:val="20"/>
              </w:rPr>
              <w:t>2023</w:t>
            </w:r>
          </w:p>
        </w:tc>
        <w:tc>
          <w:tcPr>
            <w:tcW w:w="1777" w:type="dxa"/>
            <w:vAlign w:val="center"/>
          </w:tcPr>
          <w:p>
            <w:pPr>
              <w:jc w:val="center"/>
              <w:rPr>
                <w:b/>
                <w:noProof/>
                <w:sz w:val="20"/>
              </w:rPr>
            </w:pPr>
            <w:r>
              <w:rPr>
                <w:b/>
                <w:noProof/>
                <w:sz w:val="20"/>
              </w:rPr>
              <w:t>ΣΥΝΟΛΟ</w:t>
            </w:r>
          </w:p>
        </w:tc>
      </w:tr>
      <w:tr>
        <w:trPr>
          <w:gridAfter w:val="8"/>
          <w:wAfter w:w="8211" w:type="dxa"/>
        </w:trPr>
        <w:tc>
          <w:tcPr>
            <w:tcW w:w="3960" w:type="dxa"/>
            <w:vAlign w:val="center"/>
          </w:tcPr>
          <w:p>
            <w:pPr>
              <w:spacing w:before="60" w:after="60"/>
              <w:jc w:val="center"/>
              <w:rPr>
                <w:noProof/>
              </w:rPr>
            </w:pPr>
            <w:r>
              <w:rPr>
                <w:noProof/>
                <w:sz w:val="22"/>
              </w:rPr>
              <w:t>ΓΔ: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Ανθρώπινοι πόροι</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Άλλες διοικητικές δαπάνες</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ΣΥΝΟΛΟ</w:t>
            </w:r>
            <w:r>
              <w:rPr>
                <w:noProof/>
                <w:sz w:val="22"/>
              </w:rPr>
              <w:t xml:space="preserve"> ΓΔ MARE</w:t>
            </w:r>
          </w:p>
        </w:tc>
        <w:tc>
          <w:tcPr>
            <w:tcW w:w="2094" w:type="dxa"/>
            <w:gridSpan w:val="2"/>
            <w:vAlign w:val="center"/>
          </w:tcPr>
          <w:p>
            <w:pPr>
              <w:rPr>
                <w:noProof/>
                <w:sz w:val="14"/>
              </w:rPr>
            </w:pPr>
            <w:r>
              <w:rPr>
                <w:noProof/>
                <w:sz w:val="18"/>
              </w:rPr>
              <w:t xml:space="preserve">Πιστώσεις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ΣΥΝΟΛΟ πιστώσεων</w:t>
            </w:r>
            <w:r>
              <w:rPr>
                <w:noProof/>
                <w:sz w:val="22"/>
              </w:rPr>
              <w:br/>
            </w:r>
            <w:r>
              <w:rPr>
                <w:b/>
                <w:noProof/>
                <w:sz w:val="22"/>
              </w:rPr>
              <w:t>του ΤΟΜΕΑ 5</w:t>
            </w:r>
            <w:r>
              <w:rPr>
                <w:noProof/>
                <w:sz w:val="22"/>
              </w:rPr>
              <w:br/>
              <w:t>του πολυετούς δημοσιονομικού πλαισίου</w:t>
            </w:r>
            <w:r>
              <w:rPr>
                <w:b/>
                <w:noProof/>
                <w:sz w:val="22"/>
              </w:rPr>
              <w:t xml:space="preserve"> </w:t>
            </w:r>
          </w:p>
        </w:tc>
        <w:tc>
          <w:tcPr>
            <w:tcW w:w="2094" w:type="dxa"/>
            <w:vAlign w:val="center"/>
          </w:tcPr>
          <w:p>
            <w:pPr>
              <w:spacing w:before="40" w:after="40"/>
              <w:rPr>
                <w:noProof/>
              </w:rPr>
            </w:pPr>
            <w:r>
              <w:rPr>
                <w:noProof/>
                <w:sz w:val="18"/>
              </w:rPr>
              <w:t>(Σύνολο αναλήψεων υποχρεώσεων = Σύνολο πληρωμών)</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2021</w:t>
            </w:r>
          </w:p>
        </w:tc>
        <w:tc>
          <w:tcPr>
            <w:tcW w:w="868" w:type="dxa"/>
            <w:vAlign w:val="center"/>
          </w:tcPr>
          <w:p>
            <w:pPr>
              <w:jc w:val="center"/>
              <w:rPr>
                <w:noProof/>
                <w:sz w:val="20"/>
              </w:rPr>
            </w:pPr>
            <w:r>
              <w:rPr>
                <w:noProof/>
                <w:sz w:val="20"/>
              </w:rPr>
              <w:t>Έτος</w:t>
            </w:r>
            <w:r>
              <w:rPr>
                <w:noProof/>
                <w:sz w:val="22"/>
              </w:rPr>
              <w:br/>
            </w:r>
            <w:r>
              <w:rPr>
                <w:b/>
                <w:noProof/>
                <w:sz w:val="20"/>
              </w:rPr>
              <w:t>2022</w:t>
            </w:r>
          </w:p>
        </w:tc>
        <w:tc>
          <w:tcPr>
            <w:tcW w:w="868" w:type="dxa"/>
            <w:vAlign w:val="center"/>
          </w:tcPr>
          <w:p>
            <w:pPr>
              <w:jc w:val="center"/>
              <w:rPr>
                <w:b/>
                <w:noProof/>
                <w:sz w:val="18"/>
              </w:rPr>
            </w:pPr>
            <w:r>
              <w:rPr>
                <w:noProof/>
                <w:sz w:val="20"/>
              </w:rPr>
              <w:t>Έτος</w:t>
            </w:r>
            <w:r>
              <w:rPr>
                <w:noProof/>
                <w:sz w:val="22"/>
              </w:rPr>
              <w:br/>
            </w:r>
            <w:r>
              <w:rPr>
                <w:b/>
                <w:noProof/>
                <w:sz w:val="20"/>
              </w:rPr>
              <w:t>2023</w:t>
            </w:r>
          </w:p>
        </w:tc>
        <w:tc>
          <w:tcPr>
            <w:tcW w:w="1777"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rPr>
            </w:pPr>
            <w:r>
              <w:rPr>
                <w:b/>
                <w:noProof/>
                <w:sz w:val="22"/>
              </w:rPr>
              <w:t xml:space="preserve">ΣΥΝΟΛΟ πιστώσεων </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1777" w:type="dxa"/>
            <w:vAlign w:val="center"/>
          </w:tcPr>
          <w:p>
            <w:pPr>
              <w:spacing w:before="60" w:after="60"/>
              <w:jc w:val="right"/>
              <w:rPr>
                <w:b/>
                <w:noProof/>
                <w:sz w:val="20"/>
              </w:rPr>
            </w:pPr>
            <w:r>
              <w:rPr>
                <w:b/>
                <w:noProof/>
                <w:sz w:val="20"/>
              </w:rPr>
              <w:t>3,750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1777" w:type="dxa"/>
            <w:vAlign w:val="center"/>
          </w:tcPr>
          <w:p>
            <w:pPr>
              <w:spacing w:before="60" w:after="60"/>
              <w:jc w:val="right"/>
              <w:rPr>
                <w:b/>
                <w:noProof/>
                <w:sz w:val="20"/>
              </w:rPr>
            </w:pPr>
            <w:r>
              <w:rPr>
                <w:b/>
                <w:noProof/>
                <w:sz w:val="20"/>
              </w:rPr>
              <w:t>3,750</w:t>
            </w:r>
          </w:p>
        </w:tc>
      </w:tr>
    </w:tbl>
    <w:p>
      <w:pPr>
        <w:rPr>
          <w:noProof/>
        </w:rPr>
      </w:pPr>
    </w:p>
    <w:p>
      <w:pPr>
        <w:pStyle w:val="ManualHeading3"/>
        <w:rPr>
          <w:bCs/>
          <w:noProof/>
          <w:szCs w:val="24"/>
        </w:rPr>
      </w:pPr>
      <w:bookmarkStart w:id="57" w:name="_Toc514938054"/>
      <w:bookmarkStart w:id="58" w:name="_Toc520485053"/>
      <w:r>
        <w:t>3.2.2.</w:t>
      </w:r>
      <w:r>
        <w:tab/>
      </w:r>
      <w:r>
        <w:rPr>
          <w:noProof/>
        </w:rPr>
        <w:t>Εκτιμώμενο αποτέλεσμα που χρηματοδοτείται με επιχειρησιακές πιστώσεις</w:t>
      </w:r>
      <w:bookmarkEnd w:id="57"/>
      <w:bookmarkEnd w:id="58"/>
      <w:r>
        <w:rPr>
          <w:noProof/>
        </w:rPr>
        <w:t xml:space="preserve"> </w:t>
      </w:r>
    </w:p>
    <w:p>
      <w:pPr>
        <w:jc w:val="right"/>
        <w:rPr>
          <w:noProof/>
          <w:sz w:val="20"/>
        </w:rPr>
      </w:pPr>
      <w:r>
        <w:rPr>
          <w:noProof/>
          <w:sz w:val="20"/>
        </w:rPr>
        <w:t>Πιστώσεις ανάληψης υποχρεώσεων σε εκατ. EUR (με τρία δεκαδικά ψηφία)</w:t>
      </w:r>
    </w:p>
    <w:tbl>
      <w:tblPr>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6"/>
        <w:gridCol w:w="714"/>
        <w:gridCol w:w="540"/>
        <w:gridCol w:w="648"/>
        <w:gridCol w:w="12"/>
        <w:gridCol w:w="708"/>
        <w:gridCol w:w="900"/>
        <w:gridCol w:w="12"/>
      </w:tblGrid>
      <w:tr>
        <w:trPr>
          <w:jc w:val="center"/>
        </w:trPr>
        <w:tc>
          <w:tcPr>
            <w:tcW w:w="1423" w:type="dxa"/>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Έτος</w:t>
            </w:r>
            <w:r>
              <w:rPr>
                <w:noProof/>
                <w:sz w:val="22"/>
              </w:rPr>
              <w:br/>
            </w:r>
            <w:r>
              <w:rPr>
                <w:b/>
                <w:noProof/>
                <w:sz w:val="18"/>
              </w:rPr>
              <w:t>2019</w:t>
            </w:r>
          </w:p>
        </w:tc>
        <w:tc>
          <w:tcPr>
            <w:tcW w:w="1260" w:type="dxa"/>
            <w:gridSpan w:val="2"/>
            <w:vAlign w:val="center"/>
          </w:tcPr>
          <w:p>
            <w:pPr>
              <w:ind w:right="-29"/>
              <w:jc w:val="center"/>
              <w:rPr>
                <w:noProof/>
                <w:sz w:val="18"/>
                <w:szCs w:val="18"/>
              </w:rPr>
            </w:pPr>
            <w:r>
              <w:rPr>
                <w:noProof/>
                <w:sz w:val="18"/>
              </w:rPr>
              <w:t>Έτος</w:t>
            </w:r>
            <w:r>
              <w:rPr>
                <w:noProof/>
                <w:sz w:val="22"/>
              </w:rPr>
              <w:br/>
            </w:r>
            <w:r>
              <w:rPr>
                <w:b/>
                <w:noProof/>
                <w:sz w:val="18"/>
              </w:rPr>
              <w:t>2020</w:t>
            </w:r>
          </w:p>
        </w:tc>
        <w:tc>
          <w:tcPr>
            <w:tcW w:w="1440" w:type="dxa"/>
            <w:gridSpan w:val="2"/>
            <w:vAlign w:val="center"/>
          </w:tcPr>
          <w:p>
            <w:pPr>
              <w:ind w:right="-29"/>
              <w:jc w:val="center"/>
              <w:rPr>
                <w:noProof/>
                <w:sz w:val="18"/>
                <w:szCs w:val="18"/>
              </w:rPr>
            </w:pPr>
            <w:r>
              <w:rPr>
                <w:noProof/>
                <w:sz w:val="18"/>
              </w:rPr>
              <w:t>Έτος</w:t>
            </w:r>
            <w:r>
              <w:rPr>
                <w:noProof/>
                <w:sz w:val="22"/>
              </w:rPr>
              <w:br/>
            </w:r>
            <w:r>
              <w:rPr>
                <w:b/>
                <w:noProof/>
                <w:sz w:val="18"/>
              </w:rPr>
              <w:t>2021</w:t>
            </w:r>
          </w:p>
        </w:tc>
        <w:tc>
          <w:tcPr>
            <w:tcW w:w="1620" w:type="dxa"/>
            <w:gridSpan w:val="3"/>
            <w:vAlign w:val="center"/>
          </w:tcPr>
          <w:p>
            <w:pPr>
              <w:ind w:right="-29"/>
              <w:jc w:val="center"/>
              <w:rPr>
                <w:noProof/>
                <w:sz w:val="18"/>
                <w:szCs w:val="18"/>
              </w:rPr>
            </w:pPr>
            <w:r>
              <w:rPr>
                <w:noProof/>
                <w:sz w:val="18"/>
              </w:rPr>
              <w:t>Έτος</w:t>
            </w:r>
            <w:r>
              <w:rPr>
                <w:noProof/>
                <w:sz w:val="22"/>
              </w:rPr>
              <w:br/>
            </w:r>
            <w:r>
              <w:rPr>
                <w:b/>
                <w:noProof/>
                <w:sz w:val="18"/>
              </w:rPr>
              <w:t>2022</w:t>
            </w:r>
          </w:p>
        </w:tc>
        <w:tc>
          <w:tcPr>
            <w:tcW w:w="1200" w:type="dxa"/>
            <w:gridSpan w:val="3"/>
            <w:vAlign w:val="center"/>
          </w:tcPr>
          <w:p>
            <w:pPr>
              <w:jc w:val="center"/>
              <w:rPr>
                <w:noProof/>
                <w:sz w:val="18"/>
                <w:szCs w:val="18"/>
              </w:rPr>
            </w:pPr>
            <w:r>
              <w:rPr>
                <w:noProof/>
                <w:sz w:val="18"/>
              </w:rPr>
              <w:t>Έτος</w:t>
            </w:r>
            <w:r>
              <w:rPr>
                <w:noProof/>
                <w:sz w:val="22"/>
              </w:rPr>
              <w:br/>
            </w:r>
            <w:r>
              <w:rPr>
                <w:b/>
                <w:noProof/>
                <w:sz w:val="18"/>
              </w:rPr>
              <w:t>2023</w:t>
            </w:r>
          </w:p>
        </w:tc>
        <w:tc>
          <w:tcPr>
            <w:tcW w:w="1620" w:type="dxa"/>
            <w:gridSpan w:val="3"/>
            <w:tcBorders>
              <w:left w:val="nil"/>
              <w:bottom w:val="nil"/>
            </w:tcBorders>
            <w:vAlign w:val="center"/>
          </w:tcPr>
          <w:p>
            <w:pPr>
              <w:ind w:right="-29"/>
              <w:jc w:val="center"/>
              <w:rPr>
                <w:noProof/>
                <w:sz w:val="18"/>
                <w:szCs w:val="18"/>
              </w:rPr>
            </w:pPr>
            <w:r>
              <w:rPr>
                <w:b/>
                <w:noProof/>
                <w:sz w:val="18"/>
              </w:rPr>
              <w:t>ΣΥΝΟΛΟ</w:t>
            </w:r>
          </w:p>
        </w:tc>
      </w:tr>
      <w:tr>
        <w:trPr>
          <w:gridAfter w:val="17"/>
          <w:wAfter w:w="9785" w:type="dxa"/>
          <w:trHeight w:val="465"/>
          <w:jc w:val="center"/>
        </w:trPr>
        <w:tc>
          <w:tcPr>
            <w:tcW w:w="1423" w:type="dxa"/>
            <w:vMerge/>
            <w:vAlign w:val="center"/>
          </w:tcPr>
          <w:p>
            <w:pPr>
              <w:ind w:right="-29"/>
              <w:jc w:val="center"/>
              <w:rPr>
                <w:noProof/>
                <w:sz w:val="18"/>
                <w:szCs w:val="18"/>
              </w:rPr>
            </w:pPr>
          </w:p>
        </w:tc>
      </w:tr>
      <w:tr>
        <w:trPr>
          <w:gridAfter w:val="1"/>
          <w:wAfter w:w="12" w:type="dxa"/>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Είδος</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6"/>
                <w:szCs w:val="16"/>
              </w:rPr>
            </w:pPr>
            <w:r>
              <w:rPr>
                <w:noProof/>
                <w:sz w:val="16"/>
                <w:szCs w:val="16"/>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6"/>
                <w:szCs w:val="16"/>
              </w:rPr>
            </w:pPr>
            <w:r>
              <w:rPr>
                <w:noProof/>
                <w:sz w:val="16"/>
                <w:szCs w:val="16"/>
              </w:rPr>
              <w:t>Κόστος</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6"/>
                <w:szCs w:val="16"/>
              </w:rPr>
            </w:pPr>
            <w:r>
              <w:rPr>
                <w:noProof/>
                <w:sz w:val="16"/>
                <w:szCs w:val="16"/>
              </w:rPr>
              <w:t>Κόστος</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6"/>
                <w:szCs w:val="16"/>
              </w:rPr>
            </w:pPr>
            <w:r>
              <w:rPr>
                <w:noProof/>
                <w:sz w:val="16"/>
                <w:szCs w:val="16"/>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648" w:type="dxa"/>
            <w:tcBorders>
              <w:left w:val="dashSmallGap" w:sz="4" w:space="0" w:color="auto"/>
            </w:tcBorders>
            <w:shd w:val="pct10" w:color="auto" w:fill="auto"/>
            <w:vAlign w:val="center"/>
          </w:tcPr>
          <w:p>
            <w:pPr>
              <w:jc w:val="center"/>
              <w:rPr>
                <w:noProof/>
                <w:sz w:val="14"/>
                <w:szCs w:val="14"/>
              </w:rPr>
            </w:pPr>
            <w:r>
              <w:rPr>
                <w:noProof/>
                <w:sz w:val="14"/>
                <w:szCs w:val="14"/>
              </w:rPr>
              <w:t>Κόστος</w:t>
            </w:r>
          </w:p>
        </w:tc>
        <w:tc>
          <w:tcPr>
            <w:tcW w:w="720" w:type="dxa"/>
            <w:gridSpan w:val="2"/>
            <w:tcBorders>
              <w:right w:val="dashSmallGap" w:sz="4" w:space="0" w:color="auto"/>
            </w:tcBorders>
            <w:shd w:val="pct10" w:color="auto" w:fill="auto"/>
            <w:vAlign w:val="center"/>
          </w:tcPr>
          <w:p>
            <w:pPr>
              <w:jc w:val="center"/>
              <w:rPr>
                <w:noProof/>
                <w:sz w:val="14"/>
                <w:szCs w:val="14"/>
              </w:rPr>
            </w:pPr>
            <w:r>
              <w:rPr>
                <w:noProof/>
                <w:sz w:val="14"/>
                <w:szCs w:val="14"/>
              </w:rPr>
              <w:t>Συνολι-κός αριθμός</w:t>
            </w:r>
          </w:p>
        </w:tc>
        <w:tc>
          <w:tcPr>
            <w:tcW w:w="900" w:type="dxa"/>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ΕΙΔΙΚΟΣ ΣΤΟΧΟΣ αριθ.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xml:space="preserve">- Πρόσβαση </w:t>
            </w:r>
          </w:p>
        </w:tc>
        <w:tc>
          <w:tcPr>
            <w:tcW w:w="720" w:type="dxa"/>
          </w:tcPr>
          <w:p>
            <w:pPr>
              <w:ind w:right="-29"/>
              <w:jc w:val="center"/>
              <w:rPr>
                <w:noProof/>
                <w:sz w:val="18"/>
                <w:szCs w:val="18"/>
              </w:rPr>
            </w:pPr>
            <w:r>
              <w:rPr>
                <w:noProof/>
                <w:sz w:val="18"/>
              </w:rPr>
              <w:t>Ετήσιος</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0,400</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2,000</w:t>
            </w:r>
          </w:p>
        </w:tc>
      </w:tr>
      <w:tr>
        <w:trPr>
          <w:gridAfter w:val="1"/>
          <w:wAfter w:w="12" w:type="dxa"/>
          <w:trHeight w:hRule="exact" w:val="369"/>
          <w:jc w:val="center"/>
        </w:trPr>
        <w:tc>
          <w:tcPr>
            <w:tcW w:w="1423" w:type="dxa"/>
          </w:tcPr>
          <w:p>
            <w:pPr>
              <w:ind w:right="-29"/>
              <w:jc w:val="center"/>
              <w:rPr>
                <w:noProof/>
                <w:sz w:val="18"/>
                <w:szCs w:val="18"/>
              </w:rPr>
            </w:pPr>
            <w:r>
              <w:rPr>
                <w:noProof/>
                <w:sz w:val="18"/>
              </w:rPr>
              <w:t>- Τομεακός</w:t>
            </w:r>
          </w:p>
        </w:tc>
        <w:tc>
          <w:tcPr>
            <w:tcW w:w="720" w:type="dxa"/>
          </w:tcPr>
          <w:p>
            <w:pPr>
              <w:ind w:right="-29"/>
              <w:jc w:val="center"/>
              <w:rPr>
                <w:noProof/>
                <w:sz w:val="18"/>
                <w:szCs w:val="18"/>
              </w:rPr>
            </w:pPr>
            <w:r>
              <w:rPr>
                <w:noProof/>
                <w:sz w:val="18"/>
              </w:rPr>
              <w:t>Ετήσιος</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0,350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0,350</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1,750</w:t>
            </w:r>
          </w:p>
        </w:tc>
      </w:tr>
      <w:tr>
        <w:trPr>
          <w:gridAfter w:val="1"/>
          <w:wAfter w:w="12" w:type="dxa"/>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ΕΙΔΙΚΟΣ ΣΤΟΧΟΣ αριθ.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jc w:val="center"/>
        </w:trPr>
        <w:tc>
          <w:tcPr>
            <w:tcW w:w="2844" w:type="dxa"/>
            <w:gridSpan w:val="3"/>
            <w:tcBorders>
              <w:bottom w:val="single" w:sz="12" w:space="0" w:color="auto"/>
            </w:tcBorders>
            <w:vAlign w:val="center"/>
          </w:tcPr>
          <w:p>
            <w:pPr>
              <w:jc w:val="center"/>
              <w:rPr>
                <w:noProof/>
                <w:sz w:val="18"/>
                <w:szCs w:val="18"/>
              </w:rPr>
            </w:pPr>
            <w:r>
              <w:rPr>
                <w:noProof/>
                <w:sz w:val="18"/>
              </w:rPr>
              <w:t>Μερικό σύνολο για τον ειδικό στόχο αριθ.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6" w:type="dxa"/>
            <w:gridSpan w:val="2"/>
            <w:tcBorders>
              <w:bottom w:val="single" w:sz="12" w:space="0" w:color="auto"/>
            </w:tcBorders>
          </w:tcPr>
          <w:p>
            <w:pPr>
              <w:ind w:right="-29"/>
              <w:jc w:val="center"/>
              <w:rPr>
                <w:noProof/>
                <w:sz w:val="18"/>
                <w:szCs w:val="18"/>
              </w:rPr>
            </w:pPr>
          </w:p>
        </w:tc>
        <w:tc>
          <w:tcPr>
            <w:tcW w:w="714"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12"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ΣΥΝΟΛΑ</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3,750</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pPr>
        <w:pStyle w:val="ManualHeading3"/>
        <w:rPr>
          <w:bCs/>
          <w:noProof/>
          <w:szCs w:val="24"/>
        </w:rPr>
      </w:pPr>
      <w:bookmarkStart w:id="59" w:name="_Toc514938055"/>
      <w:bookmarkStart w:id="60" w:name="_Toc520485054"/>
      <w:r>
        <w:t>3.2.3.</w:t>
      </w:r>
      <w:r>
        <w:tab/>
      </w:r>
      <w:r>
        <w:rPr>
          <w:noProof/>
        </w:rPr>
        <w:t>Συνοπτική παρουσίαση των εκτιμώμενων επιπτώσεων στις διοικητικές πιστώσεις</w:t>
      </w:r>
      <w:bookmarkEnd w:id="59"/>
      <w:bookmarkEnd w:id="60"/>
      <w:r>
        <w:rPr>
          <w:noProof/>
        </w:rPr>
        <w:t xml:space="preserve"> </w:t>
      </w:r>
    </w:p>
    <w:p>
      <w:pPr>
        <w:pStyle w:val="ListDash1"/>
        <w:rPr>
          <w:noProof/>
        </w:rPr>
      </w:pPr>
      <w:r>
        <w:rPr>
          <w:noProof/>
        </w:rPr>
        <w:t>X</w:t>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A8"/>
      </w:r>
      <w:r>
        <w:rPr>
          <w:noProof/>
        </w:rPr>
        <w:tab/>
        <w:t>Η πρόταση/πρωτοβουλία συνεπάγεται τη χρησιμοποίηση πιστώσεων διοικητικού χαρακτήρα, όπως εξηγείται κατωτέρω:</w:t>
      </w:r>
    </w:p>
    <w:p>
      <w:pPr>
        <w:jc w:val="right"/>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Να εγγραφούν όσα έτη απαιτούνται, ώστε να εμφανίζεται η διάρκεια των επιπτώσεων (βλ. σημείο 1.6)</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5</w:t>
            </w:r>
            <w:r>
              <w:rPr>
                <w:noProof/>
                <w:sz w:val="22"/>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5</w:t>
            </w:r>
            <w:r>
              <w:rPr>
                <w:noProof/>
                <w:sz w:val="22"/>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19"/>
            </w:r>
            <w:r>
              <w:rPr>
                <w:noProof/>
                <w:sz w:val="22"/>
              </w:rPr>
              <w:br/>
            </w:r>
            <w:r>
              <w:rPr>
                <w:b/>
                <w:noProof/>
                <w:sz w:val="16"/>
              </w:rPr>
              <w:t xml:space="preserve">του πολυετούς δημοσιονομικού πλαισίου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δαπάνες </w:t>
            </w:r>
            <w:r>
              <w:rPr>
                <w:noProof/>
                <w:sz w:val="22"/>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Μερικό σύνολο </w:t>
            </w:r>
            <w:r>
              <w:rPr>
                <w:noProof/>
                <w:sz w:val="22"/>
              </w:rPr>
              <w:br/>
            </w:r>
            <w:r>
              <w:rPr>
                <w:b/>
                <w:noProof/>
                <w:sz w:val="16"/>
              </w:rPr>
              <w:t>εκτός του ΤΟΜΕΑ 5</w:t>
            </w:r>
            <w:r>
              <w:rPr>
                <w:noProof/>
                <w:sz w:val="22"/>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Εκτιμώμενες ανάγκες σε ανθρώπινους πόρους </w:t>
      </w:r>
    </w:p>
    <w:p>
      <w:pPr>
        <w:pStyle w:val="ListDash1"/>
        <w:rPr>
          <w:noProof/>
        </w:rPr>
      </w:pPr>
      <w:r>
        <w:rPr>
          <w:noProof/>
        </w:rPr>
        <w:t>X</w:t>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A8"/>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Έτος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Έτος </w:t>
            </w:r>
            <w:r>
              <w:rPr>
                <w:b/>
                <w:noProof/>
                <w:sz w:val="16"/>
              </w:rPr>
              <w:t>N+3</w:t>
            </w:r>
          </w:p>
        </w:tc>
        <w:tc>
          <w:tcPr>
            <w:tcW w:w="600" w:type="dxa"/>
            <w:gridSpan w:val="3"/>
            <w:shd w:val="clear" w:color="auto" w:fill="auto"/>
            <w:vAlign w:val="center"/>
          </w:tcPr>
          <w:p>
            <w:pPr>
              <w:jc w:val="center"/>
              <w:rPr>
                <w:b/>
                <w:noProof/>
                <w:sz w:val="16"/>
                <w:szCs w:val="16"/>
              </w:rPr>
            </w:pPr>
            <w:r>
              <w:rPr>
                <w:noProof/>
                <w:sz w:val="16"/>
              </w:rPr>
              <w:t>Να εγγραφούν όσα έτη απαιτούνται, ώστε να εμφανίζεται η διάρκεια των επιπτώσεων (βλ. σημείο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(στην έδρα και στις αντιπροσωπείες της Επιτροπής)</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(στις αντιπροσωπείες της ΕΕ)</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(έμμεση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(άμεση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JPD στις αντιπροσωπείες της ΕΕ)</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εε</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στις αντιπροσωπείες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(AC, END, INT – έμμεση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άμεση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προϋπολογισμού (να προσδιοριστούν)</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είναι ο σχετικός τομέας πολιτικής ή ο σχετικός τίτλος του προϋπολογισμού.</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r>
              <w:rPr>
                <w:noProof/>
              </w:rPr>
              <w:t>Εφαρμογή του πρωτοκόλλου (πληρωμές, πρόσβαση ενωσιακών σκαφών στα ύδατα του Πράσινου Ακρωτηρίου, διεκπεραίωση των αδειών αλιείας), προετοιμασία και παρακολούθηση των συνεδριάσεων των μεικτών επιτροπών, προετοιμασία για την ανανέωση του πρωτοκόλλου, εξωτερική αξιολόγηση, νομοθετικές διαδικασίες, διαπραγματεύσεις.</w:t>
            </w: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r>
              <w:rPr>
                <w:noProof/>
              </w:rPr>
              <w:t>Εφαρμογή του πρωτοκόλλου: επαφές με τις αρχές του Πράσινου Ακρωτηρίου για πρόσβαση των ενωσιακών σκαφών στα ύδατα του Πράσινου Ακρωτηρίου, διεκπεραίωση των αδειών αλιείας, προετοιμασία και παρακολούθηση των συνεδριάσεων των μεικτών επιτροπών και, ιδίως, εφαρμογή της τομεακής στήριξης.</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61" w:name="_Toc514938056"/>
      <w:bookmarkStart w:id="62" w:name="_Toc520485055"/>
      <w:r>
        <w:t>3.2.4.</w:t>
      </w:r>
      <w:r>
        <w:tab/>
      </w:r>
      <w:r>
        <w:rPr>
          <w:noProof/>
        </w:rPr>
        <w:t>Συμβατότητα με το ισχύον πολυετές δημοσιονομικό πλαίσιο</w:t>
      </w:r>
      <w:bookmarkEnd w:id="61"/>
      <w:bookmarkEnd w:id="62"/>
      <w:r>
        <w:rPr>
          <w:noProof/>
        </w:rPr>
        <w:t xml:space="preserve"> </w:t>
      </w:r>
    </w:p>
    <w:p>
      <w:pPr>
        <w:pStyle w:val="Text1"/>
        <w:rPr>
          <w:noProof/>
        </w:rPr>
      </w:pPr>
      <w:r>
        <w:rPr>
          <w:noProof/>
        </w:rPr>
        <w:t>Η πρόταση/πρωτοβουλία:</w:t>
      </w:r>
    </w:p>
    <w:p>
      <w:pPr>
        <w:pStyle w:val="ListDash1"/>
        <w:rPr>
          <w:noProof/>
        </w:rPr>
      </w:pPr>
      <w:r>
        <w:rPr>
          <w:noProof/>
        </w:rPr>
        <w:t>X</w:t>
      </w:r>
      <w:r>
        <w:rPr>
          <w:noProof/>
        </w:rPr>
        <w:tab/>
        <w:t>μπορεί να χρηματοδοτηθεί εξ ολοκλήρου με ανακατανομή εντός του οικείου τομέα του πολυετούς δημοσιονομικού πλαισίου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Αυτό αφορά τη χρήση της γραμμής του αποθεματικού (κεφάλαιο 40).</w:t>
      </w:r>
    </w:p>
    <w:p>
      <w:pPr>
        <w:pStyle w:val="ListDash1"/>
        <w:rPr>
          <w:noProof/>
        </w:rPr>
      </w:pPr>
      <w:r>
        <w:rPr>
          <w:noProof/>
        </w:rPr>
        <w:sym w:font="Wingdings" w:char="F0A8"/>
      </w:r>
      <w:r>
        <w:rPr>
          <w:noProof/>
        </w:rPr>
        <w:tab/>
        <w:t>συνεπάγεται τη χρησιμοποίηση του αδιάθετου περιθωρίου στο πλαίσιο του αντίστοιχου τομέα του ΠΔΠ και/ή τη χρήση ειδικών μηχανισμών, όπως ορίζεται στον κανονισμό για το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τα αντίστοιχα ποσά και οι μηχανισμοί που προτείνεται να χρησιμοποιηθούν.</w:t>
      </w:r>
    </w:p>
    <w:p>
      <w:pPr>
        <w:pStyle w:val="ListDash1"/>
        <w:rPr>
          <w:noProof/>
        </w:rPr>
      </w:pPr>
      <w:r>
        <w:rPr>
          <w:noProof/>
        </w:rPr>
        <w:sym w:font="Wingdings" w:char="F0A8"/>
      </w:r>
      <w:r>
        <w:rPr>
          <w:noProof/>
        </w:rPr>
        <w:tab/>
        <w:t>συνεπάγεται την αναθεώρηση του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και τα αντίστοιχα ποσά.</w:t>
      </w:r>
    </w:p>
    <w:p>
      <w:pPr>
        <w:pStyle w:val="ManualHeading3"/>
        <w:rPr>
          <w:bCs/>
          <w:noProof/>
          <w:szCs w:val="24"/>
        </w:rPr>
      </w:pPr>
      <w:bookmarkStart w:id="63" w:name="_Toc514938058"/>
      <w:bookmarkStart w:id="64" w:name="_Toc520485056"/>
      <w:r>
        <w:t>3.2.5.</w:t>
      </w:r>
      <w:r>
        <w:tab/>
      </w:r>
      <w:r>
        <w:rPr>
          <w:noProof/>
        </w:rPr>
        <w:t>Συμμετοχή τρίτων στη χρηματοδότηση</w:t>
      </w:r>
      <w:bookmarkEnd w:id="63"/>
      <w:bookmarkEnd w:id="64"/>
      <w:r>
        <w:rPr>
          <w:noProof/>
        </w:rPr>
        <w:t xml:space="preserve"> </w:t>
      </w:r>
    </w:p>
    <w:p>
      <w:pPr>
        <w:pStyle w:val="Text1"/>
        <w:rPr>
          <w:noProof/>
        </w:rPr>
      </w:pPr>
      <w:r>
        <w:rPr>
          <w:noProof/>
        </w:rPr>
        <w:t>Η πρόταση/πρωτοβουλία:</w:t>
      </w:r>
    </w:p>
    <w:p>
      <w:pPr>
        <w:pStyle w:val="ListDash1"/>
        <w:rPr>
          <w:noProof/>
        </w:rPr>
      </w:pPr>
      <w:r>
        <w:rPr>
          <w:noProof/>
        </w:rPr>
        <w:t>X</w:t>
      </w:r>
      <w:r>
        <w:rPr>
          <w:noProof/>
        </w:rPr>
        <w:tab/>
        <w:t>δεν προβλέπει συγχρηματοδότηση από τρίτους</w:t>
      </w:r>
    </w:p>
    <w:p>
      <w:pPr>
        <w:pStyle w:val="ListDash1"/>
        <w:rPr>
          <w:noProof/>
        </w:rPr>
      </w:pPr>
      <w:r>
        <w:rPr>
          <w:noProof/>
        </w:rPr>
        <w:sym w:font="Wingdings" w:char="F0A8"/>
      </w:r>
      <w:r>
        <w:rPr>
          <w:noProof/>
        </w:rPr>
        <w:tab/>
        <w:t>προβλέπει τη συγχρηματοδότηση από τρίτους που εκτιμάται παρακάτω:</w:t>
      </w:r>
    </w:p>
    <w:p>
      <w:pPr>
        <w:jc w:val="right"/>
        <w:rPr>
          <w:noProof/>
          <w:sz w:val="20"/>
        </w:rPr>
      </w:pPr>
      <w:r>
        <w:rPr>
          <w:noProof/>
          <w:sz w:val="20"/>
        </w:rPr>
        <w:t>σε εκατ. EUR (με τρία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sz w:val="22"/>
              </w:rPr>
              <w:br/>
            </w:r>
            <w:r>
              <w:rPr>
                <w:b/>
                <w:noProof/>
                <w:sz w:val="20"/>
              </w:rPr>
              <w:t>N</w:t>
            </w:r>
            <w:r>
              <w:rPr>
                <w:rStyle w:val="FootnoteReference"/>
                <w:b/>
                <w:noProof/>
                <w:sz w:val="20"/>
              </w:rPr>
              <w:footnoteReference w:id="22"/>
            </w:r>
          </w:p>
        </w:tc>
        <w:tc>
          <w:tcPr>
            <w:tcW w:w="964" w:type="dxa"/>
            <w:vAlign w:val="center"/>
          </w:tcPr>
          <w:p>
            <w:pPr>
              <w:jc w:val="center"/>
              <w:rPr>
                <w:noProof/>
                <w:sz w:val="20"/>
              </w:rPr>
            </w:pPr>
            <w:r>
              <w:rPr>
                <w:noProof/>
                <w:sz w:val="20"/>
              </w:rPr>
              <w:t>Έτος</w:t>
            </w:r>
            <w:r>
              <w:rPr>
                <w:noProof/>
                <w:sz w:val="22"/>
              </w:rPr>
              <w:br/>
            </w:r>
            <w:r>
              <w:rPr>
                <w:b/>
                <w:noProof/>
                <w:sz w:val="20"/>
              </w:rPr>
              <w:t>N+1</w:t>
            </w:r>
          </w:p>
        </w:tc>
        <w:tc>
          <w:tcPr>
            <w:tcW w:w="964" w:type="dxa"/>
            <w:vAlign w:val="center"/>
          </w:tcPr>
          <w:p>
            <w:pPr>
              <w:jc w:val="center"/>
              <w:rPr>
                <w:noProof/>
                <w:sz w:val="20"/>
              </w:rPr>
            </w:pPr>
            <w:r>
              <w:rPr>
                <w:noProof/>
                <w:sz w:val="20"/>
              </w:rPr>
              <w:t>Έτος</w:t>
            </w:r>
            <w:r>
              <w:rPr>
                <w:noProof/>
                <w:sz w:val="22"/>
              </w:rPr>
              <w:br/>
            </w:r>
            <w:r>
              <w:rPr>
                <w:b/>
                <w:noProof/>
                <w:sz w:val="20"/>
              </w:rPr>
              <w:t>N+2</w:t>
            </w:r>
          </w:p>
        </w:tc>
        <w:tc>
          <w:tcPr>
            <w:tcW w:w="964" w:type="dxa"/>
            <w:vAlign w:val="center"/>
          </w:tcPr>
          <w:p>
            <w:pPr>
              <w:jc w:val="center"/>
              <w:rPr>
                <w:noProof/>
                <w:sz w:val="20"/>
              </w:rPr>
            </w:pPr>
            <w:r>
              <w:rPr>
                <w:noProof/>
                <w:sz w:val="20"/>
              </w:rPr>
              <w:t>Έτος</w:t>
            </w:r>
            <w:r>
              <w:rPr>
                <w:noProof/>
                <w:sz w:val="22"/>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εμφανίζεται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rPr>
            </w:pPr>
            <w:r>
              <w:rPr>
                <w:noProof/>
                <w:sz w:val="20"/>
              </w:rPr>
              <w:t>Προσδιορισμός του φορέα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65" w:name="_Toc514938059"/>
      <w:bookmarkStart w:id="66" w:name="_Toc520485057"/>
      <w:r>
        <w:t>3.3.</w:t>
      </w:r>
      <w:r>
        <w:tab/>
      </w:r>
      <w:r>
        <w:rPr>
          <w:noProof/>
        </w:rPr>
        <w:t>Εκτιμώμενες επιπτώσεις στα έσοδα</w:t>
      </w:r>
      <w:bookmarkEnd w:id="65"/>
      <w:bookmarkEnd w:id="66"/>
      <w:r>
        <w:rPr>
          <w:noProof/>
        </w:rPr>
        <w:t xml:space="preserve"> </w:t>
      </w:r>
    </w:p>
    <w:p>
      <w:pPr>
        <w:pStyle w:val="ListDash1"/>
        <w:rPr>
          <w:noProof/>
        </w:rPr>
      </w:pPr>
      <w:r>
        <w:rPr>
          <w:noProof/>
        </w:rPr>
        <w:t>X</w:t>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A8"/>
      </w:r>
      <w:r>
        <w:rPr>
          <w:noProof/>
        </w:rPr>
        <w:tab/>
        <w:t>στα λοιπά έσοδα</w:t>
      </w:r>
    </w:p>
    <w:p>
      <w:pPr>
        <w:pStyle w:val="ListNumberLevel3"/>
        <w:rPr>
          <w:noProof/>
        </w:rPr>
      </w:pPr>
      <w:r>
        <w:rPr>
          <w:noProof/>
        </w:rPr>
        <w:t>Να αναφερθεί αν τα έσοδα προορίζονται για γραμμές δαπανών </w:t>
      </w:r>
      <w:r>
        <w:rPr>
          <w:noProof/>
        </w:rPr>
        <w:sym w:font="Wingdings" w:char="F0A8"/>
      </w:r>
      <w:r>
        <w:rPr>
          <w:noProof/>
        </w:rPr>
        <w:tab/>
      </w:r>
    </w:p>
    <w:p>
      <w:pPr>
        <w:ind w:left="4320"/>
        <w:rPr>
          <w:i/>
          <w:noProof/>
          <w:sz w:val="20"/>
        </w:rPr>
      </w:pPr>
      <w:r>
        <w:rPr>
          <w:noProof/>
        </w:rPr>
        <w:t xml:space="preserve">     σε εκατ. EUR (με τρία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325" w:type="dxa"/>
            <w:vMerge w:val="restart"/>
            <w:vAlign w:val="center"/>
          </w:tcPr>
          <w:p>
            <w:pPr>
              <w:jc w:val="center"/>
              <w:rPr>
                <w:noProof/>
                <w:sz w:val="18"/>
              </w:rPr>
            </w:pPr>
            <w:r>
              <w:rPr>
                <w:noProof/>
                <w:sz w:val="18"/>
              </w:rPr>
              <w:t>Διαθέσιμες πιστώσεις για το τρέχον οικονομικό έτος</w:t>
            </w:r>
          </w:p>
        </w:tc>
        <w:tc>
          <w:tcPr>
            <w:tcW w:w="7151"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Έτος</w:t>
            </w:r>
            <w:r>
              <w:rPr>
                <w:noProof/>
                <w:sz w:val="22"/>
              </w:rPr>
              <w:br/>
            </w:r>
            <w:r>
              <w:rPr>
                <w:b/>
                <w:noProof/>
                <w:sz w:val="18"/>
              </w:rPr>
              <w:t>N</w:t>
            </w:r>
          </w:p>
        </w:tc>
        <w:tc>
          <w:tcPr>
            <w:tcW w:w="900" w:type="dxa"/>
            <w:vAlign w:val="center"/>
          </w:tcPr>
          <w:p>
            <w:pPr>
              <w:jc w:val="center"/>
              <w:rPr>
                <w:noProof/>
                <w:sz w:val="18"/>
              </w:rPr>
            </w:pPr>
            <w:r>
              <w:rPr>
                <w:noProof/>
                <w:sz w:val="18"/>
              </w:rPr>
              <w:t>Έτος</w:t>
            </w:r>
            <w:r>
              <w:rPr>
                <w:noProof/>
                <w:sz w:val="22"/>
              </w:rPr>
              <w:br/>
            </w:r>
            <w:r>
              <w:rPr>
                <w:b/>
                <w:noProof/>
                <w:sz w:val="18"/>
              </w:rPr>
              <w:t>N+1</w:t>
            </w:r>
          </w:p>
        </w:tc>
        <w:tc>
          <w:tcPr>
            <w:tcW w:w="900" w:type="dxa"/>
            <w:vAlign w:val="center"/>
          </w:tcPr>
          <w:p>
            <w:pPr>
              <w:jc w:val="center"/>
              <w:rPr>
                <w:noProof/>
                <w:sz w:val="18"/>
              </w:rPr>
            </w:pPr>
            <w:r>
              <w:rPr>
                <w:noProof/>
                <w:sz w:val="18"/>
              </w:rPr>
              <w:t>Έτος</w:t>
            </w:r>
            <w:r>
              <w:rPr>
                <w:noProof/>
                <w:sz w:val="22"/>
              </w:rPr>
              <w:br/>
            </w:r>
            <w:r>
              <w:rPr>
                <w:b/>
                <w:noProof/>
                <w:sz w:val="18"/>
              </w:rPr>
              <w:t>N+2</w:t>
            </w:r>
          </w:p>
        </w:tc>
        <w:tc>
          <w:tcPr>
            <w:tcW w:w="1080" w:type="dxa"/>
            <w:vAlign w:val="center"/>
          </w:tcPr>
          <w:p>
            <w:pPr>
              <w:jc w:val="center"/>
              <w:rPr>
                <w:noProof/>
                <w:sz w:val="18"/>
              </w:rPr>
            </w:pPr>
            <w:r>
              <w:rPr>
                <w:noProof/>
                <w:sz w:val="18"/>
              </w:rPr>
              <w:t>Έτος</w:t>
            </w:r>
            <w:r>
              <w:rPr>
                <w:noProof/>
                <w:sz w:val="22"/>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εμφανίζεται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Άλλες παρατηρήσεις (π.χ. μέθοδος/τύπος για τον υπολογισμό των επιπτώσεων στα έσοδα ή τυχόν άλλες πληροφορίες).</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414 της 30.12.2006, σ. 3.</w:t>
      </w:r>
    </w:p>
  </w:footnote>
  <w:footnote w:id="2">
    <w:p>
      <w:pPr>
        <w:pStyle w:val="FootnoteText"/>
      </w:pPr>
      <w:r>
        <w:rPr>
          <w:rStyle w:val="FootnoteReference"/>
        </w:rPr>
        <w:footnoteRef/>
      </w:r>
      <w:r>
        <w:tab/>
        <w:t>ΕΕ L 107 της 25.4.2007, σ. 7.</w:t>
      </w:r>
    </w:p>
  </w:footnote>
  <w:footnote w:id="3">
    <w:p>
      <w:pPr>
        <w:pStyle w:val="FootnoteText"/>
      </w:pPr>
      <w:r>
        <w:rPr>
          <w:rStyle w:val="FootnoteReference"/>
        </w:rPr>
        <w:footnoteRef/>
      </w:r>
      <w:r>
        <w:tab/>
        <w:t>Εγκρίθηκε από το Συμβούλιο Δικαιοσύνης και Εσωτερικών Υποθέσεων στις 4-5 Ιουνίου 2018.</w:t>
      </w:r>
    </w:p>
  </w:footnote>
  <w:footnote w:id="4">
    <w:p>
      <w:pPr>
        <w:pStyle w:val="FootnoteText"/>
      </w:pPr>
      <w:r>
        <w:rPr>
          <w:rStyle w:val="FootnoteReference"/>
        </w:rPr>
        <w:footnoteRef/>
      </w:r>
      <w:r>
        <w:tab/>
        <w:t>ΕΕ L 354 της 28.12.2013, σ. 22.</w:t>
      </w:r>
    </w:p>
  </w:footnote>
  <w:footnote w:id="5">
    <w:p>
      <w:pPr>
        <w:pStyle w:val="FootnoteText"/>
      </w:pPr>
      <w:r>
        <w:rPr>
          <w:rStyle w:val="FootnoteReference"/>
        </w:rPr>
        <w:footnoteRef/>
      </w:r>
      <w:r>
        <w:tab/>
        <w:t>SWD(2018) 194 final της 16.5.2018.</w:t>
      </w:r>
    </w:p>
  </w:footnote>
  <w:footnote w:id="6">
    <w:p>
      <w:pPr>
        <w:pStyle w:val="FootnoteText"/>
      </w:pPr>
      <w:r>
        <w:rPr>
          <w:rStyle w:val="FootnoteReference"/>
        </w:rPr>
        <w:footnoteRef/>
      </w:r>
      <w:r>
        <w:tab/>
        <w:t>Σύμφωνα με τη διοργανική συμφωνία για τη συνεργασία σε θέματα προϋπολογισμού (2013/C 373/01).</w:t>
      </w:r>
    </w:p>
  </w:footnote>
  <w:footnote w:id="7">
    <w:p>
      <w:pPr>
        <w:pStyle w:val="FootnoteText"/>
      </w:pPr>
      <w:r>
        <w:rPr>
          <w:rStyle w:val="FootnoteReference"/>
        </w:rPr>
        <w:footnoteRef/>
      </w:r>
      <w:r>
        <w:tab/>
        <w:t>Κανονισμός (ΕΚ) αριθ. 2027/2006 του Συμβουλίου, της 19ης Δεκεμβρίου 2006, σχετικά με τη σύναψη της συμφωνίας αλιευτικής σύμπραξης μεταξύ της Ευρωπαϊκής Κοινότητας και της Δημοκρατίας του Πράσινου Ακρωτηρίου (ΕΕ L 414 της 30.12.2006, σ. 1).</w:t>
      </w:r>
    </w:p>
  </w:footnote>
  <w:footnote w:id="8">
    <w:p>
      <w:pPr>
        <w:pStyle w:val="FootnoteText"/>
      </w:pPr>
      <w:r>
        <w:rPr>
          <w:rStyle w:val="FootnoteReference"/>
        </w:rPr>
        <w:footnoteRef/>
      </w:r>
      <w:r>
        <w:tab/>
        <w:t>ΕΕ L 414 της 30.12.2006, σ. 3.</w:t>
      </w:r>
    </w:p>
  </w:footnote>
  <w:footnote w:id="9">
    <w:p>
      <w:pPr>
        <w:pStyle w:val="FootnoteText"/>
        <w:rPr>
          <w:szCs w:val="24"/>
        </w:rPr>
      </w:pPr>
      <w:r>
        <w:rPr>
          <w:rStyle w:val="FootnoteReference"/>
        </w:rPr>
        <w:footnoteRef/>
      </w:r>
      <w:r>
        <w:tab/>
        <w:t>Αναφερόμενα στο άρθρο 58 παράγραφος 2 στοιχεία α) ή β) του δημοσιονομικού κανονισμού.</w:t>
      </w:r>
    </w:p>
  </w:footnote>
  <w:footnote w:id="10">
    <w:p>
      <w:pPr>
        <w:pStyle w:val="FootnoteText"/>
        <w:jc w:val="left"/>
        <w:rPr>
          <w:szCs w:val="24"/>
        </w:rPr>
      </w:pPr>
      <w:r>
        <w:rPr>
          <w:rStyle w:val="FootnoteReference"/>
        </w:rPr>
        <w:footnoteRef/>
      </w:r>
      <w:r>
        <w:tab/>
        <w:t xml:space="preserve">Οι λεπτομέρειες σχετικά με τους τρόπους διαχείρισης και οι παραπομπές στον δημοσιονομικό κανονισμό είναι διαθέσιμες στον ιστότοπο BudgWeb: </w:t>
      </w:r>
      <w:hyperlink r:id="rId1">
        <w:r>
          <w:rPr>
            <w:rStyle w:val="Hyperlink"/>
          </w:rPr>
          <w:t>https://myintracomm.ec.europa.eu/budgweb/EL/man/budgmanag/Pages/budgmanag.aspx</w:t>
        </w:r>
      </w:hyperlink>
      <w:r>
        <w:t xml:space="preserve"> </w:t>
      </w:r>
    </w:p>
  </w:footnote>
  <w:footnote w:id="11">
    <w:p>
      <w:pPr>
        <w:pStyle w:val="FootnoteText"/>
        <w:rPr>
          <w:szCs w:val="24"/>
        </w:rPr>
      </w:pPr>
      <w:r>
        <w:rPr>
          <w:rStyle w:val="FootnoteReference"/>
        </w:rPr>
        <w:footnoteRef/>
      </w:r>
      <w:r>
        <w:tab/>
        <w:t>ΔΠ= Διαχωριζόμενες πιστώσεις / ΜΔΠ= Μη διαχωριζόμενες πιστώσεις</w:t>
      </w:r>
    </w:p>
  </w:footnote>
  <w:footnote w:id="12">
    <w:p>
      <w:pPr>
        <w:pStyle w:val="FootnoteText"/>
        <w:rPr>
          <w:szCs w:val="24"/>
        </w:rPr>
      </w:pPr>
      <w:r>
        <w:rPr>
          <w:rStyle w:val="FootnoteReference"/>
        </w:rPr>
        <w:footnoteRef/>
      </w:r>
      <w:r>
        <w:tab/>
        <w:t xml:space="preserve">ΕΖΕΣ: Ευρωπαϊκή Ζώνη Ελευθέρων Συναλλαγών. </w:t>
      </w:r>
    </w:p>
  </w:footnote>
  <w:footnote w:id="13">
    <w:p>
      <w:pPr>
        <w:pStyle w:val="FootnoteText"/>
        <w:rPr>
          <w:szCs w:val="24"/>
        </w:rPr>
      </w:pPr>
      <w:r>
        <w:rPr>
          <w:rStyle w:val="FootnoteReference"/>
        </w:rPr>
        <w:footnoteRef/>
      </w:r>
      <w:r>
        <w:tab/>
        <w:t>Υποψήφιες χώρες και, κατά περίπτωση, δυνάμει υποψήφια μέλη της ΕΕ από τα Δυτικά Βαλκάνια.</w:t>
      </w:r>
    </w:p>
  </w:footnote>
  <w:footnote w:id="14">
    <w:p>
      <w:pPr>
        <w:pStyle w:val="FootnoteText"/>
        <w:rPr>
          <w:sz w:val="18"/>
          <w:szCs w:val="18"/>
        </w:rPr>
      </w:pPr>
      <w:r>
        <w:rPr>
          <w:rStyle w:val="FootnoteReference"/>
        </w:rPr>
        <w:footnoteRef/>
      </w:r>
      <w:r>
        <w:tab/>
      </w:r>
      <w:r>
        <w:rPr>
          <w:sz w:val="18"/>
        </w:rPr>
        <w:t>Σύμφωνα με την επίσημη ονοματολογία του προϋπολογισμού.</w:t>
      </w:r>
    </w:p>
  </w:footnote>
  <w:footnote w:id="15">
    <w:p>
      <w:pPr>
        <w:pStyle w:val="FootnoteText"/>
        <w:rPr>
          <w:szCs w:val="24"/>
        </w:rPr>
      </w:pPr>
      <w:r>
        <w:rPr>
          <w:rStyle w:val="FootnoteReference"/>
        </w:rPr>
        <w:footnoteRef/>
      </w:r>
      <w:r>
        <w:tab/>
      </w:r>
      <w:r>
        <w:rPr>
          <w:sz w:val="18"/>
        </w:rP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16">
    <w:p>
      <w:pPr>
        <w:pStyle w:val="FootnoteText"/>
        <w:rPr>
          <w:szCs w:val="24"/>
        </w:rPr>
      </w:pPr>
      <w:r>
        <w:rPr>
          <w:rStyle w:val="FootnoteReference"/>
        </w:rPr>
        <w:footnoteRef/>
      </w:r>
      <w:r>
        <w:tab/>
        <w:t>Τα αποτελέσματα είναι τα προϊόντα και οι υπηρεσίες που θα παρασχεθούν (π.χ.: αριθμός ανταλλαγών φοιτητών που θα χρηματοδοτηθούν, αριθμός χλμ. οδών που θα κατασκευαστούν κ.λπ.)</w:t>
      </w:r>
    </w:p>
  </w:footnote>
  <w:footnote w:id="17">
    <w:p>
      <w:pPr>
        <w:pStyle w:val="FootnoteText"/>
        <w:rPr>
          <w:szCs w:val="24"/>
        </w:rPr>
      </w:pPr>
      <w:r>
        <w:rPr>
          <w:rStyle w:val="FootnoteReference"/>
        </w:rPr>
        <w:footnoteRef/>
      </w:r>
      <w:r>
        <w:tab/>
        <w:t xml:space="preserve">Όπως περιγράφεται στο σημείο 1.4.2. «Ειδικοί στόχοι…». </w:t>
      </w:r>
    </w:p>
  </w:footnote>
  <w:footnote w:id="18">
    <w:p>
      <w:pPr>
        <w:pStyle w:val="FootnoteText"/>
        <w:rPr>
          <w:sz w:val="18"/>
          <w:szCs w:val="18"/>
        </w:rPr>
      </w:pPr>
      <w:r>
        <w:rPr>
          <w:rStyle w:val="FootnoteReference"/>
        </w:rPr>
        <w:footnoteRef/>
      </w:r>
      <w:r>
        <w:tab/>
      </w:r>
      <w:r>
        <w:rPr>
          <w:sz w:val="18"/>
        </w:rPr>
        <w:t>Το έτος N είναι το έτος έναρξης εφαρμογής της πρότασης/πρωτοβουλίας. Να αντικατασταθεί το «N» με το αναμενόμενο πρώτο έτος εφαρμογής (για παράδειγμα: 2021). Το ίδιο και για τα επόμενα έτη.</w:t>
      </w:r>
    </w:p>
  </w:footnote>
  <w:footnote w:id="19">
    <w:p>
      <w:pPr>
        <w:pStyle w:val="FootnoteText"/>
        <w:rPr>
          <w:szCs w:val="24"/>
        </w:rPr>
      </w:pPr>
      <w:r>
        <w:rPr>
          <w:rStyle w:val="FootnoteReference"/>
        </w:rPr>
        <w:footnoteRef/>
      </w:r>
      <w:r>
        <w:tab/>
      </w:r>
      <w:r>
        <w:rPr>
          <w:sz w:val="18"/>
        </w:rP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20">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JPD = Νέος επαγγελματίας σε αντιπροσωπεία της ΕΕ. </w:t>
      </w:r>
    </w:p>
  </w:footnote>
  <w:footnote w:id="21">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22">
    <w:p>
      <w:pPr>
        <w:pStyle w:val="FootnoteText"/>
      </w:pPr>
      <w:r>
        <w:rPr>
          <w:rStyle w:val="FootnoteReference"/>
        </w:rPr>
        <w:footnoteRef/>
      </w:r>
      <w:r>
        <w:tab/>
        <w:t>Το έτος N είναι το έτος έναρξης εφαρμογής της πρότασης/πρωτοβουλίας. Να αντικατασταθεί το «N» με το αναμενόμενο πρώτο έτος εφαρμογής (για παράδειγμα: 2021). Το ίδιο και για τα επόμενα έτη.</w:t>
      </w:r>
    </w:p>
  </w:footnote>
  <w:footnote w:id="23">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20 %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FR"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es-ES_tradnl" w:vendorID="64" w:dllVersion="131078" w:nlCheck="1" w:checkStyle="0"/>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0:0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7B58B27-9B20-4A02-8BBD-A5721DFB532C"/>
    <w:docVar w:name="LW_COVERPAGE_TYPE" w:val="1"/>
    <w:docVar w:name="LW_CROSSREFERENCE" w:val="&lt;UNUSED&gt;"/>
    <w:docVar w:name="LW_DocType" w:val="COM"/>
    <w:docVar w:name="LW_EMISSION" w:val="14.3.2019"/>
    <w:docVar w:name="LW_EMISSION_ISODATE" w:val="2019-03-14"/>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71"/>
    <w:docVar w:name="LW_REF.II.NEW.CP_YEAR" w:val="2019"/>
    <w:docVar w:name="LW_REF.INST.NEW" w:val="COM"/>
    <w:docVar w:name="LW_REF.INST.NEW_ADOPTED" w:val="final"/>
    <w:docVar w:name="LW_REF.INST.NEW_TEXT" w:val="(2019)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5?\u960?\u959?\u947?\u961?\u945?\u966?\u942?, \u949?\u958? \u959?\u957?\u972?\u956?\u945?\u964?\u959?\u962? \u964?\u951?\u962? \u904?\u957?\u969?\u963?\u951?\u962?, \u954?\u945?\u953? \u964?\u951?\u957? \u960?\u961?\u959?\u963?\u969?\u961?\u953?\u957?\u942? \u949?\u966?\u945?\u961?\u956?\u959?\u947?\u942? \u964?\u959?\u965? \u960?\u961?\u969?\u964?\u959?\u954?\u972?\u955?\u955?\u959?\u965? \u963?\u967?\u949?\u964?\u953?\u954?\u940? \u956?\u949? \u964?\u951?\u957? \u949?\u966?\u945?\u961?\u956?\u959?\u947?\u942? \u964?\u951?\u962? \u963?\u965?\u956?\u966?\u969?\u957?\u943?\u945?\u962? \u945?\u955?\u953?\u949?\u965?\u964?\u953?\u954?\u942?\u962? \u963?\u973?\u956?\u960?\u961?\u945?\u958?\u951?\u962? \u956?\u949?\u964?\u945?\u958?\u973? \u964?\u951?\u962? \u917?\u965?\u961?\u969?\u960?\u945?\u970?\u954?\u942?\u962? \u922?\u959?\u953?\u957?\u972?\u964?\u951?\u964?\u945?\u962? \u954?\u945?\u953? \u964?\u951?\u962? \u916?\u951?\u956?\u959?\u954?\u961?\u945?\u964?\u943?\u945?\u962? \u964?\u959?\u965? \u928?\u961?\u940?\u963?\u953?\u957?\u959?\u965? \u913?\u954?\u961?\u969?\u964?\u951?\u961?\u943?\u959?\u965? (2019-2024)"/>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l-GR" w:bidi="el-G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l-GR" w:bidi="el-GR"/>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l-GR" w:bidi="el-GR"/>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eastAsia="el-GR" w:bidi="el-GR"/>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el-GR" w:eastAsia="el-GR" w:bidi="el-GR"/>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l-GR" w:bidi="el-G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l-GR" w:bidi="el-GR"/>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l-GR" w:bidi="el-GR"/>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eastAsia="el-GR" w:bidi="el-GR"/>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el-GR" w:eastAsia="el-GR" w:bidi="el-GR"/>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4978">
      <w:bodyDiv w:val="1"/>
      <w:marLeft w:val="0"/>
      <w:marRight w:val="0"/>
      <w:marTop w:val="0"/>
      <w:marBottom w:val="0"/>
      <w:divBdr>
        <w:top w:val="none" w:sz="0" w:space="0" w:color="auto"/>
        <w:left w:val="none" w:sz="0" w:space="0" w:color="auto"/>
        <w:bottom w:val="none" w:sz="0" w:space="0" w:color="auto"/>
        <w:right w:val="none" w:sz="0" w:space="0" w:color="auto"/>
      </w:divBdr>
    </w:div>
    <w:div w:id="642663602">
      <w:bodyDiv w:val="1"/>
      <w:marLeft w:val="0"/>
      <w:marRight w:val="0"/>
      <w:marTop w:val="0"/>
      <w:marBottom w:val="0"/>
      <w:divBdr>
        <w:top w:val="none" w:sz="0" w:space="0" w:color="auto"/>
        <w:left w:val="none" w:sz="0" w:space="0" w:color="auto"/>
        <w:bottom w:val="none" w:sz="0" w:space="0" w:color="auto"/>
        <w:right w:val="none" w:sz="0" w:space="0" w:color="auto"/>
      </w:divBdr>
    </w:div>
    <w:div w:id="863901926">
      <w:bodyDiv w:val="1"/>
      <w:marLeft w:val="0"/>
      <w:marRight w:val="0"/>
      <w:marTop w:val="0"/>
      <w:marBottom w:val="0"/>
      <w:divBdr>
        <w:top w:val="none" w:sz="0" w:space="0" w:color="auto"/>
        <w:left w:val="none" w:sz="0" w:space="0" w:color="auto"/>
        <w:bottom w:val="none" w:sz="0" w:space="0" w:color="auto"/>
        <w:right w:val="none" w:sz="0" w:space="0" w:color="auto"/>
      </w:divBdr>
    </w:div>
    <w:div w:id="1405688202">
      <w:bodyDiv w:val="1"/>
      <w:marLeft w:val="0"/>
      <w:marRight w:val="0"/>
      <w:marTop w:val="0"/>
      <w:marBottom w:val="0"/>
      <w:divBdr>
        <w:top w:val="none" w:sz="0" w:space="0" w:color="auto"/>
        <w:left w:val="none" w:sz="0" w:space="0" w:color="auto"/>
        <w:bottom w:val="none" w:sz="0" w:space="0" w:color="auto"/>
        <w:right w:val="none" w:sz="0" w:space="0" w:color="auto"/>
      </w:divBdr>
    </w:div>
    <w:div w:id="1782334019">
      <w:bodyDiv w:val="1"/>
      <w:marLeft w:val="0"/>
      <w:marRight w:val="0"/>
      <w:marTop w:val="0"/>
      <w:marBottom w:val="0"/>
      <w:divBdr>
        <w:top w:val="none" w:sz="0" w:space="0" w:color="auto"/>
        <w:left w:val="none" w:sz="0" w:space="0" w:color="auto"/>
        <w:bottom w:val="none" w:sz="0" w:space="0" w:color="auto"/>
        <w:right w:val="none" w:sz="0" w:space="0" w:color="auto"/>
      </w:divBdr>
      <w:divsChild>
        <w:div w:id="1459758302">
          <w:marLeft w:val="0"/>
          <w:marRight w:val="0"/>
          <w:marTop w:val="0"/>
          <w:marBottom w:val="0"/>
          <w:divBdr>
            <w:top w:val="none" w:sz="0" w:space="0" w:color="auto"/>
            <w:left w:val="none" w:sz="0" w:space="0" w:color="auto"/>
            <w:bottom w:val="none" w:sz="0" w:space="0" w:color="auto"/>
            <w:right w:val="none" w:sz="0" w:space="0" w:color="auto"/>
          </w:divBdr>
          <w:divsChild>
            <w:div w:id="180510652">
              <w:marLeft w:val="0"/>
              <w:marRight w:val="0"/>
              <w:marTop w:val="0"/>
              <w:marBottom w:val="0"/>
              <w:divBdr>
                <w:top w:val="none" w:sz="0" w:space="0" w:color="auto"/>
                <w:left w:val="none" w:sz="0" w:space="0" w:color="auto"/>
                <w:bottom w:val="none" w:sz="0" w:space="0" w:color="auto"/>
                <w:right w:val="none" w:sz="0" w:space="0" w:color="auto"/>
              </w:divBdr>
              <w:divsChild>
                <w:div w:id="1153175904">
                  <w:marLeft w:val="0"/>
                  <w:marRight w:val="0"/>
                  <w:marTop w:val="0"/>
                  <w:marBottom w:val="0"/>
                  <w:divBdr>
                    <w:top w:val="none" w:sz="0" w:space="0" w:color="auto"/>
                    <w:left w:val="none" w:sz="0" w:space="0" w:color="auto"/>
                    <w:bottom w:val="none" w:sz="0" w:space="0" w:color="auto"/>
                    <w:right w:val="none" w:sz="0" w:space="0" w:color="auto"/>
                  </w:divBdr>
                  <w:divsChild>
                    <w:div w:id="978534353">
                      <w:marLeft w:val="-150"/>
                      <w:marRight w:val="-150"/>
                      <w:marTop w:val="0"/>
                      <w:marBottom w:val="0"/>
                      <w:divBdr>
                        <w:top w:val="none" w:sz="0" w:space="0" w:color="auto"/>
                        <w:left w:val="none" w:sz="0" w:space="0" w:color="auto"/>
                        <w:bottom w:val="none" w:sz="0" w:space="0" w:color="auto"/>
                        <w:right w:val="none" w:sz="0" w:space="0" w:color="auto"/>
                      </w:divBdr>
                      <w:divsChild>
                        <w:div w:id="267666398">
                          <w:marLeft w:val="0"/>
                          <w:marRight w:val="0"/>
                          <w:marTop w:val="0"/>
                          <w:marBottom w:val="0"/>
                          <w:divBdr>
                            <w:top w:val="none" w:sz="0" w:space="0" w:color="auto"/>
                            <w:left w:val="none" w:sz="0" w:space="0" w:color="auto"/>
                            <w:bottom w:val="none" w:sz="0" w:space="0" w:color="auto"/>
                            <w:right w:val="none" w:sz="0" w:space="0" w:color="auto"/>
                          </w:divBdr>
                          <w:divsChild>
                            <w:div w:id="716393277">
                              <w:marLeft w:val="0"/>
                              <w:marRight w:val="0"/>
                              <w:marTop w:val="0"/>
                              <w:marBottom w:val="0"/>
                              <w:divBdr>
                                <w:top w:val="none" w:sz="0" w:space="0" w:color="auto"/>
                                <w:left w:val="none" w:sz="0" w:space="0" w:color="auto"/>
                                <w:bottom w:val="none" w:sz="0" w:space="0" w:color="auto"/>
                                <w:right w:val="none" w:sz="0" w:space="0" w:color="auto"/>
                              </w:divBdr>
                              <w:divsChild>
                                <w:div w:id="929048233">
                                  <w:marLeft w:val="0"/>
                                  <w:marRight w:val="0"/>
                                  <w:marTop w:val="0"/>
                                  <w:marBottom w:val="300"/>
                                  <w:divBdr>
                                    <w:top w:val="none" w:sz="0" w:space="0" w:color="auto"/>
                                    <w:left w:val="none" w:sz="0" w:space="0" w:color="auto"/>
                                    <w:bottom w:val="none" w:sz="0" w:space="0" w:color="auto"/>
                                    <w:right w:val="none" w:sz="0" w:space="0" w:color="auto"/>
                                  </w:divBdr>
                                  <w:divsChild>
                                    <w:div w:id="1594313518">
                                      <w:marLeft w:val="0"/>
                                      <w:marRight w:val="0"/>
                                      <w:marTop w:val="0"/>
                                      <w:marBottom w:val="0"/>
                                      <w:divBdr>
                                        <w:top w:val="none" w:sz="0" w:space="0" w:color="auto"/>
                                        <w:left w:val="none" w:sz="0" w:space="0" w:color="auto"/>
                                        <w:bottom w:val="none" w:sz="0" w:space="0" w:color="auto"/>
                                        <w:right w:val="none" w:sz="0" w:space="0" w:color="auto"/>
                                      </w:divBdr>
                                      <w:divsChild>
                                        <w:div w:id="56711654">
                                          <w:marLeft w:val="0"/>
                                          <w:marRight w:val="0"/>
                                          <w:marTop w:val="0"/>
                                          <w:marBottom w:val="0"/>
                                          <w:divBdr>
                                            <w:top w:val="none" w:sz="0" w:space="0" w:color="auto"/>
                                            <w:left w:val="none" w:sz="0" w:space="0" w:color="auto"/>
                                            <w:bottom w:val="none" w:sz="0" w:space="0" w:color="auto"/>
                                            <w:right w:val="none" w:sz="0" w:space="0" w:color="auto"/>
                                          </w:divBdr>
                                          <w:divsChild>
                                            <w:div w:id="17712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FR/leg/internal/Documents/2016-5-legislative-financial-statement-ann-fr.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L/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DA97-D0CC-4F44-9097-D93FB127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9</TotalTime>
  <Pages>25</Pages>
  <Words>4961</Words>
  <Characters>30860</Characters>
  <Application>Microsoft Office Word</Application>
  <DocSecurity>0</DocSecurity>
  <Lines>1402</Lines>
  <Paragraphs>617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2018-12-06T13:51:00Z</cp:lastPrinted>
  <dcterms:created xsi:type="dcterms:W3CDTF">2019-02-15T12:10:00Z</dcterms:created>
  <dcterms:modified xsi:type="dcterms:W3CDTF">2019-03-13T13:30:00Z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