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886609D-F0DD-482B-90A3-C4B778C0BA96" style="width:450.8pt;height:365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Raġunijiet u 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Il-Ftehim ta’ sħubija fis-settur tas-sajd bejn il-Komunità Ewropea u r-Repubblika ta’ Cape Verde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(minn hawn ’il quddiem imsejjaħ “il-Ftehim”) daħal fis-seħħ fit-30 ta’ Marzu 2007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Il-Protokoll attwali tal-Ftehim daħal fis-seħħ fit-23 ta’ Diċembru 2014 u skada fit-22 ta’ Diċembru 2018.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Abbażi tad-Direttivi tan-negozjati rilevanti</w:t>
      </w:r>
      <w:r>
        <w:rPr>
          <w:rStyle w:val="FootnoteReference"/>
          <w:noProof/>
        </w:rPr>
        <w:footnoteReference w:id="3"/>
      </w:r>
      <w:r>
        <w:rPr>
          <w:noProof/>
        </w:rPr>
        <w:t>, il-Kummissjoni nnegozjat mal-Gvern tar-Repubblika ta’ Cape Verde (minn hawn ’il quddiem imsejħa “Cape Verde”) bil-ħsieb li tikkonkludi Protokoll ġdid tal-Ftehim. Wara dawn in-negozjati, fit-12 ta’ Ottubru 2018 ġie inizjalat Protokoll ġdid. Il-Protokoll ikopri perjodu ta’ ħames snin mid-data tal-applikazzjoni provviżorja tiegħu, jiġifieri mid-data tal-iffirmar tiegħu, kif imsemmi fl-Artikolu 15 tiegħu.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Konsistenza mad-dispożizzjonijiet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Skont il-prijoritajiet tar-riforma tal-politika tas-sajd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il-Protokoll il-ġdid joffri opportunitajiet tas-sajd għall-bastimenti tal-Unjoni fl-ilmijiet ta’ Cape Verde skont l-aqwa parir xjentifiku disponibbli u filwaqt li jħares ir-rakkomandazzjonijiet tal-Kummissjoni Internazzjonali għall-Konservazzjoni tat-Tonn tal-Atlantiku (l-ICCAT). Dan il-Protokoll il-ġdid iqis ir-riżultati ta’ evalwazzjoni tal-aħħar Protokoll (tal-2014 sal-2018) u ta’ evalwazzjoni li tħares lejn il-ġejjieni dwar jekk għandux jiġi konkluż Protokoll ġdid. Dawn iż-żewġ evalwazzjonijiet saru minn esperti esterni. Il-Protokoll se jippermetti wkoll lill-Unjoni Ewropea u lil Cape Verde jaħdmu aktar mill-qrib bejniethom biex jippromwovu l-użu responsabbli tar-riżorsi tas-sajd fl-ilmijiet ta’ Cape Verde u se jappoġġa l-isforzi ta’ Cape Verde biex jiżviluppa l-ekonomija l-blu tiegħu, fl-interess taż-żewġ partijiet.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Il-protokoll jipprevedi opportunitajiet tas-sajd fil-kategoriji li ġejjin: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28 bastiment tas-sajd għat-tonn bit-tartaruni mgħammra bi friża;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27 bastiment tas-sajd bil-konz tal-wiċċ;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14-il bastiment tas-sajd għat-tonn bil-qasba.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In-negozjar ta’ Protokoll ġdid tal-Ftehim ta’ sħubija fis-settur tas-sajd ma’ Cape Verde jidħol fil-qafas tal-azzjoni esterna tal-UE mal-pajjiżi AKP, u jqis b’mod partikulari l-għanijiet tal-Unjoni fil-qasam tal-ħarsien tal-prinċipji demokratiċi u tad-drittijiet tal-bniedem.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keepNext/>
        <w:rPr>
          <w:noProof/>
          <w:sz w:val="22"/>
        </w:rPr>
      </w:pPr>
      <w:r>
        <w:rPr>
          <w:noProof/>
        </w:rPr>
        <w:t xml:space="preserve">Il-bażi ġuridika magħżula hija t-Trattat dwar il-Funzjonament tal-Unjoni Ewropea, li l-Artikolu 43(2) tiegħu jistabbilixxi l-politika komuni tas-sajd u l-Artikolu 218(5) tiegħu jistabbilixxi l-istadju kkonċernat tal-proċedura ta’ negozjar u ta’ konklużjoni tal-ftehimiet bejn l-Unjoni u pajjiżi terzi.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Sussidjarjetà (għall-kompetenza mhux esklużiva)</w:t>
      </w:r>
    </w:p>
    <w:p>
      <w:pPr>
        <w:keepNext/>
        <w:rPr>
          <w:noProof/>
          <w:sz w:val="22"/>
        </w:rPr>
      </w:pPr>
      <w:r>
        <w:rPr>
          <w:noProof/>
        </w:rPr>
        <w:t>Il-proposta tidħol fl-ambitu tal-kompetenza esklużiva tal-Unjoni Ewropea.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keepNext/>
        <w:rPr>
          <w:noProof/>
          <w:sz w:val="22"/>
        </w:rPr>
      </w:pPr>
      <w:r>
        <w:rPr>
          <w:noProof/>
        </w:rPr>
        <w:t xml:space="preserve">Il-proposta hija proporzjonata mal-għan li jiġi stabbilit qafas ta’ governanza ġuridiku, ambjentali, ekonomiku u soċjali għall-attivitajiet tas-sajd li l-bastimenti tal-Unjoni jwettqu fl-ilmijiet ta’ pajjiżi terzi, kif stabbilit fl-Artikolu 31 tar-Regolament li jistabbilixxi l-politika komuni tas-sajd. Hija tikkonforma ma’ dawk id-dispożizzjonijiet, kif ukoll mad-dispożizzjonijiet dwar l-għajnuna finanzjarja lil pajjiżi terzi stabbiliti fl-Artikolu 32 ta’ dak ir-Regolament.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Evalwazzjonijiet </w:t>
      </w:r>
      <w:r>
        <w:rPr>
          <w:i/>
          <w:noProof/>
        </w:rPr>
        <w:t>ex post</w:t>
      </w:r>
      <w:r>
        <w:rPr>
          <w:noProof/>
        </w:rPr>
        <w:t>/kontrolli tal-idoneità tal-leġiżlazzjoni eżistenti</w:t>
      </w:r>
    </w:p>
    <w:p>
      <w:pPr>
        <w:rPr>
          <w:noProof/>
        </w:rPr>
      </w:pPr>
      <w:r>
        <w:rPr>
          <w:noProof/>
        </w:rPr>
        <w:t xml:space="preserve">Fl-2018, il-Kummissjoni wettqet evalwazzjoni </w:t>
      </w:r>
      <w:r>
        <w:rPr>
          <w:i/>
          <w:noProof/>
        </w:rPr>
        <w:t>ex post</w:t>
      </w:r>
      <w:r>
        <w:rPr>
          <w:noProof/>
        </w:rPr>
        <w:t xml:space="preserve"> tal-Protokoll attwali tal-Ftehim ta’ sħubija fis-settur tas-sajd ma’ Cape Verde, kif ukoll evalwazzjoni </w:t>
      </w:r>
      <w:r>
        <w:rPr>
          <w:i/>
          <w:noProof/>
        </w:rPr>
        <w:t>ex ante</w:t>
      </w:r>
      <w:r>
        <w:rPr>
          <w:noProof/>
        </w:rPr>
        <w:t xml:space="preserve"> tat-tiġdid potenzjali tal-Protokoll. Il-konklużjonijiet tal-evalwazzjoni huma ppreżentati f’dokument ta’ ħidma separat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Mill-evalwazzjoni ħareġ li s-settur tas-sajd għat-tonn tal-UE huwa interessat ferm fis-sajd f’Cape Verde u li t-tiġdid tal-Protokoll jikkontribwixxi biex jissaħħu l-monitoraġġ, il-kontroll u s-sorveljanza u biex tittejjeb il-governanza tas-sajd fir-reġjun. L-importanza ta’ Mindelo (fil-gżira ta’ São Vicente) bħala wieħed mill-portijiet ewlenin ta’ ħatt l-art u wieħed mill-postijiet ewlenin għall-ipproċessar fl-Afrika tal-Punent tikkontribwixxi għar-rilevanza tal-Protokoll il-ġdid previst kemm għas-settur tas-sajd għat-tonn tal-UE kif ukoll għall-pajjiż sieħeb.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L-Istati Membri, ir-rappreżentanti tas-settur, l-organizzazzjonijiet internazzjonali tas-soċjetà ċivili kif ukoll l-amministrazzjoni tas-sajd u r-rappreżentanti tas-soċjetà ċivili ta’ Cape Verde ġew ikkonsultati fil-kuntest tal-evalwazzjoni. Saru wkoll konsultazzjonijiet fil-qafas tal-Kunsill Konsultattiv għall-Flotta ta’ Distanzi Twal.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Ġbir u użu tal-għarfien espert</w:t>
      </w:r>
    </w:p>
    <w:p>
      <w:pPr>
        <w:spacing w:before="0" w:after="240"/>
        <w:rPr>
          <w:noProof/>
        </w:rPr>
      </w:pPr>
      <w:r>
        <w:rPr>
          <w:noProof/>
        </w:rPr>
        <w:t xml:space="preserve">Il-Kummissjoni użat konsulent indipendenti għall-evalwazzjonijiet </w:t>
      </w:r>
      <w:r>
        <w:rPr>
          <w:i/>
          <w:noProof/>
        </w:rPr>
        <w:t>ex post</w:t>
      </w:r>
      <w:r>
        <w:rPr>
          <w:noProof/>
        </w:rPr>
        <w:t xml:space="preserve"> u </w:t>
      </w:r>
      <w:r>
        <w:rPr>
          <w:i/>
          <w:noProof/>
        </w:rPr>
        <w:t>ex ante</w:t>
      </w:r>
      <w:r>
        <w:rPr>
          <w:noProof/>
        </w:rPr>
        <w:t xml:space="preserve">, f’konformità mad-dispożizzjonijiet tal-Artikolu 31(10) tar-Regolament li jistabbilixxi l-politika komuni tas-sajd.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 BAĠITARJA</w:t>
      </w:r>
    </w:p>
    <w:p>
      <w:pPr>
        <w:rPr>
          <w:noProof/>
        </w:rPr>
      </w:pPr>
      <w:r>
        <w:rPr>
          <w:noProof/>
        </w:rPr>
        <w:t>Il-kontribuzzjoni finanzjarja annwali tal-Unjoni Ewropea hija ta’ EUR 750 000, abbażi ta’:</w:t>
      </w:r>
    </w:p>
    <w:p>
      <w:pPr>
        <w:rPr>
          <w:noProof/>
        </w:rPr>
      </w:pPr>
      <w:r>
        <w:rPr>
          <w:noProof/>
        </w:rPr>
        <w:t xml:space="preserve">(a) tunnellaġġ ta’ referenza ta’ 8 000 tunnellata fis-sena, li għalih ġie stabbilit ammont marbut mal-aċċess ta’ EUR 400 000 fis-sena għall-perjodu kollu tal-Protokoll; </w:t>
      </w:r>
    </w:p>
    <w:p>
      <w:pPr>
        <w:rPr>
          <w:noProof/>
        </w:rPr>
      </w:pPr>
      <w:r>
        <w:rPr>
          <w:noProof/>
        </w:rPr>
        <w:t>(b) appoġġ għall-iżvilupp tal-politika settorjali tas-sajd u tal-ekonomija l-blu ta’ Cape Verde ta’ EUR 350 000 fis-sena għall-perjodu kollu tal-Protokoll. Dan l-appoġġ jilħaq l-għanijiet tal-politika nazzjonali b’rabta mal-ġestjoni sostenibbli tar-riżorsi tas-sajd kontinentali u tal-baħar ta’ Cape Verde għall-perjodu kollu tal-Protokoll.</w:t>
      </w:r>
    </w:p>
    <w:p>
      <w:pPr>
        <w:rPr>
          <w:noProof/>
        </w:rPr>
      </w:pPr>
      <w:r>
        <w:rPr>
          <w:noProof/>
        </w:rPr>
        <w:t>L-ammont annwali għall-approprjazzjonijiet ta’ impenn u għall-approprjazzjonijiet ta’ pagament huwa stabbilit fil-proċedura baġitarja annwali, fosthom għal-linja ta’ riżerva għall-protokolli li jkun għadhom ma daħlux fis-seħħ fil-bidu tas-sena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r-rappurtar</w:t>
      </w:r>
    </w:p>
    <w:p>
      <w:pPr>
        <w:rPr>
          <w:noProof/>
        </w:rPr>
      </w:pPr>
      <w:r>
        <w:rPr>
          <w:noProof/>
        </w:rPr>
        <w:t>L-arranġamenti dwar il-monitoraġġ huma stabbiliti fil-Protokoll.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2019/0071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l-iffirmar, f’isem l-Unjoni, u l-applikazzjoni provviżorja tal-Protokoll dwar l-implimentazzjoni tal-Ftehim ta’ sħubija fis-settur tas-sajd bejn il-Komunità Ewropea u r-Repubblika ta’ Cape Verde (għall-2019 sal-2024)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partikulari l-Artikolu 43(2) flimkien mal-Artikolu 218(5)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Fid-19 ta’ Diċembru 2006, il-Kunsill adotta r-Regolament (KE) Nru 2027/2006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dwar il-konklużjoni ta’ Ftehim ta’ sħubija fis-settur tas-sajd bejn il-Komunità Ewropea u r-Repubblika ta’ Cape Verde (minn hawn ’il quddiem imsejjaħ “il-Ftehim”)</w:t>
      </w:r>
      <w:r>
        <w:rPr>
          <w:rStyle w:val="FootnoteReference"/>
          <w:noProof/>
        </w:rPr>
        <w:footnoteReference w:id="8"/>
      </w:r>
      <w:r>
        <w:rPr>
          <w:noProof/>
        </w:rPr>
        <w:t>, li daħal fis-seħħ fit-30 ta’ Marzu 2007 u li wara ġġedded b’mod taċitu u għadu fis-seħħ.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L-aħħar Protokoll tal-Ftehim skada fit-22 ta’ Diċembru 2018.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Il-Kummissjoni nnegozjat Protokoll ġdid dwar l-implimentazzjoni tal-Ftehim (minn hawn ’il quddiem imsejjaħ “il-Protokoll”) f’isem l-Unjoni Ewropea. Il-Protokoll ġie inizjalat fit-12 ta’ Ottubru 2018 wara li ntemmu dawn in-negozjati.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L-għan tal-Protokoll huwa li jippermetti lill-Unjoni Ewropea u lir-Repubblika ta’ Cape Verde jaħdmu aktar mill-qrib bejniethom biex jippromwovu politika tas-sajd sostenibbli, l-użu responsabbli tar-riżorsi tas-sajd fl-ilmijiet ta’ Cape Verde u l-isforzi ta’ Cape Verde biex jiżviluppa ekonomija blu.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Għalhekk jenħtieġ li jiġi awtorizzat l-iffirmar tal-Protokoll, dejjem jekk dan ikun ġie konkluż f’data iktar tard.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Sabiex ikun żgurat li l-attivitajiet tas-sajd tal-bastimenti tal-Unjoni jinbdew malajr, jenħtieġ li l-Protokoll jiġi applikat b’mod provviżorju minn meta jiġi ffirmat sa ma jidħol fis-seħħ,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  <w:r>
        <w:rPr>
          <w:noProof/>
        </w:rPr>
        <w:t>L-Unjoni tawtorizza l-iffirmar tal-Protokoll dwar l-implimentazzjoni tal-Ftehim ta’ sħubija fis-settur tas-sajd bejn il-Komunità Ewropea u r-Repubblika ta’ Cape Verde (għall-2019 sal-2024) (minn hawn ’il quddiem imsejjaħ “il-Protokoll”), dejjem jekk ikun ġie konkluż it-tali Protokoll.</w:t>
      </w:r>
    </w:p>
    <w:p>
      <w:pPr>
        <w:rPr>
          <w:noProof/>
        </w:rPr>
      </w:pPr>
      <w:r>
        <w:rPr>
          <w:noProof/>
        </w:rPr>
        <w:t>It-test tal-Protokoll huwa mehmuż ma’ din id-Deċiżjoni.</w:t>
      </w:r>
    </w:p>
    <w:p>
      <w:pPr>
        <w:pStyle w:val="Titrearticle"/>
        <w:rPr>
          <w:noProof/>
        </w:rPr>
      </w:pPr>
      <w:r>
        <w:rPr>
          <w:noProof/>
        </w:rPr>
        <w:t xml:space="preserve">Artikolu 2 </w:t>
      </w:r>
    </w:p>
    <w:p>
      <w:pPr>
        <w:rPr>
          <w:noProof/>
        </w:rPr>
      </w:pPr>
      <w:r>
        <w:rPr>
          <w:noProof/>
        </w:rPr>
        <w:t xml:space="preserve">Is-Segretarjat Ġenerali tal-Kunsill għandu jistabbilixxi l-istrument ta’ setgħat sħaħ li jawtorizza lill-persuna jew lill-persuni li n-negozjatur tal-Protokoll ikun indika biex jiffirmaw il-Protokoll, dejjem jekk dan ikun ġie konkluż. </w:t>
      </w:r>
    </w:p>
    <w:p>
      <w:pPr>
        <w:pStyle w:val="Titrearticle"/>
        <w:rPr>
          <w:noProof/>
        </w:rPr>
      </w:pPr>
      <w:r>
        <w:rPr>
          <w:noProof/>
        </w:rPr>
        <w:t>Artikolu 3</w:t>
      </w:r>
    </w:p>
    <w:p>
      <w:pPr>
        <w:keepNext/>
        <w:rPr>
          <w:noProof/>
        </w:rPr>
      </w:pPr>
      <w:r>
        <w:rPr>
          <w:noProof/>
        </w:rPr>
        <w:t>Skont l-Artikolu 15 tiegħu, il-Protokoll għandu japplika b’mod provviżorju mid-data tal-iffirmar tiegħu sa ma jidħol fis-seħħ.</w:t>
      </w:r>
    </w:p>
    <w:p>
      <w:pPr>
        <w:pStyle w:val="Titrearticle"/>
        <w:rPr>
          <w:noProof/>
        </w:rPr>
      </w:pPr>
      <w:r>
        <w:rPr>
          <w:noProof/>
        </w:rPr>
        <w:t>Artikolu 4</w:t>
      </w:r>
    </w:p>
    <w:p>
      <w:pPr>
        <w:keepNext/>
        <w:rPr>
          <w:noProof/>
        </w:rPr>
      </w:pPr>
      <w:r>
        <w:rPr>
          <w:noProof/>
        </w:rPr>
        <w:t>Din id-Deċiżjoni għandha tidħol fis-seħħ l-għada tal-jum tal-pubblikazzjoni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p>
      <w:pPr>
        <w:rPr>
          <w:noProof/>
        </w:rPr>
        <w:sectPr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t>DIKJARAZZJONI FINANZJARJA LEĠIŻLATTIVA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QAFAS TAL-PROPOSTA/TAL-INIZJATTIVA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Titolu tal-proposta/tal-inizjattiva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Qasam/oqsma ta’ politika kkonċernat(i)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Il-proposta/l-inizjattiva hija dwar: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Għanijiet </w:t>
      </w:r>
    </w:p>
    <w:p>
      <w:pPr>
        <w:pStyle w:val="ManualHeading3"/>
        <w:rPr>
          <w:noProof/>
        </w:rPr>
      </w:pPr>
      <w:r>
        <w:rPr>
          <w:noProof/>
        </w:rPr>
        <w:tab/>
        <w:t>1.4.1.</w:t>
      </w:r>
      <w:r>
        <w:rPr>
          <w:noProof/>
        </w:rPr>
        <w:tab/>
        <w:t>Għanijiet ġenerali</w:t>
      </w:r>
    </w:p>
    <w:p>
      <w:pPr>
        <w:pStyle w:val="ManualHeading3"/>
        <w:rPr>
          <w:noProof/>
        </w:rPr>
      </w:pPr>
      <w:r>
        <w:rPr>
          <w:noProof/>
        </w:rPr>
        <w:tab/>
        <w:t>1.4.2.</w:t>
      </w:r>
      <w:r>
        <w:rPr>
          <w:noProof/>
        </w:rPr>
        <w:tab/>
        <w:t>Għanijiet speċifiċi</w:t>
      </w:r>
    </w:p>
    <w:p>
      <w:pPr>
        <w:pStyle w:val="ManualHeading3"/>
        <w:rPr>
          <w:noProof/>
        </w:rPr>
      </w:pPr>
      <w:r>
        <w:rPr>
          <w:noProof/>
        </w:rPr>
        <w:tab/>
        <w:t>1.4.3.</w:t>
      </w:r>
      <w:r>
        <w:rPr>
          <w:noProof/>
        </w:rPr>
        <w:tab/>
        <w:t>Riżultati u impatti mistennija</w:t>
      </w:r>
    </w:p>
    <w:p>
      <w:pPr>
        <w:pStyle w:val="ManualHeading3"/>
        <w:rPr>
          <w:noProof/>
        </w:rPr>
      </w:pPr>
      <w:r>
        <w:rPr>
          <w:noProof/>
        </w:rPr>
        <w:tab/>
        <w:t>1.4.4.</w:t>
      </w:r>
      <w:r>
        <w:rPr>
          <w:noProof/>
        </w:rPr>
        <w:tab/>
        <w:t>Indikaturi tal-prestazzjoni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Raġunijiet għall-proposta/għall-inizjattiva </w:t>
      </w:r>
    </w:p>
    <w:p>
      <w:pPr>
        <w:pStyle w:val="ManualHeading3"/>
        <w:rPr>
          <w:noProof/>
        </w:rPr>
      </w:pPr>
      <w:r>
        <w:rPr>
          <w:noProof/>
        </w:rPr>
        <w:tab/>
        <w:t>1.5.1.</w:t>
      </w:r>
      <w:r>
        <w:rPr>
          <w:noProof/>
        </w:rPr>
        <w:tab/>
        <w:t>Rekwiżit(i) li jridu jiġu ssodisfati fuq terminu qasir jew twil inkluża kronoloġija dettaljata għall-prosegwiment tal-implimentazzjoni tal-inizjattiva</w:t>
      </w:r>
    </w:p>
    <w:p>
      <w:pPr>
        <w:pStyle w:val="ManualHeading3"/>
        <w:rPr>
          <w:noProof/>
        </w:rPr>
      </w:pPr>
      <w:r>
        <w:rPr>
          <w:noProof/>
        </w:rPr>
        <w:tab/>
        <w:t>1.5.2.</w:t>
      </w:r>
      <w:r>
        <w:rPr>
          <w:noProof/>
        </w:rPr>
        <w:tab/>
        <w:t>Il-valur miżjud tal-involviment tal-Unjoni (dan jista’ jirriżulta minn fatturi differenti, eż. il-gwadann mill-koordinazzjoni, iċ-ċertezza tad-dritt, effettività akbar jew il-kumplimentarjetajiet). Għall-finijiet ta’ dan il-punt, “il-valur miżjud tal-involviment tal-Unjoni” huwa l-valur li jirriżulta mill-intervent tal-Unjoni li jkun addizzjonali għall-valur li kieku kien jinħoloq mill-Istati Membri waħedhom.</w:t>
      </w:r>
    </w:p>
    <w:p>
      <w:pPr>
        <w:pStyle w:val="ManualHeading3"/>
        <w:rPr>
          <w:noProof/>
        </w:rPr>
      </w:pPr>
      <w:r>
        <w:rPr>
          <w:noProof/>
        </w:rPr>
        <w:tab/>
        <w:t>1.5.3.</w:t>
      </w:r>
      <w:r>
        <w:rPr>
          <w:noProof/>
        </w:rPr>
        <w:tab/>
        <w:t>Tagħlimiet meħudin minn esperjenzi simili fl-imgħoddi</w:t>
      </w:r>
    </w:p>
    <w:p>
      <w:pPr>
        <w:pStyle w:val="ManualHeading3"/>
        <w:rPr>
          <w:noProof/>
        </w:rPr>
      </w:pPr>
      <w:r>
        <w:rPr>
          <w:noProof/>
        </w:rPr>
        <w:tab/>
        <w:t>1.5.4.</w:t>
      </w:r>
      <w:r>
        <w:rPr>
          <w:noProof/>
        </w:rPr>
        <w:tab/>
        <w:t>Kompatibbiltà mal-qafas finanzjarju pluriennali u sinerġiji possibbli ma’ strumenti xierqa oħrajn</w:t>
      </w:r>
    </w:p>
    <w:p>
      <w:pPr>
        <w:pStyle w:val="ManualHeading3"/>
        <w:rPr>
          <w:noProof/>
        </w:rPr>
      </w:pPr>
      <w:r>
        <w:rPr>
          <w:noProof/>
        </w:rPr>
        <w:tab/>
        <w:t>1.5.5.</w:t>
      </w:r>
      <w:r>
        <w:rPr>
          <w:noProof/>
        </w:rPr>
        <w:tab/>
        <w:t>Valutazzjoni tal-għażliet differenti ta’ finanzjament disponibbli, inkluż l-ambitu għar-riallokazzjoni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>Durata u impatt finanzjarju tal-proposta/tal-inizjattiva</w:t>
      </w:r>
    </w:p>
    <w:p>
      <w:pPr>
        <w:pStyle w:val="ManualHeading2"/>
        <w:rPr>
          <w:b w:val="0"/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>Mod(i) ta’ ġestjoni ppjanat(i)</w:t>
      </w:r>
      <w:r>
        <w:rPr>
          <w:noProof/>
        </w:rPr>
        <w:tab/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Regoli ta’ monitoraġġ u ta’ rappurtar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>Sistema/i ta’ ġestjoni u ta’ kontroll</w:t>
      </w:r>
    </w:p>
    <w:p>
      <w:pPr>
        <w:pStyle w:val="ManualHeading3"/>
        <w:rPr>
          <w:noProof/>
        </w:rPr>
      </w:pPr>
      <w:r>
        <w:rPr>
          <w:noProof/>
        </w:rPr>
        <w:tab/>
        <w:t>2.2.1.</w:t>
      </w:r>
      <w:r>
        <w:rPr>
          <w:noProof/>
        </w:rPr>
        <w:tab/>
        <w:t>Ġustifikazzjoni tal-mod(i) ta’ ġestjoni, tal-mekkaniżmu/i għall-implimentazzjoni tal-finanzjament, tal-modalitajiet ta’ pagament u tal-istrateġija ta’ kontroll proposta</w:t>
      </w:r>
    </w:p>
    <w:p>
      <w:pPr>
        <w:pStyle w:val="ManualHeading3"/>
        <w:rPr>
          <w:noProof/>
        </w:rPr>
      </w:pPr>
      <w:r>
        <w:rPr>
          <w:noProof/>
        </w:rPr>
        <w:tab/>
        <w:t>2.2.2.</w:t>
      </w:r>
      <w:r>
        <w:rPr>
          <w:noProof/>
        </w:rPr>
        <w:tab/>
        <w:t>Informazzjoni dwar ir-riskji identifikati u s-sistema/i ta’ kontroll intern stabbilita/i għall-mitigazzjoni tagħhom</w:t>
      </w:r>
    </w:p>
    <w:p>
      <w:pPr>
        <w:pStyle w:val="ManualHeading3"/>
        <w:rPr>
          <w:noProof/>
        </w:rPr>
      </w:pPr>
      <w:r>
        <w:rPr>
          <w:noProof/>
        </w:rPr>
        <w:tab/>
        <w:t>2.2.3.</w:t>
      </w:r>
      <w:r>
        <w:rPr>
          <w:noProof/>
        </w:rPr>
        <w:tab/>
        <w:t>Stima u ġustifikazzjoni tal-kosteffettività tal-kontrolli (proporzjon tal-“kostijiet tal-kontrolli ÷ il-valur tal-fondi relatati ġestiti”), u valutazzjoni tal-livelli mistennija tar-riskju ta’ żball (mal-ħlas u fl-għeluq)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Miżuri għall-prevenzjoni ta’ frodi u ta’ irregolaritajiet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IMPATT FINANZJARJU STMAT TAL-PROPOSTA/TAL-INIZJATTIVA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Intestatura/i tal-qafas finanzjarju pluriennali u linja/i baġitarja/i tan-nefqa affettwata/i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Impatt finanzjarju stmat tal-proposta fuq l-approprjazzjonijiet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Sommarju tal-impatt stmat fuq l-approprjazzjonijiet operazzjonali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Output stmat iffinanzjat b’approprjazzjonijiet operazzjonali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Sommarju tal-impatt stmat fuq l-approprjazzjonijiet amministrattivi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Kompatibbiltà mal-qafas finanzjarju pluriennali attwali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Kontribuzzjonijiet ta’ partijiet terzi </w:t>
      </w:r>
    </w:p>
    <w:p>
      <w:pPr>
        <w:pStyle w:val="ManualHeading2"/>
        <w:jc w:val="left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Impatt stmat fuq id-dħul</w:t>
      </w:r>
    </w:p>
    <w:p>
      <w:pPr>
        <w:jc w:val="center"/>
        <w:rPr>
          <w:b/>
          <w:noProof/>
          <w:u w:val="single"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DIKJARAZZJONI FINANZJARJA LEĠIŻLATTIVA</w:t>
      </w:r>
    </w:p>
    <w:p>
      <w:pPr>
        <w:pStyle w:val="ManualHeading1"/>
        <w:rPr>
          <w:noProof/>
        </w:rPr>
      </w:pPr>
      <w:bookmarkStart w:id="1" w:name="_Toc514938007"/>
      <w:bookmarkStart w:id="2" w:name="_Toc520485025"/>
      <w:r>
        <w:t>1.</w:t>
      </w:r>
      <w:r>
        <w:tab/>
      </w:r>
      <w:r>
        <w:rPr>
          <w:noProof/>
        </w:rPr>
        <w:t>QAFAS TAL-PROPOSTA/TAL-INIZJATTIVA</w:t>
      </w:r>
      <w:bookmarkEnd w:id="1"/>
      <w:bookmarkEnd w:id="2"/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bookmarkStart w:id="3" w:name="_Toc514938008"/>
      <w:bookmarkStart w:id="4" w:name="_Toc520485026"/>
      <w:r>
        <w:t>1.1.</w:t>
      </w:r>
      <w:r>
        <w:tab/>
      </w:r>
      <w:r>
        <w:rPr>
          <w:noProof/>
        </w:rPr>
        <w:t>Titolu tal-proposta/tal-inizjattiva</w:t>
      </w:r>
      <w:bookmarkEnd w:id="3"/>
      <w:bookmarkEnd w:id="4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Proposta għal Deċiżjoni tal-Kunsill dwar l-iffirmar, f’isem l-Unjoni, u l-applikazzjoni provviżorja tal-Protokoll dwar l-implimentazzjoni tal-Ftehim ta’ sħubija fis-settur tas-sajd bejn il-Komunità Ewropea u r-Repubblika ta’ Cape Verde</w:t>
      </w:r>
    </w:p>
    <w:p>
      <w:pPr>
        <w:pStyle w:val="ManualHeading2"/>
        <w:rPr>
          <w:noProof/>
        </w:rPr>
      </w:pPr>
      <w:bookmarkStart w:id="5" w:name="_Toc514938011"/>
      <w:bookmarkStart w:id="6" w:name="_Toc520485027"/>
      <w:r>
        <w:t>1.2.</w:t>
      </w:r>
      <w:r>
        <w:tab/>
      </w:r>
      <w:r>
        <w:rPr>
          <w:noProof/>
        </w:rPr>
        <w:t>Qasam/oqsma ta’ politika kkonċernat(i)</w:t>
      </w:r>
      <w:bookmarkEnd w:id="5"/>
      <w:bookmarkEnd w:id="6"/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11 – L-Affarijiet Marittimi u s-Sajd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11.03 – Kontribuzzjonijiet obbligatorji għall-organizzazzjonijiet reġjonali għall-ġestjoni tas-sajd u għal organizzazzjonijiet internazzjonali oħrajn u għall-ftehimiet dwar is-sajd sostenibbli (SFAs)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11.03.01 – L-istabbiliment ta’ qafas ta’ governanza għall-attivitajiet tas-sajd imwettqin minn bastimenti tas-sajd tal-Unjoni fl-ilmijiet ta’ pajjiżi terżi</w:t>
      </w:r>
    </w:p>
    <w:p>
      <w:pPr>
        <w:pStyle w:val="ManualHeading2"/>
        <w:rPr>
          <w:bCs/>
          <w:noProof/>
          <w:szCs w:val="24"/>
        </w:rPr>
      </w:pPr>
      <w:bookmarkStart w:id="7" w:name="_Toc514938014"/>
      <w:bookmarkStart w:id="8" w:name="_Toc520485028"/>
      <w:r>
        <w:t>1.3.</w:t>
      </w:r>
      <w:r>
        <w:tab/>
      </w:r>
      <w:r>
        <w:rPr>
          <w:noProof/>
        </w:rPr>
        <w:t>Il-proposta/l-inizjattiva hija dwar:</w:t>
      </w:r>
      <w:bookmarkEnd w:id="7"/>
      <w:bookmarkEnd w:id="8"/>
      <w:r>
        <w:rPr>
          <w:noProof/>
        </w:rPr>
        <w:t xml:space="preserve"> </w:t>
      </w:r>
    </w:p>
    <w:p>
      <w:pPr>
        <w:pStyle w:val="Text1"/>
        <w:rPr>
          <w:b/>
          <w:noProof/>
          <w:sz w:val="22"/>
        </w:rPr>
      </w:pPr>
      <w:r>
        <w:rPr>
          <w:b/>
          <w:noProof/>
          <w:sz w:val="22"/>
        </w:rPr>
        <w:t>X</w:t>
      </w:r>
      <w:r>
        <w:rPr>
          <w:b/>
          <w:i/>
          <w:noProof/>
          <w:sz w:val="22"/>
        </w:rPr>
        <w:t xml:space="preserve"> </w:t>
      </w:r>
      <w:r>
        <w:rPr>
          <w:b/>
          <w:noProof/>
        </w:rPr>
        <w:t>azzjoni ġdida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b/>
          <w:noProof/>
        </w:rPr>
        <w:t>azzjoni ġdida li ssegwi proġett pilota/azzjoni preparatorja</w:t>
      </w:r>
      <w:r>
        <w:rPr>
          <w:rStyle w:val="FootnoteReference"/>
          <w:b/>
          <w:noProof/>
        </w:rPr>
        <w:footnoteReference w:id="9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b/>
          <w:noProof/>
        </w:rPr>
        <w:t>l-estensjoni ta’ azzjoni eżistenti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b/>
          <w:noProof/>
        </w:rPr>
        <w:t>fużjoni jew ridirezzjonar ta’ azzjoni waħda jew aktar lejn/ma’ azzjoni oħra jew azzjoni ġdida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bookmarkStart w:id="9" w:name="_Toc514938015"/>
      <w:bookmarkStart w:id="10" w:name="_Toc520485029"/>
      <w:r>
        <w:t>1.4.</w:t>
      </w:r>
      <w:r>
        <w:tab/>
      </w:r>
      <w:r>
        <w:rPr>
          <w:noProof/>
        </w:rPr>
        <w:t>Għanijiet</w:t>
      </w:r>
      <w:bookmarkEnd w:id="9"/>
      <w:bookmarkEnd w:id="10"/>
    </w:p>
    <w:p>
      <w:pPr>
        <w:pStyle w:val="ManualHeading3"/>
        <w:rPr>
          <w:noProof/>
        </w:rPr>
      </w:pPr>
      <w:bookmarkStart w:id="11" w:name="_Toc514938016"/>
      <w:bookmarkStart w:id="12" w:name="_Toc520485030"/>
      <w:r>
        <w:t>1.4.1.</w:t>
      </w:r>
      <w:r>
        <w:tab/>
      </w:r>
      <w:r>
        <w:rPr>
          <w:noProof/>
        </w:rPr>
        <w:t>Għanijiet ġenerali</w:t>
      </w:r>
      <w:bookmarkEnd w:id="11"/>
      <w:bookmarkEnd w:id="12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In-negozjar u l-konklużjoni ta’ ftehimiet ta’ sħubija dwar is-sajd sostenibbli ma’ pajjiżi terzi jilħqu l-għan ġenerali li l-bastimenti tas-sajd tal-Unjoni Ewropea jingħataw aċċess għal żoni tas-sajd ta’ pajjiżi terzi u li tiġi żviluppata sħubija ma’ dawn il-pajjiżi bil-għan li jissaħħaħ l-użu sostenibbli tar-riżorsi tas-sajd barra l-ilmijiet tal-Unjoni.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Il-ftehimiet ta’ sħubija dwar is-sajd sostenibbli jiżguraw ukoll il-koerenza bejn il-prinċipji li jirregolaw il-politika komuni tas-sajd u l-impenji meħudin fil-kuntest ta’ politiki Ewropej oħrajn (l-użu sostenibbli tar-riżorsi tal-pajjiżi terzi, il-ġlieda kontra s-sajd illegali, mhux irrappurtat u mhux irregolat (is-sajd IUU), l-integrazzjoni tal-pajjiżi sħab fl-ekonomija globali u governanza politika u finanzjarja aħjar tas-sajd).</w:t>
      </w:r>
    </w:p>
    <w:p>
      <w:pPr>
        <w:pStyle w:val="ManualHeading3"/>
        <w:rPr>
          <w:bCs/>
          <w:noProof/>
          <w:szCs w:val="24"/>
        </w:rPr>
      </w:pPr>
      <w:bookmarkStart w:id="13" w:name="_Toc514938018"/>
      <w:bookmarkStart w:id="14" w:name="_Toc520485031"/>
      <w:r>
        <w:t>1.4.2.</w:t>
      </w:r>
      <w:r>
        <w:tab/>
      </w:r>
      <w:r>
        <w:rPr>
          <w:noProof/>
        </w:rPr>
        <w:t>Għanijiet speċifiċi</w:t>
      </w:r>
      <w:bookmarkEnd w:id="13"/>
      <w:bookmarkEnd w:id="14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Għan speċifiku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Sabiex jingħata kontribut għas-sajd sostenibbli fl-ilmijiet li mhumiex tal-Unjoni, tinżamm preżenza Ewropea fis-sajd fl-ilmijiet imbiegħda u jitħarsu l-interessi tas-settur tas-sajd Ewropew u tal-konsumaturi billi jiġu nnegozjati u konklużi ftehimiet ta’ sħubija dwar is-sajd sostenibbli ma’ Stati kostali, b’mod li jkun konsistenti ma’ politiki Ewropej oħrajn.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Attivitajiet tal-ABM/ABB ikkonċernati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L-affarijiet marittimi u s-sajd, biex jiġi stabbilit qafas ta’ governanza għall-attivitajiet tas-sajd imwettqin minn bastimenti tas-sajd tal-Unjoni Ewropea fl-ilmijiet ta’ pajjiżi terżi (SFAs) (il-linja baġitarja 11.03.01).</w:t>
      </w:r>
    </w:p>
    <w:p>
      <w:pPr>
        <w:pStyle w:val="ManualHeading3"/>
        <w:rPr>
          <w:noProof/>
        </w:rPr>
      </w:pPr>
      <w:bookmarkStart w:id="15" w:name="_Toc514938019"/>
      <w:bookmarkStart w:id="16" w:name="_Toc520485032"/>
      <w:r>
        <w:t>1.4.3.</w:t>
      </w:r>
      <w:r>
        <w:tab/>
      </w:r>
      <w:r>
        <w:rPr>
          <w:noProof/>
        </w:rPr>
        <w:t>Riżultati u impatti mistennija</w:t>
      </w:r>
      <w:bookmarkEnd w:id="15"/>
      <w:bookmarkEnd w:id="16"/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l-effetti li l-proposta/l-inizjattiva jenħtieġ li jkollha fuq il-benefiċjarji/il-gruppi fil-mira.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Bil-konklużjoni tal-Protokoll ikun jista’ jissawwar qafas ta’ sħubija strateġika dwar is-sajd bejn l-Unjoni Ewropea u Cape Verde u se jinħolqu opportunitajiet tas-sajd għall-bastimenti tal-Unjoni fl-ilmijiet ta’ Cape Verde.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Il-Protokoll se jikkontribwixxi wkoll għal ġestjoni u konservazzjoni aħjar tar-riżorsi tas-sajd, permezz ta’ appoġġ finanzjarju (appoġġ settorjali) għall-implimentazzjoni tal-programmi adottati fil-livell nazzjonali mill-pajjiż sieħeb, b’mod partikulari f’dak li għandu x’jaqsam mal-monitoraġġ u mal-ġlieda kontra s-sajd illegali u mal-appoġġ għas-settur tas-sajd fuq skala żgħira.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Fl-aħħar nett, il-Protokoll se jikkontribwixxi għall-ekonomija l-blu ta’ Cape Verde, billi jippromwovi t-tkabbir marbut mal-attivitajiet marittimi u l-użu sostenibbli tar-riżorsi tal-baħar tiegħu.</w:t>
      </w:r>
    </w:p>
    <w:p>
      <w:pPr>
        <w:pStyle w:val="ManualHeading3"/>
        <w:rPr>
          <w:noProof/>
          <w:szCs w:val="24"/>
        </w:rPr>
      </w:pPr>
      <w:bookmarkStart w:id="17" w:name="_Toc514938023"/>
      <w:bookmarkStart w:id="18" w:name="_Toc520485033"/>
      <w:r>
        <w:t>1.4.4.</w:t>
      </w:r>
      <w:r>
        <w:tab/>
      </w:r>
      <w:r>
        <w:rPr>
          <w:noProof/>
        </w:rPr>
        <w:t>Indikaturi tal-prestazzjoni</w:t>
      </w:r>
      <w:bookmarkEnd w:id="17"/>
      <w:bookmarkEnd w:id="18"/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l-indikaturi għall-monitoraġġ tal-progress u tal-kisbiet.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Ir-rati tal-użu tal-opportunitajiet tas-sajd (l-użu annwali tal-awtorizzazzjonijiet tas-sajd bħala perċentwali tad-disponibbiltà offruta bil-Protokoll);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id-</w:t>
      </w:r>
      <w:r>
        <w:rPr>
          <w:i/>
          <w:noProof/>
        </w:rPr>
        <w:t>data</w:t>
      </w:r>
      <w:r>
        <w:rPr>
          <w:noProof/>
        </w:rPr>
        <w:t xml:space="preserve"> dwar il-qabdiet (il-ġbir u l-analiżi) u l-valur kummerċjali tal-Ftehim;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il-kontribut għall-impjiegi u għall-valur miżjud fl-Unjoni, kif ukoll għall-istabbilizzazzjoni tas-suq tal-Unjoni (flimkien ma’ ftehimiet ta’ sħubija dwar is-sajd sostenibbli oħrajn);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il-kontribut għat-titjib tar-riċerka, tal-monitoraġġ u tal-kontroll tal-attivitajiet tas-sajd min-naħa tal-pajjiż sieħeb u tal-iżvilupp tas-settur tas-sajd tiegħu, l-aktar dak fuq skala żgħira.</w:t>
      </w:r>
    </w:p>
    <w:p>
      <w:pPr>
        <w:pStyle w:val="ManualHeading2"/>
        <w:rPr>
          <w:bCs/>
          <w:noProof/>
          <w:szCs w:val="24"/>
        </w:rPr>
      </w:pPr>
      <w:bookmarkStart w:id="19" w:name="_Toc514938025"/>
      <w:bookmarkStart w:id="20" w:name="_Toc520485034"/>
      <w:r>
        <w:t>1.5.</w:t>
      </w:r>
      <w:r>
        <w:tab/>
      </w:r>
      <w:r>
        <w:rPr>
          <w:noProof/>
        </w:rPr>
        <w:t>Raġunijiet għall-proposta/għall-inizjattiva</w:t>
      </w:r>
      <w:bookmarkEnd w:id="19"/>
      <w:bookmarkEnd w:id="20"/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bookmarkStart w:id="21" w:name="_Toc514938026"/>
      <w:bookmarkStart w:id="22" w:name="_Toc520485035"/>
      <w:r>
        <w:t>1.5.1.</w:t>
      </w:r>
      <w:r>
        <w:tab/>
      </w:r>
      <w:r>
        <w:rPr>
          <w:noProof/>
        </w:rPr>
        <w:t>Rekwiżit(i) li jridu jiġu ssodisfati fuq terminu qasir jew twil inkluża kronoloġija dettaljata għall-prosegwiment tal-implimentazzjoni tal-inizjattiva</w:t>
      </w:r>
      <w:bookmarkEnd w:id="21"/>
      <w:bookmarkEnd w:id="22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Hu maħsub li l-Protokoll il-ġdid jibda japplika b’mod provviżorju mid-data tal-iffirmar tiegħu ħalli jitnaqqsu kemm jista’ jkun l-interruzzjonijiet tal-attivitajiet tas-sajd li għaddejjin skont il-Protokoll attwali.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Il-Protokoll il-ġdid se jipprovdi qafas għall-attivitajiet tas-sajd tal-flotta tal-Unjoni fiż-żona tas-sajd ta’ Cape Verde, u se jawtorizza lis-sidien tal-bastimenti tal-UE japplikaw għal awtorizzazzjonijiet tas-sajd biex jistadu f’dik iż-żona. Barra minn hekk, il-Protokoll il-ġdid isaħħaħ il-kooperazzjoni bejn l-UE u Cape Verde bil-għan li jippromwovi l-iżvilupp ta’ politika tas-sajd sostenibbli. B’mod partikulari, dan jipprevedi l-monitoraġġ tal-bastimenti permezz tal-VMS u t-trażmissjoni elettronika tad-</w:t>
      </w:r>
      <w:r>
        <w:rPr>
          <w:i/>
          <w:noProof/>
        </w:rPr>
        <w:t>data</w:t>
      </w:r>
      <w:r>
        <w:rPr>
          <w:noProof/>
        </w:rPr>
        <w:t xml:space="preserve"> dwar il-qabdiet. L-appoġġ settorjali disponibbli skont il-Protokoll se jgħin lil Cape Verde fil-qafas tal-istrateġija nazzjonali tas-sajd tiegħu, inkluża fil-ġlieda kontra s-sajd IUU. </w:t>
      </w:r>
    </w:p>
    <w:p>
      <w:pPr>
        <w:pStyle w:val="ManualHeading3"/>
        <w:rPr>
          <w:bCs/>
          <w:noProof/>
          <w:szCs w:val="24"/>
        </w:rPr>
      </w:pPr>
      <w:bookmarkStart w:id="23" w:name="_Toc514938029"/>
      <w:bookmarkStart w:id="24" w:name="_Toc520485036"/>
      <w:r>
        <w:t>1.5.2.</w:t>
      </w:r>
      <w:r>
        <w:tab/>
      </w:r>
      <w:r>
        <w:rPr>
          <w:noProof/>
        </w:rPr>
        <w:t>Il-valur miżjud tal-involviment tal-Unjoni (dan jista’ jirriżulta minn fatturi differenti, eż. il-gwadann mill-koordinazzjoni, iċ-ċertezza tad-dritt, effettività akbar jew il-kumplimentarjetajiet). Għall-finijiet ta’ dan il-punt, “il-valur miżjud tal-involviment tal-Unjoni” huwa l-valur li jirriżulta mill-intervent tal-Unjoni li jkun addizzjonali għall-valur li kieku kien jinħoloq mill-Istati Membri waħedhom.</w:t>
      </w:r>
      <w:bookmarkEnd w:id="23"/>
      <w:bookmarkEnd w:id="24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Jekk l-Unjoni ma tikkonkludix Protokoll ġdid, il-bastimenti tal-Unjoni ma jkunux jistgħu jwettqu l-attivitajiet tas-sajd tagħhom, billi l-Ftehim fih klawżola li teskludi l-attivitajiet tas-sajd li ma jsirux fi ħdan il-qafas iddefinit minn protokoll tal-Ftehim. Għalhekk il-valur miżjud huwa espliċitu għall-flotta tal-UE ta’ distanzi twal. Il-Protokoll jipprovdi wkoll qafas għal kooperazzjoni msaħħa bejn l-Unjoni u Cape Verde. </w:t>
      </w:r>
    </w:p>
    <w:p>
      <w:pPr>
        <w:pStyle w:val="ManualHeading3"/>
        <w:rPr>
          <w:noProof/>
        </w:rPr>
      </w:pPr>
      <w:bookmarkStart w:id="25" w:name="_Toc514938030"/>
      <w:bookmarkStart w:id="26" w:name="_Toc520485037"/>
      <w:r>
        <w:rPr>
          <w:noProof/>
        </w:rPr>
        <w:br w:type="page"/>
      </w:r>
      <w:r>
        <w:t>1.5.3.</w:t>
      </w:r>
      <w:r>
        <w:tab/>
      </w:r>
      <w:r>
        <w:rPr>
          <w:noProof/>
        </w:rPr>
        <w:t>Tagħlimiet meħudin minn esperjenzi simili fl-imgħoddi</w:t>
      </w:r>
      <w:bookmarkEnd w:id="25"/>
      <w:bookmarkEnd w:id="26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L-analiżi tal-qabdiet li saru fiż-żona tas-sajd ta’ Cape Verde fl-imgħoddi u tal-qabdiet li saru dan l-aħħar fil-qafas ta’ protokolli simili f’dan ir-reġjun, kif ukoll il-valutazzjonijiet u l-pariri xjentifiċi disponibbli wasslu biex il-partijiet jistabbilixxu tunnellaġġ ta’ referenza għat-tonn u għal speċijiet li jixbhuh ta’ 8 000 tunnellata fis-sena b’opportunitajiet tas-sajd għal 28 bastiment tas-sajd għat-tonn bit-tartaruni mgħammra bi friża, għal 27 bastiment tas-sajd bil-konz tal-wiċċ u għal 14-il bastiment tas-sajd għat-tonn bil-qasba. L-appoġġ settorjali huwa relattivament għoli sabiex iqis il-ħtiġijiet f’termini tat-tisħiħ tal-kapaċitajiet tal-amministrazzjoni tas-sajd ta’ Cape Verde u l-prijoritajiet tal-istrateġija nazzjonali tas-sajd, kif ukoll il-pjanijiet għall-appoġġ tal-ekonomija l-blu ta’ dan l-istat kostali.</w:t>
      </w:r>
    </w:p>
    <w:p>
      <w:pPr>
        <w:pStyle w:val="ManualHeading3"/>
        <w:rPr>
          <w:noProof/>
        </w:rPr>
      </w:pPr>
      <w:bookmarkStart w:id="27" w:name="_Toc514938033"/>
      <w:bookmarkStart w:id="28" w:name="_Toc520485038"/>
      <w:r>
        <w:t>1.5.4.</w:t>
      </w:r>
      <w:r>
        <w:tab/>
      </w:r>
      <w:r>
        <w:rPr>
          <w:noProof/>
        </w:rPr>
        <w:t>Kompatibbiltà mal-qafas finanzjarju pluriennali u sinerġiji possibbli ma’ strumenti xierqa oħrajn</w:t>
      </w:r>
      <w:bookmarkEnd w:id="27"/>
      <w:bookmarkEnd w:id="28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Il-fondi allokati għall-kontribuzzjoni finanzjarja għall-aċċess fil-kuntest tal-Ftehim ta’ Sħubija dwar is-Sajd jikkostitwixxu dħul funġibbli fil-baġit nazzjonali ta’ Cape Verde. Madankollu, il-fondi allokati għall-appoġġ settorjali jiġu assenjati lill-Ministeru responsabbli għas-sajd (ġeneralment billi jiddaħħlu fil-liġi annwali dwar il-baġit), minħabba li din hija kundizzjoni għall-konklużjoni u għall-monitoraġġ tal-ftehimiet ta’ sħubija dwar is-sajd. Dawn ir-riżorsi finanzjarji huma kompatibbli ma’ sorsi oħrajn ta’ finanzjament mingħand donaturi internazzjonali oħrajn tal-fondi biex jitwettqu proġetti u/jew programmi fil-livell nazzjonali fis-settur tas-sajd.</w:t>
      </w:r>
    </w:p>
    <w:p>
      <w:pPr>
        <w:pStyle w:val="ManualHeading3"/>
        <w:rPr>
          <w:noProof/>
        </w:rPr>
      </w:pPr>
      <w:bookmarkStart w:id="29" w:name="_Toc514938036"/>
      <w:bookmarkStart w:id="30" w:name="_Toc520485039"/>
      <w:r>
        <w:t>1.5.5.</w:t>
      </w:r>
      <w:r>
        <w:tab/>
      </w:r>
      <w:r>
        <w:rPr>
          <w:noProof/>
        </w:rPr>
        <w:t>Valutazzjoni tal-għażliet differenti ta’ finanzjament disponibbli, inkluż l-ambitu għar-riallokazzjoni</w:t>
      </w:r>
      <w:bookmarkEnd w:id="29"/>
      <w:bookmarkEnd w:id="30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</w:rPr>
      </w:pPr>
    </w:p>
    <w:p>
      <w:pPr>
        <w:pStyle w:val="ManualHeading2"/>
        <w:rPr>
          <w:bCs/>
          <w:noProof/>
          <w:szCs w:val="24"/>
        </w:rPr>
      </w:pPr>
      <w:bookmarkStart w:id="31" w:name="_Toc514938039"/>
      <w:bookmarkStart w:id="32" w:name="_Toc520485040"/>
      <w:r>
        <w:t>1.6.</w:t>
      </w:r>
      <w:r>
        <w:tab/>
      </w:r>
      <w:r>
        <w:rPr>
          <w:noProof/>
        </w:rPr>
        <w:t>Durata u impatt finanzjarju tal-proposta/tal-inizjattiva</w:t>
      </w:r>
      <w:bookmarkEnd w:id="31"/>
      <w:bookmarkEnd w:id="32"/>
    </w:p>
    <w:p>
      <w:pPr>
        <w:pStyle w:val="Text1"/>
        <w:rPr>
          <w:noProof/>
        </w:rPr>
      </w:pPr>
      <w:r>
        <w:rPr>
          <w:b/>
          <w:noProof/>
        </w:rPr>
        <w:t xml:space="preserve">X durata limitata </w:t>
      </w:r>
    </w:p>
    <w:p>
      <w:pPr>
        <w:pStyle w:val="ListDash2"/>
        <w:rPr>
          <w:noProof/>
        </w:rPr>
      </w:pPr>
      <w:r>
        <w:rPr>
          <w:noProof/>
        </w:rPr>
        <w:t>X</w:t>
      </w:r>
      <w:r>
        <w:rPr>
          <w:noProof/>
        </w:rPr>
        <w:tab/>
        <w:t xml:space="preserve">Fis-seħħ mill-2019 sal-2024 </w:t>
      </w:r>
    </w:p>
    <w:p>
      <w:pPr>
        <w:pStyle w:val="ListDash2"/>
        <w:rPr>
          <w:noProof/>
        </w:rPr>
      </w:pPr>
      <w:r>
        <w:rPr>
          <w:noProof/>
        </w:rPr>
        <w:t>X</w:t>
      </w:r>
      <w:r>
        <w:rPr>
          <w:noProof/>
        </w:rPr>
        <w:tab/>
        <w:t xml:space="preserve">Impatt finanzjarju mill-2019 sal-2024 għall-approprjazzjonijiet ta’ impenn u mill-2019 sal-2024 għall-approprjazzjonijiet ta’ pagament.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durata mhux limitata</w:t>
      </w:r>
    </w:p>
    <w:p>
      <w:pPr>
        <w:pStyle w:val="ListDash1"/>
        <w:rPr>
          <w:noProof/>
        </w:rPr>
      </w:pPr>
      <w:r>
        <w:rPr>
          <w:noProof/>
        </w:rPr>
        <w:t>Implimentazzjoni b’perjodu ta’ tnedija minn SSSS sa SSSS,</w:t>
      </w:r>
    </w:p>
    <w:p>
      <w:pPr>
        <w:pStyle w:val="ListDash1"/>
        <w:rPr>
          <w:noProof/>
        </w:rPr>
      </w:pPr>
      <w:r>
        <w:rPr>
          <w:noProof/>
        </w:rPr>
        <w:t>segwita minn operazzjoni fuq skala sħiħa.</w:t>
      </w:r>
    </w:p>
    <w:p>
      <w:pPr>
        <w:pStyle w:val="ManualHeading2"/>
        <w:rPr>
          <w:bCs/>
          <w:noProof/>
          <w:szCs w:val="24"/>
        </w:rPr>
      </w:pPr>
      <w:bookmarkStart w:id="33" w:name="_Toc514938040"/>
      <w:bookmarkStart w:id="34" w:name="_Toc520485041"/>
      <w:r>
        <w:t>1.7.</w:t>
      </w:r>
      <w:r>
        <w:tab/>
      </w:r>
      <w:r>
        <w:rPr>
          <w:noProof/>
        </w:rPr>
        <w:t>Mod(i) ta’ ġestjoni ppjanat(i)</w:t>
      </w:r>
      <w:r>
        <w:rPr>
          <w:rStyle w:val="FootnoteReference"/>
          <w:noProof/>
        </w:rPr>
        <w:footnoteReference w:id="10"/>
      </w:r>
      <w:bookmarkEnd w:id="33"/>
      <w:bookmarkEnd w:id="34"/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b/>
          <w:noProof/>
        </w:rPr>
        <w:t>X</w:t>
      </w:r>
      <w:r>
        <w:rPr>
          <w:i/>
          <w:noProof/>
        </w:rPr>
        <w:t xml:space="preserve"> </w:t>
      </w:r>
      <w:r>
        <w:rPr>
          <w:b/>
          <w:noProof/>
        </w:rPr>
        <w:t>Ġestjoni diretta</w:t>
      </w:r>
      <w:r>
        <w:rPr>
          <w:noProof/>
        </w:rPr>
        <w:t xml:space="preserve"> mill-Kummissjoni</w:t>
      </w:r>
    </w:p>
    <w:p>
      <w:pPr>
        <w:pStyle w:val="ListDash2"/>
        <w:rPr>
          <w:rFonts w:cs="EUAlbertina"/>
          <w:noProof/>
        </w:rPr>
      </w:pPr>
      <w:r>
        <w:rPr>
          <w:b/>
          <w:noProof/>
        </w:rPr>
        <w:t>X</w:t>
      </w:r>
      <w:r>
        <w:rPr>
          <w:noProof/>
        </w:rPr>
        <w:t xml:space="preserve"> mid-dipartimenti tagħha, inkluż mill-persunal tagħha fid-delegazzjonijiet tal-Unjoni;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mill-aġenziji eżekuttivi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Ġestjoni kondiviża</w:t>
      </w:r>
      <w:r>
        <w:rPr>
          <w:noProof/>
        </w:rPr>
        <w:t xml:space="preserve"> mal-Istati Membri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Ġestjoni indiretta</w:t>
      </w:r>
      <w:r>
        <w:rPr>
          <w:noProof/>
        </w:rPr>
        <w:t xml:space="preserve"> billi jiġu fdati kompiti ta’ implimentazzjoni baġitarja: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 pajjiżi terzi jew lill-korpi nnominati minnhom;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 organizzazzjonijiet internazzjonali u lill-aġenziji tagħhom (iridu jiġu speċifikati);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lill-BEI u lill-Fond Ewropew tal-Investiment;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lill-korpi li jissemmew fl-Artikoli 70 u 71 tar-Regolament Finanzjarju;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 korpi tal-liġi pubblika;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 korpi rregolati mil-liġi privata b’missjoni ta’ servizz pubbliku safejn dawn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 korpi rregolati mil-liġi privata ta’ Stat Membru li jkunu fdati bl-implimentazzjoni ta’ sħubija pubblika-privata u li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 persuni fdati bl-implimentazzjoni ta’ azzjonijiet speċifiċi fil-PESK skont it-Titolu V tat-TUE, u identifikati fl-att bażiku rilevanti.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Jekk jiġi indikat aktar minn mod wieħed ta’ ġestjoni, jekk jogħġbok ipprovdi d-dettalji fit-taqsima “Kummenti”.</w:t>
      </w:r>
    </w:p>
    <w:p>
      <w:pPr>
        <w:rPr>
          <w:noProof/>
        </w:rPr>
      </w:pPr>
      <w:r>
        <w:rPr>
          <w:noProof/>
        </w:rPr>
        <w:t xml:space="preserve">Kummenti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bookmarkStart w:id="35" w:name="_Toc514938041"/>
      <w:bookmarkStart w:id="36" w:name="_Toc520485042"/>
      <w:r>
        <w:t>2.</w:t>
      </w:r>
      <w:r>
        <w:tab/>
      </w:r>
      <w:r>
        <w:rPr>
          <w:noProof/>
        </w:rPr>
        <w:t>MIŻURI TA’ ĠESTJONI</w:t>
      </w:r>
      <w:bookmarkEnd w:id="35"/>
      <w:bookmarkEnd w:id="36"/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bookmarkStart w:id="37" w:name="_Toc514938042"/>
      <w:bookmarkStart w:id="38" w:name="_Toc520485043"/>
      <w:r>
        <w:t>2.1.</w:t>
      </w:r>
      <w:r>
        <w:tab/>
      </w:r>
      <w:r>
        <w:rPr>
          <w:noProof/>
        </w:rPr>
        <w:t>Regoli ta’ monitoraġġ u ta’ rappurtar</w:t>
      </w:r>
      <w:bookmarkEnd w:id="37"/>
      <w:bookmarkEnd w:id="38"/>
      <w:r>
        <w:rPr>
          <w:noProof/>
        </w:rPr>
        <w:t xml:space="preserve">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l-frekwenza u l-kundizzjonijiet.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Il-Kummissjoni (id-Direttorat Ġenerali għall-Affarijiet Marittimi u s-Sajd, flimkien mal-uffiċjal tas-sajd tagħha bbażat fir-reġjun – f’Dakar, fis-Senegal) se tiżgura monitoraġġ regolari tal-implimentazzjoni tal-Protokoll f’dak li għandu x’jaqsam mal-użu tal-opportunitajiet tas-sajd min-naħa tal-operaturi, mad-</w:t>
      </w:r>
      <w:r>
        <w:rPr>
          <w:i/>
          <w:noProof/>
        </w:rPr>
        <w:t>data</w:t>
      </w:r>
      <w:r>
        <w:rPr>
          <w:noProof/>
        </w:rPr>
        <w:t xml:space="preserve"> dwar il-qabdiet u mal-ħarsien tal-kundizzjonijiet tal-appoġġ settorjali.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Barra minn hekk, il-Ftehim ta’ Sħubija dwar is-Sajd jipprevedi mill-inqas laqgħa annwali waħda tal-Kumitat Konġunt, li matulha l-Kummissjoni u Cape Verde jirrevedu l-implimentazzjoni tal-Ftehim u tal-Protokoll u, jekk ikun meħtieġ, jaġġustaw l-ipprogrammar u, jekk ikun il-każ, il-kontribuzzjoni finanzjarja.</w:t>
      </w:r>
    </w:p>
    <w:p>
      <w:pPr>
        <w:pStyle w:val="ManualHeading2"/>
        <w:rPr>
          <w:bCs/>
          <w:noProof/>
          <w:szCs w:val="24"/>
        </w:rPr>
      </w:pPr>
      <w:bookmarkStart w:id="39" w:name="_Toc514938045"/>
      <w:bookmarkStart w:id="40" w:name="_Toc520485044"/>
      <w:r>
        <w:t>2.2.</w:t>
      </w:r>
      <w:r>
        <w:tab/>
      </w:r>
      <w:r>
        <w:rPr>
          <w:noProof/>
        </w:rPr>
        <w:t>Sistema/i ta’ ġestjoni u ta’ kontroll</w:t>
      </w:r>
      <w:bookmarkEnd w:id="39"/>
      <w:bookmarkEnd w:id="40"/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bookmarkStart w:id="41" w:name="_Toc514938046"/>
      <w:bookmarkStart w:id="42" w:name="_Toc520485045"/>
      <w:r>
        <w:t>2.2.1.</w:t>
      </w:r>
      <w:r>
        <w:tab/>
      </w:r>
      <w:r>
        <w:rPr>
          <w:noProof/>
        </w:rPr>
        <w:t>Ġustifikazzjoni tal-mod(i) ta’ ġestjoni, tal-mekkaniżmu/i għall-implimentazzjoni tal-finanzjament, tal-modalitajiet ta’ pagament u tal-istrateġija ta’ kontroll proposta</w:t>
      </w:r>
      <w:bookmarkEnd w:id="41"/>
      <w:bookmarkEnd w:id="42"/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 xml:space="preserve">Ir-riskju identifikat huwa n-nuqqas ta’ użu tal-opportunitajiet tas-sajd mis-sidien tal-bastimenti tal-UE u n-nuqqas ta’ użu jew id-dewmien fl-użu tal-fondi maħsubin għall-finanzjament tal-politika settorjali tas-sajd minn Cape Verde. </w:t>
      </w:r>
    </w:p>
    <w:p>
      <w:pPr>
        <w:pStyle w:val="ManualHeading3"/>
        <w:rPr>
          <w:bCs/>
          <w:noProof/>
          <w:szCs w:val="24"/>
        </w:rPr>
      </w:pPr>
      <w:bookmarkStart w:id="43" w:name="_Toc514938047"/>
      <w:bookmarkStart w:id="44" w:name="_Toc520485046"/>
      <w:r>
        <w:t>2.2.2.</w:t>
      </w:r>
      <w:r>
        <w:tab/>
      </w:r>
      <w:r>
        <w:rPr>
          <w:noProof/>
        </w:rPr>
        <w:t>Informazzjoni dwar ir-riskji identifikati u s-sistema/i ta’ kontroll intern stabbilita/i għall-mitigazzjoni tagħhom</w:t>
      </w:r>
      <w:bookmarkEnd w:id="43"/>
      <w:bookmarkEnd w:id="44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Qed jiġi ppjanat djalogu estensiv dwar l-ipprogrammar u l-implimentazzjoni tal-politika settorjali prevista fil-Ftehim u fil-Protokoll. L-analiżi konġunta tar-riżultati, imsemmija fl-Artikolu 5 tal-Protokoll, ukoll tifforma parti minn dawn il-metodi ta’ kontroll.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Barra minn hekk, il-Ftehim u l-Protokoll fihom klawżoli speċifiċi għas-sospensjoni tagħhom, skont ċerti kundizzjonijiet u f’ċerti ċirkustanzi.</w:t>
      </w:r>
    </w:p>
    <w:p>
      <w:pPr>
        <w:pStyle w:val="ManualHeading3"/>
        <w:rPr>
          <w:noProof/>
        </w:rPr>
      </w:pPr>
      <w:bookmarkStart w:id="45" w:name="_Toc514938048"/>
      <w:bookmarkStart w:id="46" w:name="_Toc520485047"/>
      <w:r>
        <w:rPr>
          <w:noProof/>
        </w:rPr>
        <w:br w:type="page"/>
      </w:r>
      <w:r>
        <w:t>2.2.3.</w:t>
      </w:r>
      <w:r>
        <w:tab/>
      </w:r>
      <w:r>
        <w:rPr>
          <w:noProof/>
        </w:rPr>
        <w:t>Stima u ġustifikazzjoni tal-kosteffettività tal-kontrolli (proporzjon tal-“kostijiet tal-kontrolli ÷ il-valur tal-fondi relatati ġestiti”), u valutazzjoni tal-livelli mistennija tar-riskju ta’ żball (mal-ħlas u fl-għeluq)</w:t>
      </w:r>
      <w:bookmarkEnd w:id="45"/>
      <w:bookmarkEnd w:id="46"/>
      <w:r>
        <w:rPr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ManualHeading2"/>
        <w:rPr>
          <w:bCs/>
          <w:noProof/>
          <w:szCs w:val="24"/>
        </w:rPr>
      </w:pPr>
      <w:bookmarkStart w:id="47" w:name="_Toc514938049"/>
      <w:bookmarkStart w:id="48" w:name="_Toc520485048"/>
      <w:r>
        <w:t>2.3.</w:t>
      </w:r>
      <w:r>
        <w:tab/>
      </w:r>
      <w:r>
        <w:rPr>
          <w:noProof/>
        </w:rPr>
        <w:t>Miżuri għall-prevenzjoni ta’ frodi u ta’ irregolaritajiet</w:t>
      </w:r>
      <w:bookmarkEnd w:id="47"/>
      <w:bookmarkEnd w:id="48"/>
      <w:r>
        <w:rPr>
          <w:noProof/>
        </w:rPr>
        <w:t xml:space="preserve">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l-miżuri ta’ prevenzjoni u ta’ protezzjoni eżistenti jew previsti, eż. mill-Istrateġija Kontra l-Frodi.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Il-Kummissjoni tintrabat li tistabbilixxi djalogu politiku mar-Repubblika ta’ Cape Verde u li tikkoordina b’mod regolari ma’ dan il-pajjiż bil-ħsieb li ttejjeb il-ġestjoni tal-Ftehim u tal-Protokoll u li ssaħħaħ il-kontribut tal-Unjoni għall-ġestjoni sostenibbli tar-riżorsi. Kull pagament li l-Kummissjoni tagħmel fil-kuntest ta’ ftehim ta’ sħubija dwar is-sajd huwa suġġett għar-regoli u għall-proċeduri baġitarji u finanzjarji standard tal-Kummissjoni. B’mod partikulari, il-kontijiet bankarji tal-pajjiżi terzi fejn titħallas il-kontribuzzjoni finanzjarja jiġu identifikati bis-sħiħ. Skont l-Artikolu 4(6) tal-Protokoll, il-kontribuzzjoni finanzjarja għall-aċċess għandha titħallas lit-Teżor Pubbliku ta’ Cape Verde u l-parti maħsuba għall-iżvilupp tas-settur għandha titħallas f’kont apposta għal dan il-għan miftuħ mal-bank tat-Teżor Pubbliku ta’ Cape Verde.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bookmarkStart w:id="49" w:name="_Toc514938050"/>
      <w:bookmarkStart w:id="50" w:name="_Toc520485049"/>
      <w:r>
        <w:t>3.</w:t>
      </w:r>
      <w:r>
        <w:tab/>
      </w:r>
      <w:r>
        <w:rPr>
          <w:noProof/>
        </w:rPr>
        <w:t>IMPATT FINANZJARJU STMAT TAL-PROPOSTA/TAL-INIZJATTIVA</w:t>
      </w:r>
      <w:bookmarkEnd w:id="49"/>
      <w:bookmarkEnd w:id="50"/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bookmarkStart w:id="51" w:name="_Toc514938051"/>
      <w:bookmarkStart w:id="52" w:name="_Toc520485050"/>
      <w:r>
        <w:t>3.1.</w:t>
      </w:r>
      <w:r>
        <w:tab/>
      </w:r>
      <w:r>
        <w:rPr>
          <w:noProof/>
        </w:rPr>
        <w:t>Intestatura/i tal-qafas finanzjarju pluriennali u linja/i baġitarja/i tan-nefqa affettwata/i</w:t>
      </w:r>
      <w:bookmarkEnd w:id="51"/>
      <w:bookmarkEnd w:id="52"/>
      <w:r>
        <w:rPr>
          <w:noProof/>
        </w:rPr>
        <w:t xml:space="preserve"> </w:t>
      </w:r>
    </w:p>
    <w:p>
      <w:pPr>
        <w:pStyle w:val="ListBullet1"/>
        <w:rPr>
          <w:noProof/>
        </w:rPr>
      </w:pPr>
      <w:r>
        <w:rPr>
          <w:noProof/>
        </w:rPr>
        <w:t xml:space="preserve">Linji baġitarji eżistenti </w:t>
      </w:r>
    </w:p>
    <w:p>
      <w:pPr>
        <w:pStyle w:val="Text1"/>
        <w:rPr>
          <w:i/>
          <w:noProof/>
        </w:rPr>
      </w:pPr>
      <w:r>
        <w:rPr>
          <w:i/>
          <w:noProof/>
          <w:u w:val="single"/>
        </w:rPr>
        <w:t>Skont l-ordni</w:t>
      </w:r>
      <w:r>
        <w:rPr>
          <w:i/>
          <w:noProof/>
        </w:rPr>
        <w:t xml:space="preserve"> tal-intestaturi tal-qafas finanzjarju pluriennali u tal-linji baġitarji.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840"/>
        <w:gridCol w:w="1080"/>
        <w:gridCol w:w="1076"/>
        <w:gridCol w:w="1080"/>
        <w:gridCol w:w="1084"/>
        <w:gridCol w:w="1320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84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Tip ta’ </w:t>
            </w:r>
            <w:r>
              <w:rPr>
                <w:noProof/>
                <w:sz w:val="18"/>
                <w:szCs w:val="18"/>
              </w:rPr>
              <w:br/>
              <w:t>nefqa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84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Numru </w:t>
            </w:r>
            <w:r>
              <w:rPr>
                <w:noProof/>
                <w:sz w:val="22"/>
              </w:rPr>
              <w:br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Diff./Mhux diff.</w:t>
            </w:r>
            <w:r>
              <w:rPr>
                <w:rStyle w:val="FootnoteReference"/>
                <w:noProof/>
                <w:sz w:val="18"/>
              </w:rPr>
              <w:footnoteReference w:id="11"/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mill-pajjiżi tal-EFTA</w:t>
            </w:r>
            <w:r>
              <w:rPr>
                <w:rStyle w:val="FootnoteReference"/>
                <w:noProof/>
                <w:sz w:val="18"/>
              </w:rPr>
              <w:footnoteReference w:id="12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mill-pajjiżi kandidati</w:t>
            </w:r>
            <w:r>
              <w:rPr>
                <w:rStyle w:val="FootnoteReference"/>
                <w:noProof/>
                <w:sz w:val="18"/>
              </w:rPr>
              <w:footnoteReference w:id="13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skont it-tifsira tal-Artikolu 21(2)(b) tar-Regolament Finanzjarju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840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11.03.01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L-istabbiliment ta’ qafas ta’ governanza għall-attivitajiet tas-sajd imwettqin minn bastimenti tas-sajd tal-Unjoni Ewropea fl-ilmijiet ta’ pajjiżi terżi (SFAs)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sz w:val="22"/>
              </w:rPr>
              <w:t>Diff.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LE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LE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LE</w:t>
            </w:r>
          </w:p>
        </w:tc>
      </w:tr>
    </w:tbl>
    <w:p>
      <w:pPr>
        <w:pStyle w:val="ListBullet1"/>
        <w:rPr>
          <w:noProof/>
        </w:rPr>
      </w:pPr>
      <w:r>
        <w:rPr>
          <w:noProof/>
        </w:rPr>
        <w:t xml:space="preserve">Linji baġitarji ġodda mitlubin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u w:val="single"/>
        </w:rPr>
        <w:t>Skont l-ordni</w:t>
      </w:r>
      <w:r>
        <w:rPr>
          <w:i/>
          <w:noProof/>
        </w:rPr>
        <w:t xml:space="preserve"> tal-intestaturi tal-qafas finanzjarju pluriennali u tal-linji baġitarji.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840"/>
        <w:gridCol w:w="1080"/>
        <w:gridCol w:w="1076"/>
        <w:gridCol w:w="1080"/>
        <w:gridCol w:w="1084"/>
        <w:gridCol w:w="1320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84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Tip ta’ </w:t>
            </w:r>
            <w:r>
              <w:rPr>
                <w:noProof/>
                <w:sz w:val="18"/>
                <w:szCs w:val="18"/>
              </w:rPr>
              <w:br/>
              <w:t>nefqa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84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Numru </w:t>
            </w:r>
            <w:r>
              <w:rPr>
                <w:noProof/>
                <w:sz w:val="22"/>
              </w:rPr>
              <w:br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Diff./Mhux diff.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mill-pajjiżi tal-EFTA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mill-pajjiżi kandidati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skont it-tifsira tal-Artikolu 21(2)(b) tar-Regolament Finanzjarju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840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  <w:sz w:val="22"/>
              </w:rPr>
              <w:t>[XX.YY.YY.YY]</w:t>
            </w:r>
          </w:p>
          <w:p>
            <w:pPr>
              <w:spacing w:after="60"/>
              <w:rPr>
                <w:noProof/>
                <w:color w:val="0000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IVA/LE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0"/>
                <w:szCs w:val="20"/>
              </w:rPr>
            </w:pPr>
            <w:r>
              <w:rPr>
                <w:noProof/>
                <w:sz w:val="20"/>
              </w:rPr>
              <w:t>IVA/LE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noProof/>
                <w:color w:val="0000FF"/>
                <w:sz w:val="20"/>
                <w:szCs w:val="20"/>
              </w:rPr>
            </w:pPr>
            <w:r>
              <w:rPr>
                <w:noProof/>
                <w:sz w:val="20"/>
              </w:rPr>
              <w:t>IVA/LE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IVA/LE</w:t>
            </w:r>
          </w:p>
        </w:tc>
      </w:tr>
    </w:tbl>
    <w:p>
      <w:pPr>
        <w:rPr>
          <w:noProof/>
        </w:rPr>
        <w:sect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bookmarkStart w:id="53" w:name="_Toc514938052"/>
      <w:bookmarkStart w:id="54" w:name="_Toc520485051"/>
      <w:r>
        <w:t>3.2.</w:t>
      </w:r>
      <w:r>
        <w:tab/>
      </w:r>
      <w:r>
        <w:rPr>
          <w:noProof/>
        </w:rPr>
        <w:t>Impatt finanzjarju stmat tal-proposta fuq l-approprjazzjonijiet</w:t>
      </w:r>
      <w:bookmarkEnd w:id="53"/>
      <w:bookmarkEnd w:id="54"/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bookmarkStart w:id="55" w:name="_Toc514938053"/>
      <w:bookmarkStart w:id="56" w:name="_Toc520485052"/>
      <w:r>
        <w:t>3.2.1.</w:t>
      </w:r>
      <w:r>
        <w:tab/>
      </w:r>
      <w:r>
        <w:rPr>
          <w:noProof/>
        </w:rPr>
        <w:t>Sommarju tal-impatt stmat fuq l-approprjazzjonijiet operazzjonali</w:t>
      </w:r>
      <w:bookmarkEnd w:id="55"/>
      <w:bookmarkEnd w:id="56"/>
      <w:r>
        <w:rPr>
          <w:noProof/>
        </w:rPr>
        <w:t xml:space="preserve">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Il-proposta/l-inizjattiva ma teħtieġx l-użu ta’ approprjazzjonijiet operazzjonali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Il-proposta/l-inizjattiva teħtieġ l-użu ta’ approprjazzjonijiet operazzjonali, kif spjegat hawn taħt:</w:t>
      </w:r>
    </w:p>
    <w:p>
      <w:pPr>
        <w:jc w:val="right"/>
        <w:rPr>
          <w:noProof/>
          <w:sz w:val="18"/>
          <w:szCs w:val="18"/>
        </w:rPr>
      </w:pPr>
      <w:r>
        <w:rPr>
          <w:noProof/>
          <w:sz w:val="18"/>
        </w:rPr>
        <w:t>f’miljuni ta’ Euro (aġġustati għal tliet pożizzjonijiet deċimali)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Intestatura tal-qafas finanzjarju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In-numru</w:t>
            </w:r>
          </w:p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Tkabbir sostenibbli: ir-riżorsi naturali</w:t>
            </w:r>
          </w:p>
        </w:tc>
      </w:tr>
    </w:tbl>
    <w:p>
      <w:pPr>
        <w:rPr>
          <w:noProof/>
          <w:sz w:val="16"/>
        </w:rPr>
      </w:pPr>
    </w:p>
    <w:tbl>
      <w:tblPr>
        <w:tblW w:w="121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0"/>
        <w:gridCol w:w="534"/>
        <w:gridCol w:w="868"/>
        <w:gridCol w:w="868"/>
        <w:gridCol w:w="868"/>
        <w:gridCol w:w="868"/>
        <w:gridCol w:w="899"/>
        <w:gridCol w:w="1746"/>
      </w:tblGrid>
      <w:tr>
        <w:tc>
          <w:tcPr>
            <w:tcW w:w="396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Id-DĠ: Affarijiet Marittimi u Sajd</w:t>
            </w:r>
          </w:p>
        </w:tc>
        <w:tc>
          <w:tcPr>
            <w:tcW w:w="1560" w:type="dxa"/>
            <w:gridSpan w:val="2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Fl-</w:t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2"/>
              </w:rPr>
              <w:t>Fl-</w:t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Fl-</w:t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Fl-</w:t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Fl-</w:t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trHeight w:val="213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Approprjazzjonijiet operazzjonali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99" w:type="dxa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  <w:r>
              <w:rPr>
                <w:rStyle w:val="FootnoteReference"/>
                <w:noProof/>
                <w:sz w:val="20"/>
              </w:rPr>
              <w:footnoteReference w:id="14"/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99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99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(1b)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99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(2b)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99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231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t>Approprjazzjonijiet ta’ natura amministrattiva ffinanzjati mill-pakkett għal programmi speċifiċi</w:t>
            </w:r>
            <w:r>
              <w:rPr>
                <w:rStyle w:val="FootnoteReference"/>
                <w:noProof/>
                <w:sz w:val="21"/>
              </w:rPr>
              <w:footnoteReference w:id="15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3960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440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99" w:type="dxa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tal-approprjazzjonijiet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għad-DĠ Affarijiet Marittimi u Sajd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=1a+1b 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99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  <w:tr>
        <w:tc>
          <w:tcPr>
            <w:tcW w:w="3960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=2a+2b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99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</w:tbl>
    <w:p>
      <w:pPr>
        <w:rPr>
          <w:noProof/>
        </w:rPr>
      </w:pPr>
      <w:r>
        <w:rPr>
          <w:noProof/>
        </w:rPr>
        <w:br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1732"/>
      </w:tblGrid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</w:t>
            </w:r>
            <w:r>
              <w:rPr>
                <w:noProof/>
              </w:rPr>
              <w:t>TOTAL tal-approprjazzjonijiet operazzjonali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3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3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TOTAL tal-approprjazzjonijiet ta’ natura amministrattiva ffinanzjati mill-pakkett għal programmi speċifiċi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TOTAL tal-approprjazzjonijiet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skont l-INTESTATURA &lt;2.&gt;</w:t>
            </w:r>
            <w:r>
              <w:rPr>
                <w:noProof/>
                <w:sz w:val="22"/>
              </w:rPr>
              <w:br/>
              <w:t>tal-qafas finanzjarju pluriennali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3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3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</w:tbl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Jekk il-proposta/l-inizjattiva tolqot iktar minn intestatura operazzjonali waħda, irrepeti t-taqsima ta’ hawn fuq: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177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TOTAL tal-approprjazzjonijiet operazzjonali (l-intestaturi operazzjonali kollha)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t xml:space="preserve"> TOTAL tal-approprjazzjonijiet ta’ natura amministrattiva ffinanzjati mill-pakkett għal programmi speċifiċi (l-intestaturi operazzjonali kollha)</w:t>
            </w:r>
          </w:p>
        </w:tc>
        <w:tc>
          <w:tcPr>
            <w:tcW w:w="654" w:type="dxa"/>
            <w:vAlign w:val="center"/>
          </w:tcPr>
          <w:p>
            <w:pPr>
              <w:rPr>
                <w:noProof/>
              </w:rPr>
            </w:pPr>
          </w:p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TOTAL tal-approprjazzjonijiet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skont l-INTESTATURI 1 sa 4</w:t>
            </w:r>
            <w:r>
              <w:rPr>
                <w:noProof/>
                <w:sz w:val="22"/>
              </w:rPr>
              <w:br/>
              <w:t>tal-qafas finanzjarju pluriennali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(Ammont ta’ referenza)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</w:tbl>
    <w:p>
      <w:pPr>
        <w:rPr>
          <w:noProof/>
        </w:rPr>
      </w:pPr>
    </w:p>
    <w:p>
      <w:pPr>
        <w:spacing w:before="0" w:after="0"/>
        <w:jc w:val="left"/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 xml:space="preserve">Intestatura tal-qafas finanzjarju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pluriennali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“Nefqa amministrattiva”</w:t>
            </w:r>
          </w:p>
        </w:tc>
      </w:tr>
    </w:tbl>
    <w:p>
      <w:pPr>
        <w:jc w:val="left"/>
        <w:rPr>
          <w:noProof/>
          <w:sz w:val="20"/>
        </w:rPr>
      </w:pPr>
      <w:r>
        <w:rPr>
          <w:noProof/>
        </w:rPr>
        <w:t>Din it-taqsima għandha timtela billi tintuża d-“</w:t>
      </w:r>
      <w:r>
        <w:rPr>
          <w:i/>
          <w:noProof/>
        </w:rPr>
        <w:t>data</w:t>
      </w:r>
      <w:r>
        <w:rPr>
          <w:noProof/>
        </w:rPr>
        <w:t xml:space="preserve"> baġitarja ta’ natura amministrattiva” li qabel kollox trid tiddaħħal fl-</w:t>
      </w:r>
      <w:hyperlink r:id="rId18">
        <w:r>
          <w:rPr>
            <w:rStyle w:val="Hyperlink"/>
            <w:noProof/>
          </w:rPr>
          <w:t>Anness tad-Dikjarazzjoni Finanzjarja Leġiżlattiva</w:t>
        </w:r>
      </w:hyperlink>
      <w:r>
        <w:rPr>
          <w:noProof/>
        </w:rPr>
        <w:t xml:space="preserve"> (l-Anness V tar-regoli interni), li għandu jittella’ fil-pjattaforma elettronika “DECIDE” għall-finijiet tal-konsultazzjoni bejn is-servizzi.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f’miljuni ta’ Euro (aġġustati għal tliet pożizzjonijiet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Fl-</w:t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Fl-</w:t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Fl-</w:t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Fl-</w:t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Fl-</w:t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gridAfter w:val="8"/>
          <w:wAfter w:w="8211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Id-DĠ: Affarijiet Marittimi u Sajd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</w:rPr>
              <w:t>Riżorsi umani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</w:rPr>
              <w:t>Nefqa amministrattiva oħra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tad-DĠ</w:t>
            </w:r>
            <w:r>
              <w:rPr>
                <w:noProof/>
                <w:sz w:val="22"/>
              </w:rPr>
              <w:t xml:space="preserve"> Affarijiet Marittimi u Sajd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Approprjazzjonijiet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tal-approprjazzjonijiet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skont l-INTESTATURA 5</w:t>
            </w:r>
            <w:r>
              <w:rPr>
                <w:noProof/>
                <w:sz w:val="22"/>
              </w:rPr>
              <w:br/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(Total ta’ impenji = Total ta’ pagamenti)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f’miljuni ta’ Euro (aġġustati għal tliet pożizzjonijiet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Fl-</w:t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Fl-</w:t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Fl-</w:t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Fl-</w:t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Fl-</w:t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TOTAL tal-approprjazzjonijiet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skont l-INTESTATURI 1 sa 5</w:t>
            </w:r>
            <w:r>
              <w:rPr>
                <w:noProof/>
                <w:sz w:val="22"/>
              </w:rPr>
              <w:br/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</w:tbl>
    <w:p>
      <w:pPr>
        <w:rPr>
          <w:noProof/>
        </w:rPr>
      </w:pPr>
    </w:p>
    <w:p>
      <w:pPr>
        <w:pStyle w:val="ManualHeading3"/>
        <w:rPr>
          <w:bCs/>
          <w:noProof/>
          <w:szCs w:val="24"/>
        </w:rPr>
      </w:pPr>
      <w:bookmarkStart w:id="57" w:name="_Toc514938054"/>
      <w:bookmarkStart w:id="58" w:name="_Toc520485053"/>
      <w:r>
        <w:t>3.2.2.</w:t>
      </w:r>
      <w:r>
        <w:tab/>
      </w:r>
      <w:r>
        <w:rPr>
          <w:noProof/>
        </w:rPr>
        <w:t>Output stmat iffinanzjat b’approprjazzjonijiet operazzjonali</w:t>
      </w:r>
      <w:bookmarkEnd w:id="57"/>
      <w:bookmarkEnd w:id="58"/>
      <w:r>
        <w:rPr>
          <w:noProof/>
        </w:rPr>
        <w:t xml:space="preserve">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ta’ impenn f’miljuni ta’ Euro (aġġustati għal tliet pożizzjonijiet deċimali)</w:t>
      </w:r>
    </w:p>
    <w:tbl>
      <w:tblPr>
        <w:tblW w:w="11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51"/>
        <w:gridCol w:w="669"/>
        <w:gridCol w:w="540"/>
        <w:gridCol w:w="648"/>
        <w:gridCol w:w="12"/>
        <w:gridCol w:w="708"/>
        <w:gridCol w:w="900"/>
        <w:gridCol w:w="12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Indika l-għanijiet u l-outputs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Fl-</w:t>
            </w:r>
            <w:r>
              <w:rPr>
                <w:b/>
                <w:noProof/>
                <w:sz w:val="18"/>
              </w:rPr>
              <w:t>2019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Fl-</w:t>
            </w:r>
            <w:r>
              <w:rPr>
                <w:b/>
                <w:noProof/>
                <w:sz w:val="18"/>
              </w:rPr>
              <w:t>2020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Fl-</w:t>
            </w:r>
            <w:r>
              <w:rPr>
                <w:b/>
                <w:noProof/>
                <w:sz w:val="18"/>
              </w:rPr>
              <w:t>2021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Fl-</w:t>
            </w:r>
            <w:r>
              <w:rPr>
                <w:b/>
                <w:noProof/>
                <w:sz w:val="18"/>
              </w:rPr>
              <w:t>2022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Fl-</w:t>
            </w:r>
            <w:r>
              <w:rPr>
                <w:b/>
                <w:noProof/>
                <w:sz w:val="18"/>
              </w:rPr>
              <w:t>2023</w:t>
            </w:r>
          </w:p>
        </w:tc>
        <w:tc>
          <w:tcPr>
            <w:tcW w:w="1620" w:type="dxa"/>
            <w:gridSpan w:val="3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TOTAL</w:t>
            </w:r>
          </w:p>
        </w:tc>
      </w:tr>
      <w:tr>
        <w:trPr>
          <w:gridAfter w:val="17"/>
          <w:wAfter w:w="9785" w:type="dxa"/>
          <w:trHeight w:val="465"/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Tip</w:t>
            </w:r>
            <w:r>
              <w:rPr>
                <w:rStyle w:val="FootnoteReference"/>
                <w:noProof/>
                <w:sz w:val="18"/>
              </w:rPr>
              <w:footnoteReference w:id="16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 medju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720" w:type="dxa"/>
            <w:gridSpan w:val="2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 totali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 totali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GĦAN SPEĊIFIKU Nru 1</w:t>
            </w:r>
            <w:r>
              <w:rPr>
                <w:rStyle w:val="FootnoteReference"/>
                <w:noProof/>
                <w:sz w:val="18"/>
              </w:rPr>
              <w:footnoteReference w:id="17"/>
            </w:r>
            <w:r>
              <w:rPr>
                <w:noProof/>
                <w:sz w:val="18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- Aċċess 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Annwali</w:t>
            </w: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0,400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0,400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0,400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0,400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0,400</w:t>
            </w: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2,000</w:t>
            </w:r>
          </w:p>
        </w:tc>
      </w:tr>
      <w:tr>
        <w:trPr>
          <w:gridAfter w:val="1"/>
          <w:wAfter w:w="12" w:type="dxa"/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Appoġġ settorjali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Annwali</w:t>
            </w: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0,350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0,350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0,350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0,350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0,350</w:t>
            </w: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1,750</w:t>
            </w:r>
          </w:p>
        </w:tc>
      </w:tr>
      <w:tr>
        <w:trPr>
          <w:gridAfter w:val="1"/>
          <w:wAfter w:w="12" w:type="dxa"/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77"/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Subtotal tal-għan speċifiku Nru 1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GĦAN SPEĊIFIKU Nru 2…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Subtotal tal-għan speċifiku Nru 2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TOTALI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0,750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0,750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0,750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0,750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0,750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3,750</w:t>
            </w:r>
          </w:p>
        </w:tc>
      </w:tr>
    </w:tbl>
    <w:p>
      <w:pPr>
        <w:rPr>
          <w:noProof/>
        </w:rPr>
        <w:sectPr>
          <w:headerReference w:type="default" r:id="rId19"/>
          <w:footerReference w:type="default" r:id="rId20"/>
          <w:headerReference w:type="first" r:id="rId21"/>
          <w:footerReference w:type="first" r:id="rId22"/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bookmarkStart w:id="59" w:name="_Toc514938055"/>
      <w:bookmarkStart w:id="60" w:name="_Toc520485054"/>
      <w:r>
        <w:t>3.2.3.</w:t>
      </w:r>
      <w:r>
        <w:tab/>
      </w:r>
      <w:r>
        <w:rPr>
          <w:noProof/>
        </w:rPr>
        <w:t>Sommarju tal-impatt stmat fuq l-approprjazzjonijiet amministrattivi</w:t>
      </w:r>
      <w:bookmarkEnd w:id="59"/>
      <w:bookmarkEnd w:id="60"/>
      <w:r>
        <w:rPr>
          <w:noProof/>
        </w:rPr>
        <w:t xml:space="preserve">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 xml:space="preserve">Il-proposta/l-inizjattiva ma teħtieġx l-użu ta’ approprjazzjonijiet ta’ natura amministrattiva.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teħtieġ l-użu ta’ approprjazzjonijiet ta’ natura amministrattiva, kif spjegat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f’miljuni ta’ Euro (aġġustati għal tliet pożizzjonijiet deċimali)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Fis-sena</w:t>
            </w:r>
            <w:r>
              <w:rPr>
                <w:b/>
                <w:noProof/>
                <w:sz w:val="16"/>
              </w:rPr>
              <w:t xml:space="preserve"> N</w:t>
            </w:r>
            <w:r>
              <w:rPr>
                <w:rStyle w:val="FootnoteReference"/>
                <w:b/>
                <w:noProof/>
                <w:sz w:val="16"/>
              </w:rPr>
              <w:footnoteReference w:id="18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Fis-sena </w:t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Fis-sena </w:t>
            </w:r>
            <w:r>
              <w:rPr>
                <w:b/>
                <w:noProof/>
                <w:sz w:val="16"/>
                <w:szCs w:val="16"/>
              </w:rPr>
              <w:t>N</w:t>
            </w:r>
            <w:r>
              <w:rPr>
                <w:b/>
                <w:noProof/>
                <w:sz w:val="16"/>
              </w:rPr>
              <w:t>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Fis-sena </w:t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Daħħal is-snin kollha li hemm bżonn biex turi d-durata tal-impatt (ara l-punt 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L-INTESTATURA 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tal-qafas finanzjarju pluriennali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amministrattiva oħra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Subtotal tal-INTESTATURA 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Barra mill-INTESTATURA 5</w:t>
            </w:r>
            <w:r>
              <w:rPr>
                <w:rStyle w:val="FootnoteReference"/>
                <w:b/>
                <w:noProof/>
                <w:sz w:val="16"/>
              </w:rPr>
              <w:footnoteReference w:id="19"/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oħra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ta’ natura amministrattiva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Subtotal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barra mill-INTESTATURA 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</w:pPr>
      <w:r>
        <w:rPr>
          <w:noProof/>
          <w:sz w:val="18"/>
        </w:rPr>
        <w:t>L-approprjazzjonijiet meħtieġa għar-riżorsi umani u għal nefqa oħra ta’ natura amministrattiva se jiġu koperti mill-approprjazzjonijiet tad-DĠ li diġà jkunu assenjati għall-ġestjoni tal-azzjoni u/jew li diġà jkunu ġew riassenjati fid-DĠ, flimkien, jekk ikun meħtieġ, ma’ kwalunkwe allokazzjoni addizzjonali li tista’ tingħata lid-DĠ tal-ġestjoni skont il-proċedura annwali ta’ allokazzjoni u fid-dawl tal-limitazzjonijiet baġitarji.</w:t>
      </w:r>
    </w:p>
    <w:p>
      <w:pPr>
        <w:rPr>
          <w:noProof/>
          <w:sz w:val="18"/>
        </w:rPr>
        <w:sectPr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4"/>
        <w:rPr>
          <w:bCs/>
          <w:noProof/>
          <w:szCs w:val="24"/>
        </w:rPr>
      </w:pPr>
      <w:r>
        <w:t>3.2.3.1.</w:t>
      </w:r>
      <w:r>
        <w:tab/>
      </w:r>
      <w:r>
        <w:rPr>
          <w:noProof/>
        </w:rPr>
        <w:t xml:space="preserve">Rekwiżiti stmati ta’ riżorsi umani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 xml:space="preserve">Il-proposta/l-inizjattiva ma teħtieġx l-użu ta’ riżorsi umani.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teħtieġ l-użu ta’ riżorsi umani, kif spjegat hawn taħt: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L-istima trid tiġi espressa f’unitajiet ekwivalenti għall-full-time</w:t>
      </w:r>
    </w:p>
    <w:tbl>
      <w:tblPr>
        <w:tblW w:w="98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376"/>
        <w:gridCol w:w="2378"/>
        <w:gridCol w:w="731"/>
        <w:gridCol w:w="731"/>
        <w:gridCol w:w="731"/>
        <w:gridCol w:w="731"/>
        <w:gridCol w:w="731"/>
        <w:gridCol w:w="731"/>
        <w:gridCol w:w="731"/>
      </w:tblGrid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Fis-sena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16"/>
              </w:rPr>
              <w:t>N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Fis-sena </w:t>
            </w:r>
            <w:r>
              <w:rPr>
                <w:b/>
                <w:noProof/>
                <w:sz w:val="16"/>
                <w:szCs w:val="16"/>
              </w:rPr>
              <w:t>N+1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Fis-sena</w:t>
            </w:r>
            <w:r>
              <w:rPr>
                <w:noProof/>
                <w:sz w:val="16"/>
              </w:rPr>
              <w:t xml:space="preserve"> </w:t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Fis-sena</w:t>
            </w:r>
            <w:r>
              <w:rPr>
                <w:noProof/>
                <w:sz w:val="16"/>
              </w:rPr>
              <w:t xml:space="preserve"> </w:t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Daħħal is-snin kollha li hemm bżonn biex turi d-durata tal-impatt (ara l-punt 1.6)</w:t>
            </w: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600" w:type="dxa"/>
            <w:gridSpan w:val="9"/>
            <w:shd w:val="clear" w:color="auto" w:fill="auto"/>
          </w:tcPr>
          <w:p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Pożizzjonijiet fil-pjan ta’ stabbiliment (uffiċjali u aġenti temporanji)</w:t>
            </w: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(Kwartieri Ġenerali u Uffiċċji tar-Rappreżentanza tal-Kummissjoni)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(Delegazzjonijiet)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01/11/21 (Riċerka indiretta)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01/11 (Riċerka diretta)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48"/>
          <w:jc w:val="center"/>
        </w:trPr>
        <w:tc>
          <w:tcPr>
            <w:tcW w:w="600" w:type="dxa"/>
            <w:gridSpan w:val="10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Persunal estern (f’unità Ekwivalenti għall-Full-Time: FTE)</w:t>
            </w:r>
            <w:r>
              <w:rPr>
                <w:rStyle w:val="FootnoteReference"/>
                <w:b/>
                <w:noProof/>
                <w:sz w:val="16"/>
              </w:rPr>
              <w:footnoteReference w:id="20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(AC, END, INT mill-“pakkett globali”)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(AC, AL, END, INT u JED fid-delegazzjonijiet)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1952" w:type="dxa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21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fil-Kwartieri Ġenerali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1952" w:type="dxa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fid-Delegazzjonijiet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05 02/12/22 (AC, END, INT - Riċerka indiretta)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02/12 (AC, END, INT - Riċerka diretta)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Linji baġitarji oħra (speċifika)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</w:rPr>
        <w:t>XX</w:t>
      </w:r>
      <w:r>
        <w:rPr>
          <w:noProof/>
          <w:sz w:val="18"/>
        </w:rPr>
        <w:t xml:space="preserve"> huwa l-qasam ta’ politika jew it-titolu baġitarju kkonċernat.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Ir-riżorsi umani meħtieġa se jiġu koperti mill-persunal tad-DĠ li diġà jkun assenjat għall-ġestjoni tal-azzjoni u/jew li diġà jkun ġie riassenjat fid-DĠ, flimkien, jekk ikun meħtieġ, ma’ kwalunkwe allokazzjoni addizzjonali li tista’ tingħata lid-DĠ tal-ġestjoni skont il-proċedura annwali ta’ allokazzjoni u fid-dawl tal-limitazzjonijiet baġitarji.</w:t>
      </w:r>
    </w:p>
    <w:p>
      <w:pPr>
        <w:rPr>
          <w:noProof/>
          <w:sz w:val="20"/>
        </w:rPr>
      </w:pPr>
      <w:r>
        <w:rPr>
          <w:noProof/>
          <w:sz w:val="20"/>
        </w:rPr>
        <w:t>Deskrizzjoni tal-kompiti li jridu jitwettqu: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Uffiċjali u aġenti temporanji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</w:rPr>
              <w:t>L-implimentazzjoni tal-Protokoll (il-pagamenti, l-aċċess għall-bastimenti tal-Unjoni fl-ilmijiet ta’ Cape Verde u l-ipproċessar tal-awtorizzazzjonijiet tas-sajd), it-tħejjija u s-segwitu tal-laqgħat tal-Kumitati Konġunti, it-tħejjija tat-tiġdid tal-Protokoll, l-evalwazzjoni esterna, il-proċeduri leġiżlattivi u n-negozjati.</w:t>
            </w: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Persunal estern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</w:rPr>
              <w:t>L-implimentazzjoni tal-Protokoll: il-kuntatt mal-awtoritajiet ta’ Cape Verde b’rabta mal-aċċess għall-bastimenti tal-Unjoni fl-ilmijiet ta’ Cape Verde, l-ipproċessar tal-awtorizzazzjonijiet tas-sajd u t-tħejjija u s-segwitu tal-laqgħat tal-Kumitati Konġunti, b’mod partikulari l-implimentazzjoni tal-appoġġ settorjali.</w:t>
            </w: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noProof/>
        </w:rPr>
      </w:pPr>
      <w:bookmarkStart w:id="61" w:name="_Toc514938056"/>
      <w:bookmarkStart w:id="62" w:name="_Toc520485055"/>
      <w:r>
        <w:t>3.2.4.</w:t>
      </w:r>
      <w:r>
        <w:tab/>
      </w:r>
      <w:r>
        <w:rPr>
          <w:noProof/>
        </w:rPr>
        <w:t>Kompatibbiltà mal-qafas finanzjarju pluriennali attwali</w:t>
      </w:r>
      <w:bookmarkEnd w:id="61"/>
      <w:bookmarkEnd w:id="62"/>
      <w:r>
        <w:rPr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t>Il-proposta/l-inizjattiva: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tista’ tiġi ffinanzjata kompletament permezz ta’ riallokazzjoni fl-intestatura rilevanti tal-Qafas Finanzjarju Pluriennali (il-QFP).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Dan għandu x’jaqsam mal-użu tal-linja ta’ riżerva (il-Kapitolu 40).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teħtieġ l-użu tal-marġni mhux allokat taħt l-intestatura rilevanti tal-QFP u/jew l-użu tal-istrumenti speċjali ddefiniti fir-Regolament dwar il-QFP.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x’inhu meħtieġ, filwaqt li tispeċifika l-intestaturi u l-linji baġitarji kkonċernati, l-ammonti korrispondenti u l-istrumenti li qed jiġi propost li jintużaw.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teħtieġ reviżjoni tal-QFP.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x’inhu meħtieġ, filwaqt li tispeċifika l-intestaturi u l-linji baġitarji kkonċernati u l-ammonti korrispondenti.</w:t>
      </w:r>
    </w:p>
    <w:p>
      <w:pPr>
        <w:pStyle w:val="ManualHeading3"/>
        <w:rPr>
          <w:bCs/>
          <w:noProof/>
          <w:szCs w:val="24"/>
        </w:rPr>
      </w:pPr>
      <w:bookmarkStart w:id="63" w:name="_Toc514938058"/>
      <w:bookmarkStart w:id="64" w:name="_Toc520485056"/>
      <w:r>
        <w:t>3.2.5.</w:t>
      </w:r>
      <w:r>
        <w:tab/>
      </w:r>
      <w:r>
        <w:rPr>
          <w:noProof/>
        </w:rPr>
        <w:t>Kontribuzzjonijiet ta’ partijiet terzi</w:t>
      </w:r>
      <w:bookmarkEnd w:id="63"/>
      <w:bookmarkEnd w:id="64"/>
      <w:r>
        <w:rPr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t>Il-proposta/l-inizjattiva: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ma tipprevedix il-kofinanzjament minn partijiet terzi.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tipprevedi l-kofinanzjament minn partijiet terzi li qed jiġi stmat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f’miljuni ta’ Euro (aġġustati għal tliet pożizzjonijiet deċimali)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 xml:space="preserve">Fis-sena </w:t>
            </w:r>
            <w:r>
              <w:rPr>
                <w:b/>
                <w:noProof/>
                <w:sz w:val="20"/>
                <w:szCs w:val="20"/>
              </w:rPr>
              <w:t>N</w:t>
            </w:r>
            <w:r>
              <w:rPr>
                <w:rStyle w:val="FootnoteReference"/>
                <w:b/>
                <w:noProof/>
                <w:sz w:val="20"/>
              </w:rPr>
              <w:footnoteReference w:id="22"/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Fis-sena </w:t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Fis-sena </w:t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Fis-sena </w:t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Daħħal is-snin kollha li hemm bżonn biex turi d-durata tal-impatt (ara l-punt 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Total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Speċifika l-korp ta’ kofinanzjament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TOTAL tal-approprjazzjonijiet kofinanzjati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/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bookmarkStart w:id="65" w:name="_Toc514938059"/>
      <w:bookmarkStart w:id="66" w:name="_Toc520485057"/>
      <w:r>
        <w:t>3.3.</w:t>
      </w:r>
      <w:r>
        <w:tab/>
      </w:r>
      <w:r>
        <w:rPr>
          <w:noProof/>
        </w:rPr>
        <w:t>Impatt stmat fuq id-dħul</w:t>
      </w:r>
      <w:bookmarkEnd w:id="65"/>
      <w:bookmarkEnd w:id="66"/>
      <w:r>
        <w:rPr>
          <w:noProof/>
        </w:rPr>
        <w:t xml:space="preserve">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Il-proposta/l-inizjattiva ma għandha l-ebda impatt finanzjarju fuq id-dħul.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għandha l-impatt finanzjarju li ġej: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ir-riżorsi proprji 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fuq id-dħul mixxellanju</w:t>
      </w:r>
    </w:p>
    <w:p>
      <w:pPr>
        <w:pStyle w:val="ListNumberLevel3"/>
        <w:rPr>
          <w:noProof/>
        </w:rPr>
      </w:pPr>
      <w:r>
        <w:rPr>
          <w:noProof/>
        </w:rPr>
        <w:t>jekk jogħġbok indika jekk id-dħul huwa assenjat għal-linji tan-nefqa </w:t>
      </w:r>
      <w:r>
        <w:rPr>
          <w:noProof/>
        </w:rPr>
        <w:sym w:font="Wingdings" w:char="F0A8"/>
      </w:r>
      <w:r>
        <w:rPr>
          <w:noProof/>
        </w:rPr>
        <w:tab/>
      </w:r>
    </w:p>
    <w:p>
      <w:pPr>
        <w:ind w:left="4320"/>
        <w:rPr>
          <w:i/>
          <w:noProof/>
          <w:sz w:val="20"/>
        </w:rPr>
      </w:pPr>
      <w:r>
        <w:rPr>
          <w:noProof/>
        </w:rPr>
        <w:t xml:space="preserve">     f’miljuni ta’ Euro (aġġustati għal tliet pożizzjonijiet deċimali)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325"/>
        <w:gridCol w:w="1031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Linja baġitarja tad-dħul: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Approprjazzjonijiet disponibbli għas-sena finanzjarja attwali</w:t>
            </w:r>
          </w:p>
        </w:tc>
        <w:tc>
          <w:tcPr>
            <w:tcW w:w="7151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Impatt tal-proposta/tal-inizjattiva</w:t>
            </w:r>
            <w:r>
              <w:rPr>
                <w:rStyle w:val="FootnoteReference"/>
                <w:noProof/>
                <w:sz w:val="18"/>
              </w:rPr>
              <w:footnoteReference w:id="23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325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Fis-sena </w:t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szCs w:val="18"/>
              </w:rPr>
              <w:t xml:space="preserve">Fis-sena </w:t>
            </w:r>
            <w:r>
              <w:rPr>
                <w:b/>
                <w:noProof/>
                <w:sz w:val="18"/>
                <w:szCs w:val="18"/>
              </w:rPr>
              <w:t>N</w:t>
            </w:r>
            <w:r>
              <w:rPr>
                <w:b/>
                <w:noProof/>
                <w:sz w:val="18"/>
              </w:rPr>
              <w:t>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Fis-sena </w:t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Fis-sena </w:t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Daħħal is-snin kollha li hemm bżonn biex turi d-durata tal-impatt (ara l-punt 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L-Artikolu ………….</w:t>
            </w:r>
          </w:p>
        </w:tc>
        <w:tc>
          <w:tcPr>
            <w:tcW w:w="1325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31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Għad-dħul assenjat, speċifika l-linja/i baġitarja/i tan-nefqa affettwata/i.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  <w:sz w:val="20"/>
        </w:rPr>
      </w:pPr>
      <w:r>
        <w:rPr>
          <w:noProof/>
          <w:sz w:val="20"/>
        </w:rPr>
        <w:t>Rimarki oħra (eż. il-metodu/il-formula użati għall-kalkolu tal-impatt fuq id-dħul jew kwalunkwe informazzjoni oħra).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ĠU L 414, 30.12.2006, p. 3.</w:t>
      </w:r>
    </w:p>
  </w:footnote>
  <w:footnote w:id="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ĠU L 107, 25.4.2007, p. 7.</w:t>
      </w:r>
    </w:p>
  </w:footnote>
  <w:footnote w:id="3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Li ġew adottati waqt il-laqgħa tal-Kunsill tal-ġustizzja u tal-affarijiet interni li saret mill-4 sal-5 ta’ Ġunju 2018.</w:t>
      </w:r>
    </w:p>
  </w:footnote>
  <w:footnote w:id="4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ĠU L 354, 28.12.2013, p. 22.</w:t>
      </w:r>
    </w:p>
  </w:footnote>
  <w:footnote w:id="5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SWD(2018) 194 final, 16.5.2018.</w:t>
      </w:r>
    </w:p>
  </w:footnote>
  <w:footnote w:id="6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Skont il-Ftehim interistituzzjonali dwar il-kooperazzjoni f’materji tal-baġit (bin-numru ta’ referenza 2013/C 373/01).</w:t>
      </w:r>
    </w:p>
  </w:footnote>
  <w:footnote w:id="7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Ir-Regolament tal-Kunsill (KE) Nru 2027/2006 tad-19 ta’ Diċembru 2006 dwar il-konklużjoni tal-Ftehim ta’ Sħubija fis-settur tas-sajd bejn il-Komunità Ewropea u r-Repubblika ta’ Kap Verde (ĠU L 414, 30.12.2006, p. 1).</w:t>
      </w:r>
    </w:p>
  </w:footnote>
  <w:footnote w:id="8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ĠU L 414, 30.12.2006, p. 3.</w:t>
      </w:r>
    </w:p>
  </w:footnote>
  <w:footnote w:id="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Kif imsemmi fl-Artikolu 58(2)(a) jew (b) tar-Regolament Finanzjarju.</w:t>
      </w:r>
    </w:p>
  </w:footnote>
  <w:footnote w:id="10">
    <w:p>
      <w:pPr>
        <w:pStyle w:val="FootnoteText"/>
        <w:jc w:val="left"/>
        <w:rPr>
          <w:szCs w:val="24"/>
        </w:rPr>
      </w:pPr>
      <w:r>
        <w:rPr>
          <w:rStyle w:val="FootnoteReference"/>
        </w:rPr>
        <w:footnoteRef/>
      </w:r>
      <w:r>
        <w:tab/>
        <w:t xml:space="preserve">Id-dettalji tal-modi ta’ ġestjoni u r-referenzi għar-Regolament Finanzjarju jinsabu fuq is-sit BudgWeb: </w:t>
      </w:r>
      <w:hyperlink r:id="rId1">
        <w:r>
          <w:rPr>
            <w:rStyle w:val="Hyperlink"/>
          </w:rPr>
          <w:t>https://myintracomm.ec.europa.eu/budgweb/EN/man/budgmanag/Pages/budgmanag.aspx</w:t>
        </w:r>
      </w:hyperlink>
      <w:r>
        <w:t>.</w:t>
      </w:r>
      <w:hyperlink r:id="rId2"/>
      <w:r>
        <w:t xml:space="preserve"> 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Diff. = Approprjazzjonijiet differenzjati / Mhux diff. = Approprjazzjonijiet mhux differenzjati.</w:t>
      </w:r>
    </w:p>
  </w:footnote>
  <w:footnote w:id="1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L-EFTA = l-Assoċjazzjoni Ewropea tal-Kummerċ Ħieles. </w:t>
      </w:r>
    </w:p>
  </w:footnote>
  <w:footnote w:id="1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Il-pajjiżi kandidati u, meta jkun applikabbli, il-pajjiżi kandidati potenzjali mill-Balkani tal-Punent.</w:t>
      </w:r>
    </w:p>
  </w:footnote>
  <w:footnote w:id="14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Skont in-nomenklatura uffiċjali tal-baġit.</w:t>
      </w:r>
    </w:p>
  </w:footnote>
  <w:footnote w:id="1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Assistenza teknika u/jew amministrattiva u nefqa li jappoġġaw l-implimentazzjoni ta’ programmi u/jew ta’ azzjonijiet tal-UE (li qabel kienu l-linji “BA”), riċerka indiretta u riċerka diretta.</w:t>
      </w:r>
    </w:p>
  </w:footnote>
  <w:footnote w:id="1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L-outputs huma l-prodotti u s-servizzi li għandhom jiġu pprovduti (pereżempju l-għadd ta’ skambji ta’ studenti ffinanzjati, l-għadd ta’ kilometri ta’ toroq mibnija, eċċ.).</w:t>
      </w:r>
    </w:p>
  </w:footnote>
  <w:footnote w:id="1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Kif deskritt fil-punt 1.4.2. “Għan/għanijiet speċifiku/speċifiċi…”. </w:t>
      </w:r>
    </w:p>
  </w:footnote>
  <w:footnote w:id="18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Is-sena N hija s-sena li fiha tibda l-implimentazzjoni tal-proposta/tal-inizjattiva. Jekk jogħbok issostitwixxi “is-sena N” bl-ewwel sena ta’ implimentazzjoni prevista (pereżempju l-2021). Agħmel l-istess għas-snin ta’ wara.</w:t>
      </w:r>
    </w:p>
  </w:footnote>
  <w:footnote w:id="1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Assistenza teknika u/jew amministrattiva u nefqa li jappoġġaw l-implimentazzjoni ta’ programmi u/jew ta’ azzjonijiet tal-UE (li qabel kienu l-linji “BA”), riċerka indiretta u riċerka diretta.</w:t>
      </w:r>
    </w:p>
  </w:footnote>
  <w:footnote w:id="2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AC = Aġenti Kuntrattwali; AL = Persunal Lokali; END = Esperti Nazzjonali Sekondati; INT = Persunal tal-aġenziji; JED = Esperti Subordinati fid-Delegazzjonijiet. </w:t>
      </w:r>
    </w:p>
  </w:footnote>
  <w:footnote w:id="2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Sottolimitu għall-persunal estern kopert minn approprjazzjonijiet operazzjonali (li qabel kienu l-linji “BA”).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  <w:t>Is-sena N hija s-sena li fiha tibda l-implimentazzjoni tal-proposta/tal-inizjattiva. Jekk jogħbok issostitwixxi “is-sena N” bl-ewwel sena ta’ implimentazzjoni prevista (pereżempju l-2021). Agħmel l-istess għas-snin ta’ wara.</w:t>
      </w:r>
    </w:p>
  </w:footnote>
  <w:footnote w:id="2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Fir-rigward tar-riżorsi proprji tradizzjonali (id-dazji doganali, l-imposti fuq iz-zokkor), l-ammonti indikati jridu jkunu ammonti netti, jiġifieri ammonti grossi wara t-tnaqqis ta’ 25 % tal-kostijiet tal-ġbir.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">
    <w:nsid w:val="128364B0"/>
    <w:multiLevelType w:val="singleLevel"/>
    <w:tmpl w:val="D084FB54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">
    <w:nsid w:val="13E4330B"/>
    <w:multiLevelType w:val="multilevel"/>
    <w:tmpl w:val="875C4416"/>
    <w:name w:val="List Dash 3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6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7">
    <w:nsid w:val="2D820C1F"/>
    <w:multiLevelType w:val="singleLevel"/>
    <w:tmpl w:val="7896AADE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8">
    <w:nsid w:val="2F191641"/>
    <w:multiLevelType w:val="multilevel"/>
    <w:tmpl w:val="B67C4E92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1CD398A"/>
    <w:multiLevelType w:val="singleLevel"/>
    <w:tmpl w:val="0276BF00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0">
    <w:nsid w:val="398C015E"/>
    <w:multiLevelType w:val="multilevel"/>
    <w:tmpl w:val="027A66BA"/>
    <w:name w:val="List Dash 4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542A1204"/>
    <w:multiLevelType w:val="multilevel"/>
    <w:tmpl w:val="BC1E8404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3D73F7A"/>
    <w:multiLevelType w:val="singleLevel"/>
    <w:tmpl w:val="2636573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7">
    <w:nsid w:val="76BC5C11"/>
    <w:multiLevelType w:val="singleLevel"/>
    <w:tmpl w:val="E44CE82E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8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5"/>
  </w:num>
  <w:num w:numId="5">
    <w:abstractNumId w:val="14"/>
  </w:num>
  <w:num w:numId="6">
    <w:abstractNumId w:val="25"/>
  </w:num>
  <w:num w:numId="7">
    <w:abstractNumId w:val="22"/>
  </w:num>
  <w:num w:numId="8">
    <w:abstractNumId w:val="26"/>
  </w:num>
  <w:num w:numId="9">
    <w:abstractNumId w:val="27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21"/>
  </w:num>
  <w:num w:numId="19">
    <w:abstractNumId w:val="11"/>
  </w:num>
  <w:num w:numId="20">
    <w:abstractNumId w:val="24"/>
  </w:num>
  <w:num w:numId="21">
    <w:abstractNumId w:val="6"/>
  </w:num>
  <w:num w:numId="22">
    <w:abstractNumId w:val="12"/>
  </w:num>
  <w:num w:numId="23">
    <w:abstractNumId w:val="4"/>
  </w:num>
  <w:num w:numId="24">
    <w:abstractNumId w:val="23"/>
  </w:num>
  <w:num w:numId="25">
    <w:abstractNumId w:val="3"/>
  </w:num>
  <w:num w:numId="26">
    <w:abstractNumId w:val="13"/>
  </w:num>
  <w:num w:numId="27">
    <w:abstractNumId w:val="19"/>
  </w:num>
  <w:num w:numId="28">
    <w:abstractNumId w:val="20"/>
  </w:num>
  <w:num w:numId="29">
    <w:abstractNumId w:val="5"/>
  </w:num>
  <w:num w:numId="30">
    <w:abstractNumId w:val="17"/>
  </w:num>
  <w:num w:numId="31">
    <w:abstractNumId w:val="28"/>
  </w:num>
  <w:num w:numId="32">
    <w:abstractNumId w:val="21"/>
  </w:num>
  <w:num w:numId="33">
    <w:abstractNumId w:val="11"/>
  </w:num>
  <w:num w:numId="34">
    <w:abstractNumId w:val="24"/>
  </w:num>
  <w:num w:numId="35">
    <w:abstractNumId w:val="6"/>
  </w:num>
  <w:num w:numId="36">
    <w:abstractNumId w:val="12"/>
  </w:num>
  <w:num w:numId="37">
    <w:abstractNumId w:val="4"/>
  </w:num>
  <w:num w:numId="38">
    <w:abstractNumId w:val="23"/>
  </w:num>
  <w:num w:numId="39">
    <w:abstractNumId w:val="3"/>
  </w:num>
  <w:num w:numId="40">
    <w:abstractNumId w:val="13"/>
  </w:num>
  <w:num w:numId="41">
    <w:abstractNumId w:val="19"/>
  </w:num>
  <w:num w:numId="42">
    <w:abstractNumId w:val="20"/>
  </w:num>
  <w:num w:numId="43">
    <w:abstractNumId w:val="5"/>
  </w:num>
  <w:num w:numId="44">
    <w:abstractNumId w:val="17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pt-PT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13 14:29:3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886609D-F0DD-482B-90A3-C4B778C0BA96"/>
    <w:docVar w:name="LW_COVERPAGE_TYPE" w:val="1"/>
    <w:docVar w:name="LW_CROSSREFERENCE" w:val="&lt;UNUSED&gt;"/>
    <w:docVar w:name="LW_DocType" w:val="COM"/>
    <w:docVar w:name="LW_EMISSION" w:val="14.3.2019"/>
    <w:docVar w:name="LW_EMISSION_ISODATE" w:val="2019-03-14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1"/>
    <w:docVar w:name="LW_REF.II.NEW.CP_YEAR" w:val="2019"/>
    <w:docVar w:name="LW_REF.INST.NEW" w:val="COM"/>
    <w:docVar w:name="LW_REF.INST.NEW_ADOPTED" w:val="final"/>
    <w:docVar w:name="LW_REF.INST.NEW_TEXT" w:val="(2019) 12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l-iffirmar, f\u8217?isem l-Unjoni, u l-applikazzjoni provvi\u380?orja tal-Protokoll dwar l-implimentazzjoni tal-Ftehim ta\u8217? s\u295?ubija fis-settur tas-sajd bejn il-Komunità Ewropea u r-Repubblika ta\u8217? Cape Verde (g\u295?all-2019 sal-2024)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pPr>
      <w:numPr>
        <w:numId w:val="2"/>
      </w:numPr>
    </w:pPr>
    <w:rPr>
      <w:rFonts w:eastAsia="Times New Roman"/>
    </w:rPr>
  </w:style>
  <w:style w:type="paragraph" w:styleId="ListNumber">
    <w:name w:val="List Number"/>
    <w:basedOn w:val="Normal"/>
    <w:pPr>
      <w:numPr>
        <w:numId w:val="6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">
    <w:name w:val="List Dash"/>
    <w:basedOn w:val="Normal"/>
    <w:pPr>
      <w:numPr>
        <w:numId w:val="3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4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6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6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6"/>
      </w:numPr>
    </w:pPr>
    <w:rPr>
      <w:rFonts w:eastAsia="Times New Roman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7"/>
      </w:numPr>
    </w:pPr>
    <w:rPr>
      <w:rFonts w:eastAsia="Times New Roman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</w:rPr>
  </w:style>
  <w:style w:type="paragraph" w:styleId="ListBullet3">
    <w:name w:val="List Bullet 3"/>
    <w:basedOn w:val="Normal"/>
    <w:pPr>
      <w:numPr>
        <w:numId w:val="9"/>
      </w:numPr>
    </w:pPr>
    <w:rPr>
      <w:rFonts w:eastAsia="Times New Roman"/>
    </w:r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mt-MT" w:eastAsia="mt-MT" w:bidi="mt-MT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mt-MT" w:eastAsia="mt-MT" w:bidi="mt-MT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mt-MT" w:eastAsia="mt-MT" w:bidi="mt-MT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rPr>
      <w:rFonts w:eastAsia="Times New Roman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TOCHeadingChar">
    <w:name w:val="TOC Heading Char"/>
    <w:uiPriority w:val="39"/>
    <w:rPr>
      <w:rFonts w:ascii="Times New Roman" w:hAnsi="Times New Roman" w:cs="Times New Roman"/>
      <w:b/>
      <w:sz w:val="28"/>
      <w:lang w:val="mt-M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</w:rPr>
  </w:style>
  <w:style w:type="character" w:customStyle="1" w:styleId="FooterCoverPageChar">
    <w:name w:val="Footer Cover Page Char"/>
    <w:link w:val="FooterCoverPage"/>
    <w:rPr>
      <w:rFonts w:ascii="Times New Roman" w:eastAsia="Calibri" w:hAnsi="Times New Roman" w:cs="Times New Roman"/>
      <w:sz w:val="24"/>
      <w:lang w:val="mt-MT" w:eastAsia="mt-MT" w:bidi="mt-M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</w:rPr>
  </w:style>
  <w:style w:type="character" w:customStyle="1" w:styleId="HeaderCoverPageChar">
    <w:name w:val="Header Cover Page Char"/>
    <w:link w:val="HeaderCoverPage"/>
    <w:rPr>
      <w:rFonts w:ascii="Times New Roman" w:eastAsia="Calibri" w:hAnsi="Times New Roman" w:cs="Times New Roman"/>
      <w:sz w:val="24"/>
      <w:lang w:val="mt-MT" w:eastAsia="mt-MT" w:bidi="mt-MT"/>
    </w:rPr>
  </w:style>
  <w:style w:type="paragraph" w:customStyle="1" w:styleId="Normal1">
    <w:name w:val="Normal1"/>
    <w:basedOn w:val="Normal"/>
    <w:pPr>
      <w:spacing w:after="0"/>
    </w:pPr>
    <w:rPr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pPr>
      <w:numPr>
        <w:numId w:val="2"/>
      </w:numPr>
    </w:pPr>
    <w:rPr>
      <w:rFonts w:eastAsia="Times New Roman"/>
    </w:rPr>
  </w:style>
  <w:style w:type="paragraph" w:styleId="ListNumber">
    <w:name w:val="List Number"/>
    <w:basedOn w:val="Normal"/>
    <w:pPr>
      <w:numPr>
        <w:numId w:val="6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">
    <w:name w:val="List Dash"/>
    <w:basedOn w:val="Normal"/>
    <w:pPr>
      <w:numPr>
        <w:numId w:val="3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4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6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6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6"/>
      </w:numPr>
    </w:pPr>
    <w:rPr>
      <w:rFonts w:eastAsia="Times New Roman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7"/>
      </w:numPr>
    </w:pPr>
    <w:rPr>
      <w:rFonts w:eastAsia="Times New Roman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</w:rPr>
  </w:style>
  <w:style w:type="paragraph" w:styleId="ListBullet3">
    <w:name w:val="List Bullet 3"/>
    <w:basedOn w:val="Normal"/>
    <w:pPr>
      <w:numPr>
        <w:numId w:val="9"/>
      </w:numPr>
    </w:pPr>
    <w:rPr>
      <w:rFonts w:eastAsia="Times New Roman"/>
    </w:r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mt-MT" w:eastAsia="mt-MT" w:bidi="mt-MT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mt-MT" w:eastAsia="mt-MT" w:bidi="mt-MT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mt-MT" w:eastAsia="mt-MT" w:bidi="mt-MT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rPr>
      <w:rFonts w:eastAsia="Times New Roman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TOCHeadingChar">
    <w:name w:val="TOC Heading Char"/>
    <w:uiPriority w:val="39"/>
    <w:rPr>
      <w:rFonts w:ascii="Times New Roman" w:hAnsi="Times New Roman" w:cs="Times New Roman"/>
      <w:b/>
      <w:sz w:val="28"/>
      <w:lang w:val="mt-M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</w:rPr>
  </w:style>
  <w:style w:type="character" w:customStyle="1" w:styleId="FooterCoverPageChar">
    <w:name w:val="Footer Cover Page Char"/>
    <w:link w:val="FooterCoverPage"/>
    <w:rPr>
      <w:rFonts w:ascii="Times New Roman" w:eastAsia="Calibri" w:hAnsi="Times New Roman" w:cs="Times New Roman"/>
      <w:sz w:val="24"/>
      <w:lang w:val="mt-MT" w:eastAsia="mt-MT" w:bidi="mt-M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</w:rPr>
  </w:style>
  <w:style w:type="character" w:customStyle="1" w:styleId="HeaderCoverPageChar">
    <w:name w:val="Header Cover Page Char"/>
    <w:link w:val="HeaderCoverPage"/>
    <w:rPr>
      <w:rFonts w:ascii="Times New Roman" w:eastAsia="Calibri" w:hAnsi="Times New Roman" w:cs="Times New Roman"/>
      <w:sz w:val="24"/>
      <w:lang w:val="mt-MT" w:eastAsia="mt-MT" w:bidi="mt-MT"/>
    </w:rPr>
  </w:style>
  <w:style w:type="paragraph" w:customStyle="1" w:styleId="Normal1">
    <w:name w:val="Normal1"/>
    <w:basedOn w:val="Normal"/>
    <w:pPr>
      <w:spacing w:after="0"/>
    </w:pPr>
    <w:rPr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43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82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myintracomm.ec.europa.eu/budgweb/FR/leg/internal/Documents/2016-5-legislative-financial-statement-ann-fr.docx." TargetMode="Externa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yintracomm.ec.europa.eu/budgweb/EN/man/budgmanag/Pages/budgmanag.aspx" TargetMode="External"/><Relationship Id="rId1" Type="http://schemas.openxmlformats.org/officeDocument/2006/relationships/hyperlink" Target="https://myintracomm.ec.europa.eu/budgweb/EN/man/budgmanag/Pages/budgmanag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9CE9-BCC2-4265-805E-7BD9609C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6</TotalTime>
  <Pages>24</Pages>
  <Words>4094</Words>
  <Characters>31079</Characters>
  <Application>Microsoft Office Word</Application>
  <DocSecurity>0</DocSecurity>
  <Lines>1351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cp:lastPrinted>2018-12-06T13:51:00Z</cp:lastPrinted>
  <dcterms:created xsi:type="dcterms:W3CDTF">2019-02-13T10:33:00Z</dcterms:created>
  <dcterms:modified xsi:type="dcterms:W3CDTF">2019-03-13T13:29:00Z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