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A1571D0-551B-4B35-B383-F2BD694A0A31"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Motivering en doel van het voorstel</w:t>
      </w:r>
    </w:p>
    <w:p>
      <w:pPr>
        <w:pBdr>
          <w:top w:val="nil"/>
          <w:left w:val="nil"/>
          <w:bottom w:val="nil"/>
          <w:right w:val="nil"/>
          <w:between w:val="nil"/>
          <w:bar w:val="nil"/>
        </w:pBdr>
        <w:spacing w:before="0" w:after="240"/>
        <w:rPr>
          <w:rFonts w:eastAsia="Arial Unicode MS"/>
          <w:noProof/>
        </w:rPr>
      </w:pPr>
      <w:r>
        <w:rPr>
          <w:noProof/>
        </w:rPr>
        <w:t>De partnerschapsovereenkomst inzake visserij tussen de Europese Gemeenschap en de Republiek Kaapverdië</w:t>
      </w:r>
      <w:r>
        <w:rPr>
          <w:rStyle w:val="FootnoteReference"/>
          <w:noProof/>
        </w:rPr>
        <w:footnoteReference w:id="1"/>
      </w:r>
      <w:r>
        <w:rPr>
          <w:noProof/>
        </w:rPr>
        <w:t xml:space="preserve"> (hierna "de overeenkomst" genoemd) is op 30 maart 2007 in werking getreden</w:t>
      </w:r>
      <w:r>
        <w:rPr>
          <w:rStyle w:val="FootnoteReference"/>
          <w:noProof/>
        </w:rPr>
        <w:footnoteReference w:id="2"/>
      </w:r>
      <w:r>
        <w:rPr>
          <w:noProof/>
        </w:rPr>
        <w:t xml:space="preserve">. Het huidige protocol bij de overeenkomst is op 23 december 2014 van toepassing geworden en verstrijkt op 22 december 2018. </w:t>
      </w:r>
    </w:p>
    <w:p>
      <w:pPr>
        <w:pBdr>
          <w:top w:val="nil"/>
          <w:left w:val="nil"/>
          <w:bottom w:val="nil"/>
          <w:right w:val="nil"/>
          <w:between w:val="nil"/>
          <w:bar w:val="nil"/>
        </w:pBdr>
        <w:spacing w:before="0" w:after="240"/>
        <w:rPr>
          <w:rFonts w:eastAsia="Arial Unicode MS"/>
          <w:noProof/>
        </w:rPr>
      </w:pPr>
      <w:r>
        <w:rPr>
          <w:noProof/>
        </w:rPr>
        <w:t>Op basis van de desbetreffende onderhandelingsrichtsnoeren</w:t>
      </w:r>
      <w:r>
        <w:rPr>
          <w:rStyle w:val="FootnoteReference"/>
          <w:noProof/>
        </w:rPr>
        <w:footnoteReference w:id="3"/>
      </w:r>
      <w:r>
        <w:rPr>
          <w:noProof/>
        </w:rPr>
        <w:t xml:space="preserve"> heeft de Commissie met de regering van de Republiek Kaapverdië (hierna "Cabo Verde" genoemd) onderhandelingen gevoerd met het oog op het sluiten van een nieuw protocol bij de overeenkomst. Na afloop van deze onderhandelingen is op 12 oktober 2018 een nieuw protocol geparafeerd. Het protocol bestrijkt een periode van vijf jaar vanaf de datum van voorlopige toepassing, d.w.z. vanaf de datum van de ondertekening ervan, zoals bepaald in artikel 15 van het protocol.</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Verenigbaarheid met bestaande bepalingen op het beleidsterrein</w:t>
      </w:r>
    </w:p>
    <w:p>
      <w:pPr>
        <w:pBdr>
          <w:top w:val="nil"/>
          <w:left w:val="nil"/>
          <w:bottom w:val="nil"/>
          <w:right w:val="nil"/>
          <w:between w:val="nil"/>
          <w:bar w:val="nil"/>
        </w:pBdr>
        <w:spacing w:before="0" w:after="240"/>
        <w:rPr>
          <w:noProof/>
        </w:rPr>
      </w:pPr>
      <w:r>
        <w:rPr>
          <w:noProof/>
        </w:rPr>
        <w:t>In overeenstemming met de prioriteiten van de hervorming van het visserijbeleid</w:t>
      </w:r>
      <w:r>
        <w:rPr>
          <w:rStyle w:val="FootnoteReference"/>
          <w:noProof/>
        </w:rPr>
        <w:footnoteReference w:id="4"/>
      </w:r>
      <w:r>
        <w:rPr>
          <w:noProof/>
        </w:rPr>
        <w:t xml:space="preserve"> biedt het nieuwe protocol vaartuigen van de Unie vangstmogelijkheden in de wateren van Cabo Verde op basis van de beste beschikbare wetenschappelijke adviezen en met inachtneming van de aanbevelingen van de Internationale Commissie voor de instandhouding van Atlantische tonijnen (International Commission for the Conservation of Atlantic Tunas – ICCAT). Dit nieuwe protocol houdt rekening met de resultaten van een evaluatie van het meest recente protocol (2014-2018) en met een verkennende evaluatie waarin is nagegaan of het wenselijk is een nieuw protocol te sluiten. Beide evaluaties werden uitgevoerd door externe deskundigen. Voorts zal het protocol het voor de Europese Unie en de Republiek Cabo Verde mogelijk maken om nauwer samen te werken met het oog op de bevordering van een verantwoorde exploitatie van de visbestanden in de wateren van Cabo Verde, en zal het de inspanningen van Cabo Verde voor de ontwikkeling van zijn blauwe economie ondersteunen, dit alles in het belang van beide partijen. </w:t>
      </w:r>
    </w:p>
    <w:p>
      <w:pPr>
        <w:pBdr>
          <w:top w:val="nil"/>
          <w:left w:val="nil"/>
          <w:bottom w:val="nil"/>
          <w:right w:val="nil"/>
          <w:between w:val="nil"/>
          <w:bar w:val="nil"/>
        </w:pBdr>
        <w:spacing w:before="0" w:after="240"/>
        <w:rPr>
          <w:noProof/>
        </w:rPr>
      </w:pPr>
      <w:r>
        <w:rPr>
          <w:noProof/>
        </w:rPr>
        <w:t>Het protocol voorziet in vangstmogelijkheden in de volgende categorieën:</w:t>
      </w:r>
    </w:p>
    <w:p>
      <w:pPr>
        <w:pStyle w:val="Tiret0"/>
        <w:numPr>
          <w:ilvl w:val="0"/>
          <w:numId w:val="5"/>
        </w:numPr>
        <w:rPr>
          <w:noProof/>
        </w:rPr>
      </w:pPr>
      <w:r>
        <w:rPr>
          <w:noProof/>
        </w:rPr>
        <w:t>28 vriesvaartuigen voor de tonijnvisserij met de zegen;</w:t>
      </w:r>
    </w:p>
    <w:p>
      <w:pPr>
        <w:pStyle w:val="Tiret0"/>
        <w:rPr>
          <w:noProof/>
        </w:rPr>
      </w:pPr>
      <w:r>
        <w:rPr>
          <w:noProof/>
        </w:rPr>
        <w:t>27 vaartuigen voor de visserij met de drijvende beug;</w:t>
      </w:r>
    </w:p>
    <w:p>
      <w:pPr>
        <w:pStyle w:val="Tiret0"/>
        <w:rPr>
          <w:noProof/>
        </w:rPr>
      </w:pPr>
      <w:r>
        <w:rPr>
          <w:noProof/>
        </w:rPr>
        <w:t>14 vaartuigen voor de tonijnvisserij met de hengel.</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Verenigbaarheid met andere beleidsterreinen van de Unie</w:t>
      </w:r>
    </w:p>
    <w:p>
      <w:pPr>
        <w:pBdr>
          <w:top w:val="nil"/>
          <w:left w:val="nil"/>
          <w:bottom w:val="nil"/>
          <w:right w:val="nil"/>
          <w:between w:val="nil"/>
          <w:bar w:val="nil"/>
        </w:pBdr>
        <w:spacing w:before="0" w:after="240"/>
        <w:rPr>
          <w:noProof/>
        </w:rPr>
      </w:pPr>
      <w:r>
        <w:rPr>
          <w:noProof/>
        </w:rPr>
        <w:t>De onderhandelingen over een nieuw protocol bij de partnerschapsovereenkomst inzake visserij met Cabo Verde passen in het kader van het externe optreden van de EU ten aanzien van de ACS-landen, en houden met name rekening met de doelstellingen van de Unie op het gebied van de eerbiediging van de democratische beginselen en de mensenrechten.</w:t>
      </w:r>
    </w:p>
    <w:p>
      <w:pPr>
        <w:pStyle w:val="ManualHeading1"/>
        <w:rPr>
          <w:noProof/>
        </w:rPr>
      </w:pPr>
      <w:r>
        <w:rPr>
          <w:noProof/>
        </w:rPr>
        <w:lastRenderedPageBreak/>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spacing w:before="0" w:after="240"/>
        <w:rPr>
          <w:noProof/>
        </w:rPr>
      </w:pPr>
      <w:r>
        <w:rPr>
          <w:noProof/>
        </w:rPr>
        <w:t xml:space="preserve">De gekozen rechtsgrondslag is het Verdrag betreffende de werking van de Europese Unie, waar in artikel 43, lid 2, het gemeenschappelijk visserijbeleid is vastgesteld en waar in artikel 218, lid 6, onder a), v), de desbetreffende fase van de procedure voor het onderhandelen over en het sluiten van overeenkomsten tussen de Unie en derde landen is vastgesteld. </w:t>
      </w:r>
    </w:p>
    <w:p>
      <w:pPr>
        <w:pStyle w:val="ManualHeading2"/>
        <w:rPr>
          <w:rFonts w:eastAsia="Arial Unicode MS"/>
          <w:noProof/>
          <w:u w:color="000000"/>
          <w:bdr w:val="nil"/>
        </w:rPr>
      </w:pPr>
      <w:r>
        <w:rPr>
          <w:noProof/>
        </w:rPr>
        <w:t>•</w:t>
      </w:r>
      <w:r>
        <w:rPr>
          <w:noProof/>
        </w:rPr>
        <w:tab/>
        <w:t>Subsidiariteit (bij niet-exclusieve bevoegdheid)</w:t>
      </w:r>
    </w:p>
    <w:p>
      <w:pPr>
        <w:spacing w:before="0" w:after="240"/>
        <w:rPr>
          <w:noProof/>
        </w:rPr>
      </w:pPr>
      <w:r>
        <w:rPr>
          <w:noProof/>
        </w:rPr>
        <w:t>Het voorstel betreft een gebied dat onder de exclusieve bevoegdheid van de Europese Unie valt.</w:t>
      </w:r>
    </w:p>
    <w:p>
      <w:pPr>
        <w:pStyle w:val="ManualHeading2"/>
        <w:rPr>
          <w:rFonts w:eastAsia="Arial Unicode MS"/>
          <w:noProof/>
          <w:u w:color="000000"/>
          <w:bdr w:val="nil"/>
        </w:rPr>
      </w:pPr>
      <w:r>
        <w:rPr>
          <w:noProof/>
        </w:rPr>
        <w:t>•</w:t>
      </w:r>
      <w:r>
        <w:rPr>
          <w:noProof/>
        </w:rPr>
        <w:tab/>
        <w:t>Evenredigheid</w:t>
      </w:r>
    </w:p>
    <w:p>
      <w:pPr>
        <w:spacing w:before="0" w:after="240"/>
        <w:rPr>
          <w:noProof/>
        </w:rPr>
      </w:pPr>
      <w:r>
        <w:rPr>
          <w:noProof/>
        </w:rPr>
        <w:t xml:space="preserve">Het voorstel staat in verhouding tot de in artikel 31 van de verordening inzake het gemeenschappelijk visserijbeleid vastgestelde doelstelling om een juridisch, ecologisch, economisch en sociaal bestuurskader voor visserijactiviteiten van vissersvaartuigen van de Unie in wateren van derde landen tot stand te brengen. Het voorstel is in overeenstemming met die bepalingen, alsook met de bepalingen van artikel 32 van diezelfde verordening over financiële steun aan derde landen.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Evaluatie van bestaande wetgeving en controle van de resultaatgerichtheid ervan</w:t>
      </w:r>
    </w:p>
    <w:p>
      <w:pPr>
        <w:rPr>
          <w:noProof/>
        </w:rPr>
      </w:pPr>
      <w:r>
        <w:rPr>
          <w:noProof/>
        </w:rPr>
        <w:t>In 2018 heeft de Commissie een ex-postevaluatie van het huidige protocol bij de partnerschapsovereenkomst inzake visserij met Cabo Verde verricht, alsook een ex-ante-evaluatie van een eventuele vernieuwing van het protocol. De conclusies van die evaluaties zijn opgenomen in een afzonderlijk werkdocument</w:t>
      </w:r>
      <w:r>
        <w:rPr>
          <w:rStyle w:val="FootnoteReference"/>
          <w:noProof/>
        </w:rPr>
        <w:footnoteReference w:id="5"/>
      </w:r>
      <w:r>
        <w:rPr>
          <w:noProof/>
        </w:rPr>
        <w:t>.</w:t>
      </w:r>
    </w:p>
    <w:p>
      <w:pPr>
        <w:rPr>
          <w:noProof/>
        </w:rPr>
      </w:pPr>
      <w:r>
        <w:rPr>
          <w:noProof/>
        </w:rPr>
        <w:t>In de evaluatie is geconcludeerd dat de sector van de tonijnvisserij in de EU veel belangstelling heeft voor de visserij in Cabo Verde en dat een vernieuwing van het protocol zou bijdragen aan een betere monitoring, controle en bewaking en aan een betere governance van de visserij in de regio. Het belang van Mindelo (op het eiland São Vicente) als een van de belangrijkste aanlandingshavens en plaatsen van verwerking in West-Afrika draagt bij aan de relevantie van het beoogde nieuwe protocol, zowel voor de sectoren van de tonijnvisserij in de EU als voor het partnerland.</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In het kader van de evaluatie is overlegd met de lidstaten, vertegenwoordigers van de sector, internationale middenveldorganisaties, alsook met de visserijautoriteiten en met vertegenwoordigers van het maatschappelijk middenveld van Cabo Verde. Daarnaast heeft ook overleg plaatsgevonden in het kader van de adviesraad voor de volle zee.</w:t>
      </w:r>
    </w:p>
    <w:p>
      <w:pPr>
        <w:pStyle w:val="ManualHeading2"/>
        <w:rPr>
          <w:rFonts w:eastAsia="Arial Unicode MS"/>
          <w:noProof/>
          <w:u w:color="000000"/>
          <w:bdr w:val="nil"/>
        </w:rPr>
      </w:pPr>
      <w:r>
        <w:rPr>
          <w:noProof/>
        </w:rPr>
        <w:t>•</w:t>
      </w:r>
      <w:r>
        <w:rPr>
          <w:noProof/>
        </w:rPr>
        <w:tab/>
        <w:t>Bijeenbrengen en gebruik van expertise</w:t>
      </w:r>
    </w:p>
    <w:p>
      <w:pPr>
        <w:spacing w:before="0" w:after="240"/>
        <w:rPr>
          <w:noProof/>
        </w:rPr>
      </w:pPr>
      <w:r>
        <w:rPr>
          <w:noProof/>
        </w:rPr>
        <w:t xml:space="preserve">Overeenkomstig artikel 31, lid 10, van de verordening inzake het gemeenschappelijk visserijbeleid heeft de Commissie voor de evaluatie vooraf en de evaluatie achteraf een beroep gedaan op een onafhankelijke consultant. </w:t>
      </w:r>
    </w:p>
    <w:p>
      <w:pPr>
        <w:pStyle w:val="ManualHeading1"/>
        <w:rPr>
          <w:noProof/>
        </w:rPr>
      </w:pPr>
      <w:r>
        <w:rPr>
          <w:noProof/>
        </w:rPr>
        <w:lastRenderedPageBreak/>
        <w:t>4.</w:t>
      </w:r>
      <w:r>
        <w:rPr>
          <w:noProof/>
        </w:rPr>
        <w:tab/>
        <w:t>GEVOLGEN VOOR DE BEGROTING</w:t>
      </w:r>
    </w:p>
    <w:p>
      <w:pPr>
        <w:rPr>
          <w:noProof/>
        </w:rPr>
      </w:pPr>
      <w:r>
        <w:rPr>
          <w:noProof/>
        </w:rPr>
        <w:t>De jaarlijkse financiële tegenprestatie van de Europese Unie bedraagt 750 000 EUR, berekend op basis van:</w:t>
      </w:r>
    </w:p>
    <w:p>
      <w:pPr>
        <w:rPr>
          <w:noProof/>
        </w:rPr>
      </w:pPr>
      <w:r>
        <w:rPr>
          <w:noProof/>
        </w:rPr>
        <w:t xml:space="preserve">a) een referentietonnage van 8 000 ton per jaar, waarvoor gedurende de hele looptijd van het protocol een bedrag voor de toegang tot de wateren wordt betaald van 400 000 EUR per jaar; </w:t>
      </w:r>
    </w:p>
    <w:p>
      <w:pPr>
        <w:rPr>
          <w:noProof/>
        </w:rPr>
      </w:pPr>
      <w:r>
        <w:rPr>
          <w:noProof/>
        </w:rPr>
        <w:t>b) steun voor de ontwikkeling van het sectorale visserijbeleid en de blauwe economie van Cabo Verde ten bedrage van 350 000 EUR per jaar gedurende de hele looptijd van het protocol. Deze steun beantwoordt aan de doelstellingen van het nationale beleid inzake duurzaam beheer van de continentale en maritieme visbestanden gedurende de hele looptijd van het protocol.</w:t>
      </w:r>
    </w:p>
    <w:p>
      <w:pPr>
        <w:rPr>
          <w:noProof/>
        </w:rPr>
      </w:pPr>
    </w:p>
    <w:p>
      <w:pPr>
        <w:rPr>
          <w:noProof/>
        </w:rPr>
      </w:pPr>
      <w:r>
        <w:rPr>
          <w:noProof/>
        </w:rPr>
        <w:t>Het jaarlijkse bedrag van de vastleggings- en betalingskredieten wordt in het kader van de jaarlijkse begrotingsprocedure vastgesteld, onder meer voor de reservelijn voor protocollen die bij het begin van het jaar nog niet in werking zijn getreden</w:t>
      </w:r>
      <w:r>
        <w:rPr>
          <w:rStyle w:val="FootnoteReference"/>
          <w:noProof/>
        </w:rPr>
        <w:footnoteReference w:id="6"/>
      </w:r>
      <w:r>
        <w:rPr>
          <w:noProof/>
        </w:rPr>
        <w:t>.</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2019/0078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de sluiting van het protocol tot uitvoering van de partnerschapsovereenkomst inzake visserij tussen de Europese Gemeenschap en de Republiek Kaapverdië (2019-2024)</w:t>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43, lid 2, in samenhang met artikel 218, lid 6, onder a), v), en artikel 218, lid 7,</w:t>
      </w:r>
    </w:p>
    <w:p>
      <w:pPr>
        <w:rPr>
          <w:noProof/>
        </w:rPr>
      </w:pPr>
      <w:r>
        <w:rPr>
          <w:noProof/>
        </w:rPr>
        <w:t>Gezien het voorstel van de Europese Commissie,</w:t>
      </w:r>
    </w:p>
    <w:p>
      <w:pPr>
        <w:rPr>
          <w:noProof/>
        </w:rPr>
      </w:pPr>
      <w:r>
        <w:rPr>
          <w:noProof/>
        </w:rPr>
        <w:t>Gezien de goedkeuring van het Europees Parlement</w:t>
      </w:r>
      <w:r>
        <w:rPr>
          <w:rStyle w:val="FootnoteReference"/>
          <w:noProof/>
        </w:rPr>
        <w:footnoteReference w:id="7"/>
      </w:r>
      <w:r>
        <w:rPr>
          <w:noProof/>
        </w:rPr>
        <w:t xml:space="preserve">, </w:t>
      </w:r>
    </w:p>
    <w:p>
      <w:pPr>
        <w:rPr>
          <w:noProof/>
        </w:rPr>
      </w:pPr>
      <w:r>
        <w:rPr>
          <w:noProof/>
        </w:rPr>
        <w:t>Overwegende hetgeen volgt:</w:t>
      </w:r>
    </w:p>
    <w:p>
      <w:pPr>
        <w:pStyle w:val="ManualConsidrant"/>
        <w:rPr>
          <w:noProof/>
        </w:rPr>
      </w:pPr>
      <w:r>
        <w:t>(1)</w:t>
      </w:r>
      <w:r>
        <w:tab/>
      </w:r>
      <w:r>
        <w:rPr>
          <w:noProof/>
        </w:rPr>
        <w:t>Op 19 december 2006 heeft de Raad zijn goedkeuring gehecht aan Verordening (EG) nr. 2027/2006</w:t>
      </w:r>
      <w:r>
        <w:rPr>
          <w:rStyle w:val="FootnoteReference"/>
          <w:noProof/>
        </w:rPr>
        <w:footnoteReference w:id="8"/>
      </w:r>
      <w:r>
        <w:rPr>
          <w:noProof/>
        </w:rPr>
        <w:t xml:space="preserve"> betreffende de sluiting van de partnerschapsovereenkomst inzake visserij tussen de Europese Gemeenschap en de Republiek Kaapverdië (hierna "de overeenkomst" genoemd)</w:t>
      </w:r>
      <w:r>
        <w:rPr>
          <w:rStyle w:val="FootnoteReference"/>
          <w:noProof/>
        </w:rPr>
        <w:footnoteReference w:id="9"/>
      </w:r>
      <w:r>
        <w:rPr>
          <w:noProof/>
        </w:rPr>
        <w:t>, welke overeenkomst op 30 maart 2007 in werking is getreden, vervolgens stilzwijgend is verlengd en nog steeds van kracht is.</w:t>
      </w:r>
    </w:p>
    <w:p>
      <w:pPr>
        <w:pStyle w:val="ManualConsidrant"/>
        <w:rPr>
          <w:noProof/>
        </w:rPr>
      </w:pPr>
      <w:r>
        <w:t>(2)</w:t>
      </w:r>
      <w:r>
        <w:tab/>
      </w:r>
      <w:r>
        <w:rPr>
          <w:noProof/>
        </w:rPr>
        <w:t>Het meest recente protocol tot uitvoering van de overeenkomst verstrijkt op 22 december 2018.</w:t>
      </w:r>
    </w:p>
    <w:p>
      <w:pPr>
        <w:pStyle w:val="ManualConsidrant"/>
        <w:rPr>
          <w:noProof/>
        </w:rPr>
      </w:pPr>
      <w:r>
        <w:t>(3)</w:t>
      </w:r>
      <w:r>
        <w:tab/>
      </w:r>
      <w:r>
        <w:rPr>
          <w:noProof/>
        </w:rPr>
        <w:t>De Commissie heeft namens de Europese Unie onderhandeld over een nieuw protocol tot uitvoering van de overeenkomst (hierna "het protocol" genoemd). Na afloop van de onderhandelingen is het protocol op 12 oktober 2018 geparafeerd.</w:t>
      </w:r>
    </w:p>
    <w:p>
      <w:pPr>
        <w:pStyle w:val="ManualConsidrant"/>
        <w:rPr>
          <w:noProof/>
        </w:rPr>
      </w:pPr>
      <w:r>
        <w:t>(4)</w:t>
      </w:r>
      <w:r>
        <w:tab/>
      </w:r>
      <w:r>
        <w:rPr>
          <w:noProof/>
        </w:rPr>
        <w:t>Overeenkomstig Besluit 2018/.../EU van de Raad</w:t>
      </w:r>
      <w:r>
        <w:rPr>
          <w:rStyle w:val="FootnoteReference"/>
          <w:noProof/>
        </w:rPr>
        <w:footnoteReference w:id="10"/>
      </w:r>
      <w:r>
        <w:rPr>
          <w:noProof/>
        </w:rPr>
        <w:t xml:space="preserve"> is het protocol ondertekend op [datum van de ondertekening invoegen].</w:t>
      </w:r>
    </w:p>
    <w:p>
      <w:pPr>
        <w:pStyle w:val="ManualConsidrant"/>
        <w:rPr>
          <w:noProof/>
        </w:rPr>
      </w:pPr>
      <w:r>
        <w:t>(5)</w:t>
      </w:r>
      <w:r>
        <w:tab/>
      </w:r>
      <w:r>
        <w:rPr>
          <w:noProof/>
        </w:rPr>
        <w:t>Het protocol is voorlopig van toepassing met ingang van de datum van ondertekening.</w:t>
      </w:r>
    </w:p>
    <w:p>
      <w:pPr>
        <w:pStyle w:val="ManualConsidrant"/>
        <w:rPr>
          <w:noProof/>
        </w:rPr>
      </w:pPr>
      <w:r>
        <w:t>(6)</w:t>
      </w:r>
      <w:r>
        <w:tab/>
      </w:r>
      <w:r>
        <w:rPr>
          <w:noProof/>
        </w:rPr>
        <w:t>Het protocol heeft tot doel het voor de Europese Unie en de Republiek Cabo Verde mogelijk te maken om nauwer samen te werken met het oog op de bevordering van een duurzaam visserijbeleid en een verantwoorde exploitatie van de visbestanden in de wateren van Cabo Verde, en Cabo Verde ondersteuning te bieden bij zijn inspanningen om een blauwe economie te ontwikkelen.</w:t>
      </w:r>
    </w:p>
    <w:p>
      <w:pPr>
        <w:pStyle w:val="ManualConsidrant"/>
        <w:rPr>
          <w:noProof/>
        </w:rPr>
      </w:pPr>
      <w:r>
        <w:t>(7)</w:t>
      </w:r>
      <w:r>
        <w:tab/>
      </w:r>
      <w:r>
        <w:rPr>
          <w:noProof/>
        </w:rPr>
        <w:t>Het protocol moet namens de Unie worden goedgekeurd.</w:t>
      </w:r>
    </w:p>
    <w:p>
      <w:pPr>
        <w:pStyle w:val="ManualConsidrant"/>
        <w:rPr>
          <w:noProof/>
        </w:rPr>
      </w:pPr>
      <w:r>
        <w:lastRenderedPageBreak/>
        <w:t>(8)</w:t>
      </w:r>
      <w:r>
        <w:tab/>
      </w:r>
      <w:r>
        <w:rPr>
          <w:noProof/>
        </w:rPr>
        <w:t>Bij artikel 9 van de overeenkomst is een gemengde commissie opgericht die belast is met de controle van de toepassing van de overeenkomst. Voorts kan de gemengde commissie overeenkomstig artikel 6, lid 3, en artikel 7, leden 1 en 2, van het protocol bepaalde wijzigingen van het protocol goedkeuren. Om de goedkeuring van die wijzigingen te vergemakkelijken dient de Commissie onder bepaalde voorwaarden te worden gemachtigd om deze wijzigingen goed te keuren volgens een vereenvoudigde procedure,</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protocol tot uitvoering van de partnerschapsovereenkomst inzake visserij tussen de Europese Gemeenschap en de Republiek Kaapverdië (2019-2024) (hierna het "protocol" genoemd) wordt namens de Unie goedgekeurd.</w:t>
      </w:r>
    </w:p>
    <w:p>
      <w:pPr>
        <w:rPr>
          <w:noProof/>
        </w:rPr>
      </w:pPr>
      <w:r>
        <w:rPr>
          <w:noProof/>
        </w:rPr>
        <w:t>De tekst van het protocol is als bijlage I aan dit besluit gehecht.</w:t>
      </w:r>
    </w:p>
    <w:p>
      <w:pPr>
        <w:pStyle w:val="Titrearticle"/>
        <w:rPr>
          <w:noProof/>
        </w:rPr>
      </w:pPr>
      <w:r>
        <w:rPr>
          <w:noProof/>
        </w:rPr>
        <w:t>Artikel 2</w:t>
      </w:r>
    </w:p>
    <w:p>
      <w:pPr>
        <w:rPr>
          <w:noProof/>
        </w:rPr>
      </w:pPr>
      <w:r>
        <w:rPr>
          <w:noProof/>
        </w:rPr>
        <w:t>De Commissie wordt, overeenkomstig de bepalingen en voorwaarden van bijlage II bij dit besluit, gemachtigd om namens de Unie goedkeuring te verlenen voor wijzigingen van het protocol die worden vastgesteld door de gemengde commissie die is ingesteld krachtens artikel 9 van de partnerschapsovereenkomst inzake visserij tussen de Europese Gemeenschap en de Republiek Kaapverdië.</w:t>
      </w:r>
    </w:p>
    <w:p>
      <w:pPr>
        <w:pStyle w:val="Titrearticle"/>
        <w:rPr>
          <w:noProof/>
        </w:rPr>
      </w:pPr>
      <w:r>
        <w:rPr>
          <w:noProof/>
        </w:rPr>
        <w:t>Artikel 3</w:t>
      </w:r>
    </w:p>
    <w:p>
      <w:pPr>
        <w:rPr>
          <w:noProof/>
        </w:rPr>
      </w:pPr>
      <w:r>
        <w:rPr>
          <w:noProof/>
        </w:rPr>
        <w:t>De voorzitter van de Raad wijst de persoon (personen) aan die gemachtigd is (zijn) om namens de Unie de in artikel 16 van het protocol bedoelde kennisgevingen te verrichten, waarmee de instemming van de Unie om door het protocol gebonden te zijn tot uiting wordt gebracht.</w:t>
      </w:r>
    </w:p>
    <w:p>
      <w:pPr>
        <w:pStyle w:val="Titrearticle"/>
        <w:rPr>
          <w:noProof/>
        </w:rPr>
      </w:pPr>
      <w:r>
        <w:rPr>
          <w:noProof/>
        </w:rPr>
        <w:t>Artikel 4</w:t>
      </w:r>
    </w:p>
    <w:p>
      <w:pPr>
        <w:keepNext/>
        <w:rPr>
          <w:noProof/>
        </w:rPr>
      </w:pPr>
      <w:r>
        <w:rPr>
          <w:noProof/>
        </w:rPr>
        <w:t xml:space="preserve">Dit besluit treedt in werking op de dag na die van de bekendmaking ervan in het </w:t>
      </w:r>
      <w:r>
        <w:rPr>
          <w:i/>
          <w:noProof/>
        </w:rPr>
        <w:t>Publicatieblad van de Europese Unie</w:t>
      </w:r>
      <w:r>
        <w:rPr>
          <w:noProof/>
        </w:rP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414 van 30.12.2006, blz. 3.</w:t>
      </w:r>
    </w:p>
  </w:footnote>
  <w:footnote w:id="2">
    <w:p>
      <w:pPr>
        <w:pStyle w:val="FootnoteText"/>
      </w:pPr>
      <w:r>
        <w:rPr>
          <w:rStyle w:val="FootnoteReference"/>
        </w:rPr>
        <w:footnoteRef/>
      </w:r>
      <w:r>
        <w:tab/>
        <w:t>PB L 107 van 25.4.2007, blz. 7.</w:t>
      </w:r>
    </w:p>
  </w:footnote>
  <w:footnote w:id="3">
    <w:p>
      <w:pPr>
        <w:pStyle w:val="FootnoteText"/>
      </w:pPr>
      <w:r>
        <w:rPr>
          <w:rStyle w:val="FootnoteReference"/>
        </w:rPr>
        <w:footnoteRef/>
      </w:r>
      <w:r>
        <w:tab/>
        <w:t>Aangenomen tijdens de zitting van de Raad Justitie en Binnenlandse Zaken van 4 en 5 juni 2018.</w:t>
      </w:r>
    </w:p>
  </w:footnote>
  <w:footnote w:id="4">
    <w:p>
      <w:pPr>
        <w:pStyle w:val="FootnoteText"/>
      </w:pPr>
      <w:r>
        <w:rPr>
          <w:rStyle w:val="FootnoteReference"/>
        </w:rPr>
        <w:footnoteRef/>
      </w:r>
      <w:r>
        <w:tab/>
        <w:t>PB L 354 van 28.12.2013, blz. 22.</w:t>
      </w:r>
    </w:p>
  </w:footnote>
  <w:footnote w:id="5">
    <w:p>
      <w:pPr>
        <w:pStyle w:val="FootnoteText"/>
      </w:pPr>
      <w:r>
        <w:rPr>
          <w:rStyle w:val="FootnoteReference"/>
        </w:rPr>
        <w:footnoteRef/>
      </w:r>
      <w:r>
        <w:tab/>
        <w:t>SWD (2018) 194 final van 16.5.2018.</w:t>
      </w:r>
    </w:p>
  </w:footnote>
  <w:footnote w:id="6">
    <w:p>
      <w:pPr>
        <w:pStyle w:val="FootnoteText"/>
      </w:pPr>
      <w:r>
        <w:rPr>
          <w:rStyle w:val="FootnoteReference"/>
        </w:rPr>
        <w:footnoteRef/>
      </w:r>
      <w:r>
        <w:tab/>
        <w:t>In overeenstemming met het Interinstitutioneel akkoord betreffende samenwerking in begrotingszaken (2013/C 373/01).</w:t>
      </w:r>
    </w:p>
  </w:footnote>
  <w:footnote w:id="7">
    <w:p>
      <w:pPr>
        <w:pStyle w:val="FootnoteText"/>
      </w:pPr>
      <w:r>
        <w:rPr>
          <w:rStyle w:val="FootnoteReference"/>
        </w:rPr>
        <w:footnoteRef/>
      </w:r>
      <w:r>
        <w:tab/>
        <w:t>PB C […] van […], blz. […].</w:t>
      </w:r>
    </w:p>
  </w:footnote>
  <w:footnote w:id="8">
    <w:p>
      <w:pPr>
        <w:pStyle w:val="FootnoteText"/>
        <w:ind w:left="0" w:firstLine="0"/>
      </w:pPr>
      <w:r>
        <w:rPr>
          <w:rStyle w:val="FootnoteReference"/>
        </w:rPr>
        <w:footnoteRef/>
      </w:r>
      <w:r>
        <w:tab/>
        <w:t>Verordening (EG) nr. 2027/2006 van de Raad van 19 december 2006 betreffende de sluiting van de partnerschapsovereenkomst inzake visserij tussen de Europese Gemeenschap en de Republiek Kaapverdië (PB L 414 van 30.12.2006, blz. 1).</w:t>
      </w:r>
    </w:p>
  </w:footnote>
  <w:footnote w:id="9">
    <w:p>
      <w:pPr>
        <w:pStyle w:val="FootnoteText"/>
        <w:rPr>
          <w:lang w:val="fr-BE"/>
        </w:rPr>
      </w:pPr>
      <w:r>
        <w:rPr>
          <w:rStyle w:val="FootnoteReference"/>
        </w:rPr>
        <w:footnoteRef/>
      </w:r>
      <w:r>
        <w:tab/>
        <w:t>PB L 414 van 30.12.2006, blz. 3.</w:t>
      </w:r>
    </w:p>
  </w:footnote>
  <w:footnote w:id="10">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16AE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803C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CE0E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6A81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9AA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FA882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503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5CEED4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3 14:38: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A1571D0-551B-4B35-B383-F2BD694A0A31"/>
    <w:docVar w:name="LW_COVERPAGE_TYPE" w:val="1"/>
    <w:docVar w:name="LW_CROSSREFERENCE" w:val="&lt;UNUSED&gt;"/>
    <w:docVar w:name="LW_DocType" w:val="COM"/>
    <w:docVar w:name="LW_EMISSION" w:val="14.3.2019"/>
    <w:docVar w:name="LW_EMISSION_ISODATE" w:val="2019-03-14"/>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78"/>
    <w:docVar w:name="LW_REF.II.NEW.CP_YEAR" w:val="2019"/>
    <w:docVar w:name="LW_REF.INST.NEW" w:val="COM"/>
    <w:docVar w:name="LW_REF.INST.NEW_ADOPTED" w:val="final"/>
    <w:docVar w:name="LW_REF.INST.NEW_TEXT" w:val="(2019)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de sluiting van het protocol tot uitvoering van de partnerschapsovereenkomst inzake visserij tussen de Europese Gemeenschap en de Republiek Kaapverdië (2019-2024)_x000b_"/>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71">
      <w:bodyDiv w:val="1"/>
      <w:marLeft w:val="0"/>
      <w:marRight w:val="0"/>
      <w:marTop w:val="0"/>
      <w:marBottom w:val="0"/>
      <w:divBdr>
        <w:top w:val="none" w:sz="0" w:space="0" w:color="auto"/>
        <w:left w:val="none" w:sz="0" w:space="0" w:color="auto"/>
        <w:bottom w:val="none" w:sz="0" w:space="0" w:color="auto"/>
        <w:right w:val="none" w:sz="0" w:space="0" w:color="auto"/>
      </w:divBdr>
    </w:div>
    <w:div w:id="185606154">
      <w:bodyDiv w:val="1"/>
      <w:marLeft w:val="0"/>
      <w:marRight w:val="0"/>
      <w:marTop w:val="0"/>
      <w:marBottom w:val="0"/>
      <w:divBdr>
        <w:top w:val="none" w:sz="0" w:space="0" w:color="auto"/>
        <w:left w:val="none" w:sz="0" w:space="0" w:color="auto"/>
        <w:bottom w:val="none" w:sz="0" w:space="0" w:color="auto"/>
        <w:right w:val="none" w:sz="0" w:space="0" w:color="auto"/>
      </w:divBdr>
    </w:div>
    <w:div w:id="360713044">
      <w:bodyDiv w:val="1"/>
      <w:marLeft w:val="0"/>
      <w:marRight w:val="0"/>
      <w:marTop w:val="0"/>
      <w:marBottom w:val="0"/>
      <w:divBdr>
        <w:top w:val="none" w:sz="0" w:space="0" w:color="auto"/>
        <w:left w:val="none" w:sz="0" w:space="0" w:color="auto"/>
        <w:bottom w:val="none" w:sz="0" w:space="0" w:color="auto"/>
        <w:right w:val="none" w:sz="0" w:space="0" w:color="auto"/>
      </w:divBdr>
    </w:div>
    <w:div w:id="410661920">
      <w:bodyDiv w:val="1"/>
      <w:marLeft w:val="0"/>
      <w:marRight w:val="0"/>
      <w:marTop w:val="0"/>
      <w:marBottom w:val="0"/>
      <w:divBdr>
        <w:top w:val="none" w:sz="0" w:space="0" w:color="auto"/>
        <w:left w:val="none" w:sz="0" w:space="0" w:color="auto"/>
        <w:bottom w:val="none" w:sz="0" w:space="0" w:color="auto"/>
        <w:right w:val="none" w:sz="0" w:space="0" w:color="auto"/>
      </w:divBdr>
    </w:div>
    <w:div w:id="16442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F721B3-AE01-4816-AD7E-7C90BA96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Pages>
  <Words>1497</Words>
  <Characters>8488</Characters>
  <Application>Microsoft Office Word</Application>
  <DocSecurity>0</DocSecurity>
  <Lines>157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2018-12-14T11:39:00Z</cp:lastPrinted>
  <dcterms:created xsi:type="dcterms:W3CDTF">2019-03-12T09:59:00Z</dcterms:created>
  <dcterms:modified xsi:type="dcterms:W3CDTF">2019-03-13T13:38:00Z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