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E48D689-B21C-4C74-8DC5-98F4F96FC7DF" style="width:450.8pt;height:306.8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Heading1"/>
        <w:spacing w:before="0" w:after="120"/>
        <w:rPr>
          <w:noProof/>
        </w:rPr>
      </w:pPr>
      <w:bookmarkStart w:id="1" w:name="_GoBack"/>
      <w:bookmarkEnd w:id="1"/>
      <w:r>
        <w:rPr>
          <w:noProof/>
        </w:rPr>
        <w:lastRenderedPageBreak/>
        <w:t>Oċeani b’saħħithom — alleat essenzjali u responsabbiltà konġunta</w:t>
      </w:r>
    </w:p>
    <w:p>
      <w:pPr>
        <w:spacing w:after="120"/>
        <w:jc w:val="both"/>
        <w:rPr>
          <w:noProof/>
        </w:rPr>
      </w:pPr>
      <w:r>
        <w:rPr>
          <w:noProof/>
        </w:rPr>
        <w:t>F’Novembru tal-2016, il-Kummissjoni Ewropea u r-Rappreżentant Għoli tal-Unjoni Ewropea adottaw Komunikazzjoni Konġunta bit-titolu “</w:t>
      </w:r>
      <w:r>
        <w:rPr>
          <w:i/>
          <w:noProof/>
          <w:color w:val="000000"/>
          <w:u w:color="000000"/>
        </w:rPr>
        <w:t>Il-governanza internazzjonali tal-oċeani: aġenda għall-futur tal-oċeani tagħna</w:t>
      </w:r>
      <w:r>
        <w:rPr>
          <w:noProof/>
        </w:rPr>
        <w:t>”</w:t>
      </w:r>
      <w:r>
        <w:rPr>
          <w:rStyle w:val="FootnoteReference"/>
          <w:noProof/>
          <w:color w:val="000000"/>
          <w:u w:color="000000"/>
        </w:rPr>
        <w:footnoteReference w:id="2"/>
      </w:r>
      <w:r>
        <w:rPr>
          <w:noProof/>
        </w:rPr>
        <w:t>.</w:t>
      </w:r>
      <w:r>
        <w:rPr>
          <w:noProof/>
          <w:color w:val="000000"/>
          <w:u w:color="000000"/>
        </w:rPr>
        <w:t xml:space="preserve"> Din l-aġenda tindika approfondiment tal-politika internazzjonali tal-UE marbuta mal-oċeani. L-UE bdiet timxi minn approċċ ibbażat fuq is-settur għal approċċ integrat, u qed tkompli timxi lejn dan.  </w:t>
      </w:r>
      <w:r>
        <w:rPr>
          <w:noProof/>
        </w:rPr>
        <w:t>L-UE dejjem żammet mal-objettiv ġenerali tagħha li tiżgura li l-oċeani jkunu sikuri, siguri, nodfa, b’saħħithom u ġestiti b’mod sostenibbli.</w:t>
      </w:r>
    </w:p>
    <w:p>
      <w:pPr>
        <w:spacing w:after="120"/>
        <w:jc w:val="both"/>
        <w:rPr>
          <w:noProof/>
        </w:rPr>
      </w:pPr>
      <w:r>
        <w:rPr>
          <w:noProof/>
        </w:rPr>
        <w:t>L-aġenda tal-UE għall-oċeani hija parti integrali mit-tweġiba tal-UE għall-Aġenda 2030 tan-Nazzjonijiet Uniti (in-NU), u b’mod partikulari għall-Għan ta’ Żvilupp Sostenibbli (SDG) numru 14 li jittratta l-konservazzjoni u l-użu b’mod sostenibbli tal-oċeani, tal-ibħra u tar-riżorsi tal-baħar tagħna. Hija tirrifletti l-preferenza tal-UE għal sħubiji b’saħħithom, għal djalogu multilaterali u għall-kooperazzjoni internazzjonali bħala mod kif tagħti prijorità lill-ħtieġa urġenti għal azzjoni biex jiġu żgurati l-konservazzjoni u l-użu sostenibbli tal-oċeani tagħna.</w:t>
      </w:r>
    </w:p>
    <w:p>
      <w:pPr>
        <w:pStyle w:val="Text2"/>
        <w:spacing w:after="120"/>
        <w:ind w:left="0"/>
        <w:rPr>
          <w:noProof/>
        </w:rPr>
      </w:pPr>
      <w:r>
        <w:rPr>
          <w:noProof/>
        </w:rPr>
        <w:t>Oċeani b’saħħithom huma essenzjali għal ħajjet il-bniedem, għall-benesseri u għall-iżvilupp sostenibbli. L-oċeani jassorbu 25 % mill-emissjonijiet kollha tal-karbonju li nipproduċu u jqassmu s-sħana mill-ġdid madwar id-dinja. Fl-oċeani jgħixu miljuni ta’ speċijiet u s-saħħa tal-oċeani tiddependi ħafna fuq din il-bijodiversità tal-baħar. Il-ħut u l-frott tal-baħar bil-qoxra huma sors importanti ta’ proteini u ta’ mikronutrijenti essenzjali, u jikkontribwixxu għas-sigurtà tal-ikel mad-dinja kollha u għal saħħet il-bniedem. Barra minn hekk, l-ekonomija “l-blu” tal-oċeani toffri opportunitajiet kbar għal tkabbir innovattiv u sostenibbli u għal impjiegi deċenti.</w:t>
      </w:r>
    </w:p>
    <w:p>
      <w:pPr>
        <w:spacing w:after="120"/>
        <w:jc w:val="both"/>
        <w:rPr>
          <w:noProof/>
        </w:rPr>
      </w:pPr>
      <w:r>
        <w:rPr>
          <w:noProof/>
        </w:rPr>
        <w:t>B’din l-aġenda għall-oċeani, l-UE qed issegwi approċċ orjentat lejn l-azzjoni li jindirizza l-ikbar sfidi għall-governanza tal-oċeani li għandna llum.</w:t>
      </w:r>
    </w:p>
    <w:p>
      <w:pPr>
        <w:spacing w:after="120"/>
        <w:jc w:val="both"/>
        <w:rPr>
          <w:noProof/>
        </w:rPr>
      </w:pPr>
      <w:r>
        <w:rPr>
          <w:noProof/>
        </w:rPr>
        <w:t>Dan huwa l-ewwel rapport ta’ progress li ħarġu l-Kummissjoni Ewropea u r-Rappreżentant Għoli dwar l-aġenda tal-UE għall-governanza internazzjonali tal-oċeani minn meta din ġiet adottata. Huwa jqis il-kisbiet li saru fit-twettiq tal-aġenda s’issa, juri suċċessi oħrajn li jikkontribwixxu għall-objettivi ġenerali tal-aġenda u jagħti ħarsa ġenerali lejn l-impenn kontinwu tal-UE biex issaħħaħ il-governanza internazzjonali tal-oċeani.</w:t>
      </w:r>
    </w:p>
    <w:p>
      <w:pPr>
        <w:spacing w:after="120"/>
        <w:jc w:val="both"/>
        <w:rPr>
          <w:rFonts w:eastAsia="Arial Unicode MS"/>
          <w:noProof/>
          <w:color w:val="000000"/>
          <w:u w:color="000000"/>
        </w:rPr>
      </w:pPr>
      <w:r>
        <w:rPr>
          <w:noProof/>
        </w:rPr>
        <w:t xml:space="preserve">Miegħu hemm id-Dokument ta’ Ħidma tal-Persunal tal-Kummissjoni bin-numru </w:t>
      </w:r>
      <w:r>
        <w:rPr>
          <w:rFonts w:ascii="Verdana" w:hAnsi="Verdana"/>
          <w:i/>
          <w:noProof/>
          <w:color w:val="000000"/>
          <w:sz w:val="20"/>
          <w:shd w:val="clear" w:color="auto" w:fill="FFFFFF"/>
        </w:rPr>
        <w:t>SWD(2019) 104</w:t>
      </w:r>
      <w:r>
        <w:rPr>
          <w:noProof/>
        </w:rPr>
        <w:t>, li jipprovdi analiżi fil-fond tal-progress li sar biex jintlaħqu l-50 punt speċifiku stabbiliti fl-aġenda tal-UE għall-governanza tal-oċeani.</w:t>
      </w:r>
    </w:p>
    <w:p>
      <w:pPr>
        <w:pStyle w:val="Heading1"/>
        <w:rPr>
          <w:noProof/>
        </w:rPr>
      </w:pPr>
      <w:r>
        <w:rPr>
          <w:rStyle w:val="None"/>
          <w:noProof/>
          <w:color w:val="000000" w:themeColor="text1"/>
        </w:rPr>
        <w:t>Wara sentejn — riżultati konkreti</w:t>
      </w:r>
    </w:p>
    <w:p>
      <w:pPr>
        <w:jc w:val="both"/>
        <w:rPr>
          <w:rFonts w:eastAsia="Arial Unicode MS"/>
          <w:noProof/>
          <w:color w:val="000000"/>
          <w:u w:color="000000"/>
        </w:rPr>
      </w:pPr>
      <w:r>
        <w:rPr>
          <w:noProof/>
        </w:rPr>
        <w:t>Minn meta l-UE adottat l-aġenda tagħha għall-governanza tal-oċeani fl-2016, l-attività tagħha marbuta mal-oċeani żdiedet. Il-50 azzjoni tagħha kollha qed jiġu implimentati b’suċċess: uħud minnhom diġà twettqu, filwaqt li l-ħidma fuq diversi oħrajn se tkompli wara l-2019. L-aġenda wasslet għall-kooperazzjoni internazzjonali madwar il-kontinenti kollha u fil-kuntest tat-tliet pilastri tal-aġenda għall-governanza tal-oċeani, u saħħet ir-rwol tal-UE bħala:</w:t>
      </w:r>
    </w:p>
    <w:p>
      <w:pPr>
        <w:jc w:val="both"/>
        <w:rPr>
          <w:noProof/>
        </w:rPr>
      </w:pP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sieħba affidabbli fil-bini ta’ qafas ta’ governanza internazzjonali, li għandu l-Konvenzjoni tan-Nazzjonijiet Uniti dwar il-Liġi tal-Baħar fil-qalba tiegħu;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donatriċi ewlenija għall-proġetti li jibnu l-kapaċità u li jistimulaw azzjoni lokali, reġjonali u globali;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sostenitriċi qawwija tar-riċerka dwar l-oċeani u tal-monitoraġġ u tas-sorveljanza tagħhom, u fornitur tas-servizzi għal dawn l-affarijiet;</w:t>
      </w:r>
    </w:p>
    <w:p>
      <w:pPr>
        <w:pStyle w:val="ListParagraph"/>
        <w:numPr>
          <w:ilvl w:val="0"/>
          <w:numId w:val="12"/>
        </w:numPr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sieħba koerenti fin-negozju fl-ekonomija “l-blu” b’perspettiva inklużiva u sostenibbli.</w:t>
      </w:r>
    </w:p>
    <w:p>
      <w:pPr>
        <w:jc w:val="both"/>
        <w:rPr>
          <w:noProof/>
        </w:rPr>
      </w:pPr>
      <w:r>
        <w:rPr>
          <w:noProof/>
        </w:rPr>
        <w:t>Għall-promozzjoni ta’ governanza aħjar tal-oċeani ma’ sħab terzi ġew allokati EUR 590 miljun fil-kuntest tal-politika tal-UE għall-iżvilupp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għar-riċerka dwar il-baħar ġew allokati aktar minn EUR 500 miljun fil-kuntest tal-programm għar-riċerka u l-innovazzjoni msejjaħ “Orizzont 2020”.</w:t>
      </w:r>
    </w:p>
    <w:p>
      <w:pPr>
        <w:pStyle w:val="Heading1"/>
        <w:numPr>
          <w:ilvl w:val="0"/>
          <w:numId w:val="1"/>
        </w:numPr>
        <w:rPr>
          <w:noProof/>
        </w:rPr>
      </w:pPr>
      <w:r>
        <w:rPr>
          <w:noProof/>
        </w:rPr>
        <w:t>Il-pilastru 1: titjib tal-qafas ta’ governanza internazzjonali tal-oċeani</w:t>
      </w:r>
    </w:p>
    <w:p>
      <w:pPr>
        <w:jc w:val="both"/>
        <w:rPr>
          <w:noProof/>
        </w:rPr>
      </w:pPr>
      <w:r>
        <w:rPr>
          <w:noProof/>
        </w:rPr>
        <w:t>Mill-2016 ’l hawn, l-UE użat aktar il-preżenza tagħha f’fora internazzjonali u reġjonali u r-relazzjonijiet bilaterali tagħha ma’ sħab ewlenin biex tiżgura li r-regoli eżistenti jiġu implimentati sewwa u biex tindirizza n-nuqqasijiet regolatorji.</w:t>
      </w:r>
    </w:p>
    <w:p>
      <w:pPr>
        <w:jc w:val="both"/>
        <w:rPr>
          <w:noProof/>
        </w:rPr>
      </w:pPr>
    </w:p>
    <w:p>
      <w:pPr>
        <w:spacing w:after="100" w:afterAutospacing="1"/>
        <w:jc w:val="both"/>
        <w:rPr>
          <w:noProof/>
        </w:rPr>
      </w:pPr>
      <w:r>
        <w:rPr>
          <w:noProof/>
        </w:rPr>
        <w:t xml:space="preserve">Fil-livell internazzjonali, l-UE kompliet taħdem b’mod partikulari fil-kuntest tal-Konvenzjoni tan-Nazzjonijiet Uniti dwar il-Liġi tal-Baħar, li hija l-“kostituzzjoni” globali li tirrregola l-attivitajiet kollha fuq il-baħar. F’dan il-qafas, l-UE kienet strumentali fil-progress li sar lejn strument legalment vinkolanti għall-ħarsien tal-bijodiversità fl-ibħra internazzjonali. In-negozjati għadhom għaddejjin u l-UE u l-Istati Membri tagħha se jkomplu jmexxu ’l quddiem lil dan il-proċess. </w:t>
      </w:r>
      <w:r>
        <w:rPr>
          <w:noProof/>
          <w:color w:val="000000"/>
        </w:rPr>
        <w:t xml:space="preserve">Fil-kuntest tal-Konvenzjoni tan-Nazzjonijiet Uniti dwar id-Diversità Bijoloġika (il-KDB), l-UE qed tippromwovi b’mod attiv it-twaqqif ta’ żoni tal-baħar ekoloġikament u bijoloġikament sinifikanti (EBSAs) biex ikun żgurat li dawn jitħarsu. </w:t>
      </w:r>
      <w:r>
        <w:rPr>
          <w:noProof/>
        </w:rPr>
        <w:t>L-UE appoġġat finanzjarjament ukoll l-implimentazzjoni tal-Konvenzjoni dwar il-Kummerċ Internazzjonali fl-Ispeċijiet ta’ Fawna u Flora Selvaġġi fil-Periklu,</w:t>
      </w:r>
      <w:r>
        <w:rPr>
          <w:noProof/>
          <w:vertAlign w:val="superscript"/>
        </w:rPr>
        <w:t xml:space="preserve"> </w:t>
      </w:r>
      <w:r>
        <w:rPr>
          <w:noProof/>
        </w:rPr>
        <w:t>u b’hekk għenet lill-pajjiżi li jesportaw jiżguraw li l-kummerċ fl-ispeċijiet selvaġġi tal-baħar ikun legali u sostenibbli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spacing w:after="100" w:afterAutospacing="1"/>
        <w:jc w:val="both"/>
        <w:rPr>
          <w:noProof/>
        </w:rPr>
      </w:pPr>
      <w:r>
        <w:rPr>
          <w:noProof/>
        </w:rPr>
        <w:t>Barra minn hekk, l-UE kkontribwiet għal oċeani aktar sostenibbli, b’mod speċjali f’termini tal-konservazzjoni u tal-ġestoni tas-sajd fil-</w:t>
      </w:r>
      <w:r>
        <w:rPr>
          <w:b/>
          <w:noProof/>
        </w:rPr>
        <w:t>livell reġjonali</w:t>
      </w:r>
      <w:r>
        <w:rPr>
          <w:noProof/>
        </w:rPr>
        <w:t xml:space="preserve"> permezz tal-Konvenzjonijiet dwar l-Ibħra Reġjonali u tal-Organizzazzjonijiet Reġjonali għall-Ġestjoni tas-Sajd, bil-ħsieb li titjieb il-governanza bbażata fuq ix-xjenza. F’dan ir-rigward, l-UE pprovdiet EUR 17-il miljun fl-2017 u fl-2018 għat-titjib tal-governanza, tax-xjenza u tal-bini tal-kapaċità u għat-tisħiħ tal-konformità fit-18-il organizzazzjoni reġjonali għall-ġestjoni tas-sajd u organizzazzjoni reġjonali għall-ġestjoni tas-sajd tat-tonn li fihom hija tieħu sehem. Din l-azzjoni tal-UE għas-sostenibbiltà rnexxiet: fi tmiem l-2017, 16 mit-18-il stokk tat-tonn emblematiku fid-dinja kienu f’livelli sostenibbli, skont il-parir xjentifiku. </w:t>
      </w:r>
    </w:p>
    <w:p>
      <w:pPr>
        <w:spacing w:after="100" w:afterAutospacing="1"/>
        <w:jc w:val="both"/>
        <w:rPr>
          <w:noProof/>
        </w:rPr>
      </w:pPr>
      <w:r>
        <w:rPr>
          <w:rFonts w:eastAsia="Arial Unicode MS"/>
          <w:b/>
          <w:smallCaps/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102235</wp:posOffset>
                </wp:positionV>
                <wp:extent cx="2434590" cy="1908175"/>
                <wp:effectExtent l="0" t="0" r="2286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150" w:afterAutospacing="0"/>
                              <w:jc w:val="both"/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</w:rPr>
                              <w:t xml:space="preserve">Fil-kuntest tal-Ftehim dwar is-Sajd fl-Oċean Artiku Ċentrali, l-UE u disa’ firmatarji oħrajn ftehmu li jipprojbixxu, għal perjodu inizjali ta’ 16-il sena, is-sajd kummerċjali fl-ibħra internazzjonali tal-Oċean Artiku Ċentrali, li jiffurmaw żona li hija bejn wieħed u ieħor daqs il-Baħar Mediterran. Matul dan iż-żmien, huma se jaħdmu biex itejbu l-fehim tal-ekosistemi tal-Artiku u tal-possibbiltajiet għal sajd sostenibbli fid-dawl tat-tnaqqis tal-kopertura tas-silġ.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8.05pt;width:191.7pt;height:150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">
                <v:textbox>
                  <w:txbxContent>
                    <w:p>
                      <w:pPr>
                        <w:pStyle w:val="NormalWeb"/>
                        <w:spacing w:before="0" w:beforeAutospacing="0" w:after="150" w:afterAutospacing="0"/>
                        <w:jc w:val="both"/>
                      </w:pPr>
                      <w:r>
                        <w:rPr>
                          <w:rFonts w:ascii="Verdana" w:hAnsi="Verdana"/>
                          <w:color w:val="333333"/>
                          <w:sz w:val="18"/>
                        </w:rPr>
                        <w:t xml:space="preserve">Fil-kuntest tal-Ftehim dwar is-Sajd fl-Oċean Artiku Ċentrali, l-UE u disa’ firmatarji oħrajn ftehmu li jipprojbixxu, għal perjodu inizjali ta’ 16-il sena, is-sajd kummerċjali fl-ibħra internazzjonali tal-Oċean Artiku Ċentrali, li jiffurmaw żona li hija bejn wieħed u ieħor daqs il-Baħar Mediterran. Matul dan iż-żmien, huma se jaħdmu biex itejbu l-fehim tal-ekosistemi tal-Artiku u tal-possibbiltajiet għal sajd sostenibbli fid-dawl tat-tnaqqis tal-kopertura tas-silġ.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L-iffirmar tal-Ftehim għall-prevenzjoni tas-sajd mhux irregolat fl-Ibħra Internazzjonali tal-Oċean Artiku Ċentrali f’Ottubru tal-2018 kienet kisba importanti ferm. Dan il-Ftehim se jindirizza nuqqas sinifikanti fil-qafas ta’ governanza tal-Oċean Artiku u se jissalvagwardja l-ekosistemi fraġli tal-baħar għall-ġenerazzjonijiet futuri.</w:t>
      </w:r>
    </w:p>
    <w:p>
      <w:pPr>
        <w:spacing w:after="100" w:afterAutospacing="1"/>
        <w:jc w:val="both"/>
        <w:rPr>
          <w:noProof/>
          <w:sz w:val="23"/>
        </w:rPr>
      </w:pPr>
      <w:r>
        <w:rPr>
          <w:noProof/>
        </w:rPr>
        <w:t xml:space="preserve">L-UE ħadmet mal-atturi ewlenin tal-oċeani sabiex tibni </w:t>
      </w:r>
      <w:r>
        <w:rPr>
          <w:b/>
          <w:noProof/>
        </w:rPr>
        <w:t>sħubiji bilaterali</w:t>
      </w:r>
      <w:r>
        <w:rPr>
          <w:noProof/>
        </w:rPr>
        <w:t xml:space="preserve"> magħhom. L-UE ffirmat l-ewwel sħubija tal-oċeani — maċ-Ċina — f’Lulju tal-2018 u mistennija tiffirma sħubija mal-Kanada fl-2019.</w:t>
      </w:r>
    </w:p>
    <w:p>
      <w:pPr>
        <w:spacing w:after="100" w:afterAutospacing="1"/>
        <w:jc w:val="both"/>
        <w:rPr>
          <w:noProof/>
        </w:rPr>
      </w:pPr>
      <w:r>
        <w:rPr>
          <w:rFonts w:eastAsia="Arial Unicode MS"/>
          <w:b/>
          <w:smallCaps/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50800</wp:posOffset>
                </wp:positionV>
                <wp:extent cx="2419350" cy="19475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</w:rPr>
                              <w:t>Il-Programm ta’ Sħubija dwar il-Baħar bejn il-Paċifiku u l-Unjoni Ewropea (il-programm PEUMP), li tnieda waqt il-konferenza msejħa “L-Oċean Tagħna”, li saret f’Malta fl-2017, għandu l-għan li jappoġġa l-ġestjoni u l-iżvilupp sostenibbli tas-sajd għas-sigurtà tal-ikel u għat-tkabbir ekonomiku fi 15-il Stat fir-reġjun tal-Paċifiku. Il-programm PEUMP isegwi approċċ komprensiv u integrat u jintegra t-tibdil fil-klima, l-ambjent u l-ġeneru fl-attivitajiet kollha.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45pt;margin-top:4pt;width:190.5pt;height:153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"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18"/>
                        </w:rPr>
                        <w:t>Il-Programm ta’ Sħubija dwar il-Baħar bejn il-Paċifiku u l-Unjoni Ewropea (il-programm PEUMP), li tnieda waqt il-konferenza msejħa “L-Oċean Tagħna”, li saret f’Malta fl-2017, għandu l-għan li jappoġġa l-ġestjoni u l-iżvilupp sostenibbli tas-sajd għas-sigurtà tal-ikel u għat-tkabbir ekonomiku fi 15-il Stat fir-reġjun tal-Paċifiku. Il-programm PEUMP isegwi approċċ komprensiv u integrat u jintegra t-tibdil fil-klima, l-ambjent u l-ġeneru fl-attivitajiet kollha.</w:t>
                      </w:r>
                    </w:p>
                    <w:p>
                      <w:pPr>
                        <w:autoSpaceDE w:val="0"/>
                        <w:autoSpaceDN w:val="0"/>
                        <w:jc w:val="both"/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L-UE saħħet </w:t>
      </w:r>
      <w:r>
        <w:rPr>
          <w:b/>
          <w:noProof/>
        </w:rPr>
        <w:t>il-kapaċità</w:t>
      </w:r>
      <w:r>
        <w:rPr>
          <w:noProof/>
        </w:rPr>
        <w:t xml:space="preserve"> tal-pajjiżi u tal-organizzazzjonijiet sħab għall-monitoraġġ tal-oċeani, għall-konservazzjoni tal-bijodiversità tal-baħar u għall-eliminazzjoni tas-sajd illegali, mhux irrappurtat u mhux irregolat (is-sajd IUU). Pereżempju, hija allokat EUR 35 miljun għall-Istati tal-Paċifiku fil-kuntest tal-Programm ta’ Sħubija dwar il-Baħar bejn il-Paċifiku u l-Unjoni Ewropea, EUR 15-il miljun għall-Afrika tal-Punent fil-kuntest tal-programm PESCAO, EUR 28 miljun għar-reġjun tal-Oċean Indjan fil-kuntest tal-programm ECOFISH u EUR 87 miljun għall-kooperazzjoni tagħha mal-Kambodja fil-kuntest tal-programm il-ġdid tas-sajd għall-qabdiet imsejjaħ “CAPFISH”.</w:t>
      </w:r>
    </w:p>
    <w:p>
      <w:pPr>
        <w:spacing w:before="240" w:after="120"/>
        <w:jc w:val="both"/>
        <w:rPr>
          <w:noProof/>
        </w:rPr>
      </w:pPr>
      <w:r>
        <w:rPr>
          <w:noProof/>
        </w:rPr>
        <w:t>Governanza internazzjonali tajba tal-oċeani tfisser ukoll li jiġi żgurat li dawk li jaħdmu fuq il-baħar ikunu jistgħu jagħmlu dan f’</w:t>
      </w:r>
      <w:r>
        <w:rPr>
          <w:b/>
          <w:noProof/>
        </w:rPr>
        <w:t>ambjent sigur</w:t>
      </w:r>
      <w:r>
        <w:rPr>
          <w:noProof/>
        </w:rPr>
        <w:t>. F’konformità mal-Istrateġija Globali tagħha u ma’ politiki reġjonali speċifiċi, pereżempju għall-Qarn tal-Afrika u għall-Golf tal-Guinea, l-UE għandha rwol ewlieni bħala fornitur tas-sigurtà marittima globali. Hija mmobilizzat ir-riżorsi sabiex tipproteġi mit-theddid marittimu bħall-piraterija u t-traffikar tal-bnedmin, sabiex tnaqqas l-aċċidenti marittimi u sabiex tipprevjeni d-diżastri ambjentali. Id-</w:t>
      </w:r>
      <w:r>
        <w:rPr>
          <w:i/>
          <w:noProof/>
        </w:rPr>
        <w:t>data</w:t>
      </w:r>
      <w:r>
        <w:rPr>
          <w:noProof/>
        </w:rPr>
        <w:t xml:space="preserve"> tas-satellita mill-programm Copernicus tal-UE ntużat mill-korpi tal-UE bħall-Aġenzija Ewropea għas-Sigurtà Marittima u ntużat ukoll għal operazzjonijiet internazzjonali ta’ tfittxija u ta’ salvataġġ fuq talba tan-NU.</w:t>
      </w:r>
    </w:p>
    <w:p>
      <w:pPr>
        <w:spacing w:before="240" w:after="120"/>
        <w:jc w:val="both"/>
        <w:rPr>
          <w:b/>
          <w:smallCaps/>
          <w:noProof/>
          <w:szCs w:val="20"/>
        </w:rPr>
      </w:pPr>
      <w:r>
        <w:rPr>
          <w:b/>
          <w:smallCaps/>
          <w:noProof/>
        </w:rPr>
        <w:t>Il-pilastru 2: tnaqqis tal-pressjoni fuq l-oċeani u fuq l-ibħra u ħolqien tal-kundizzjonijiet għal ekonomija “blu” sostenibbli</w:t>
      </w:r>
    </w:p>
    <w:p>
      <w:pPr>
        <w:spacing w:after="120"/>
        <w:jc w:val="both"/>
        <w:rPr>
          <w:noProof/>
        </w:rPr>
      </w:pPr>
      <w:r>
        <w:rPr>
          <w:noProof/>
        </w:rPr>
        <w:t>Oċeani b’saħħithom huma prerekwiżit għal żvilupp ekonomiku sostenibbli. Jekk irridu li l-ekonomija “l-blu” ta’ għada tiġġenera iktar valur mis-setturi “blu” u tappoġġa lill-komunitajiet kostali, irridu naħdmu sabiex niżguraw li jkollna oċeani b’saħħithom illum.</w:t>
      </w:r>
    </w:p>
    <w:p>
      <w:pPr>
        <w:spacing w:before="100" w:beforeAutospacing="1" w:after="100" w:afterAutospacing="1"/>
        <w:jc w:val="both"/>
        <w:rPr>
          <w:noProof/>
          <w:color w:val="000000"/>
        </w:rPr>
      </w:pPr>
      <w:r>
        <w:rPr>
          <w:noProof/>
        </w:rPr>
        <w:t>L-oċeani jirregolaw il-klima tagħna imma huma wkoll vulnerabbli ħafna għall-impatti tat-</w:t>
      </w:r>
      <w:r>
        <w:rPr>
          <w:b/>
          <w:noProof/>
        </w:rPr>
        <w:t>tibdil fil-klima</w:t>
      </w:r>
      <w:r>
        <w:rPr>
          <w:noProof/>
        </w:rPr>
        <w:t xml:space="preserve">. </w:t>
      </w:r>
      <w:r>
        <w:rPr>
          <w:noProof/>
          <w:color w:val="000000"/>
        </w:rPr>
        <w:t xml:space="preserve">L-UE qed tippromwovi u tiżviluppa azzjoni marbuta mal-oċeani biex timplimenta l-Ftehim ta’ Pariġi, bħas-soluzzjonijiet ibbażati fuq in-natura u l-enerġija rinnovabbli bbażata fuq l-oċeani. </w:t>
      </w:r>
      <w:r>
        <w:rPr>
          <w:noProof/>
        </w:rPr>
        <w:t>Dawn l-elementi ttennew fil-viżjoni strateġika l-ġdida sabiex sal-2050 niksbu Ewropa li tkun newtrali għall-klima, li l-Kummissjoni adottat f’Novembru tal-2018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Din il-viżjoni tenfasizza l-konservazzjoni, l-użu u l-ġestjoni tal-ekosistemi u tar-riżorsi tal-baħar bħala waħda mill-prijoritajiet għall-mitigazzjoni tat-tibdil fil-klima u għall-adattament għalih. </w:t>
      </w:r>
    </w:p>
    <w:p>
      <w:p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Sa mill-2017 ’l hawn, l-UE allokat fondi speċifiċi għar-restawr tal-ekosistemi tal-baħar u kostali f’reġjuni differenti madwar id-dinja, fosthom fil-Mediterran, fix-Xlokk tal-Asja u fil-pajjiżi AKP, li b’kollox jammontaw għal iktar minn EUR 90 miljun. Barra minn hekk, l-UE qed tippromwovi l-enerġija mir-riħ lil hinn mill-kosta u dik mill-oċeani biex tipprovdi enerġija nadifa lill-gżejjer u liż-żoni kostali fl-UE u mad-dinja kollha. Pereżempju, l-UE qed timmobilizza għarfien espert tekniku biex tgħin lill-Indja tniedi s-sejħa għall-offerti għall-ewwel park eoliku fuq il-baħar tagħha din is-sena.</w:t>
      </w:r>
    </w:p>
    <w:p>
      <w:pPr>
        <w:jc w:val="both"/>
        <w:rPr>
          <w:rFonts w:eastAsia="Arial Unicode MS"/>
          <w:noProof/>
        </w:rPr>
      </w:pPr>
      <w:r>
        <w:rPr>
          <w:noProof/>
        </w:rPr>
        <w:t xml:space="preserve">Barra minn hekk, l-UE qed taħdem b’mod attiv biex tħeġġeġ azzjoni qawwija fil-livell dinji </w:t>
      </w:r>
      <w:r>
        <w:rPr>
          <w:noProof/>
          <w:color w:val="000000"/>
        </w:rPr>
        <w:t xml:space="preserve">biex jiġu indirizzati l-emissjonijiet mit-trasport marittimu, f’konformità mal-istrateġija tal-Organizzazzjoni Marittima Internazzjonali biex tnaqqas dawn </w:t>
      </w:r>
      <w:hyperlink r:id="rId16">
        <w:r>
          <w:rPr>
            <w:rStyle w:val="Hyperlink"/>
            <w:noProof/>
            <w:u w:val="none"/>
          </w:rPr>
          <w:t>l-emissjonijiet bin-nofs sal-2050</w:t>
        </w:r>
      </w:hyperlink>
      <w:r>
        <w:rPr>
          <w:rStyle w:val="Hyperlink"/>
          <w:noProof/>
          <w:u w:val="none"/>
        </w:rPr>
        <w:t>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9525</wp:posOffset>
                </wp:positionV>
                <wp:extent cx="1903095" cy="1649730"/>
                <wp:effectExtent l="0" t="0" r="20955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164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Theme="minorHAnsi" w:hAnsi="Verdana"/>
                                <w:sz w:val="18"/>
                              </w:rPr>
                              <w:t>L-UE ffirmat Dikjarazzjoni Konġunta mal-Korea t’Isfel dwar l-isforzi biex jiġi miġġieled is-sajd IUU wara r-riżultati tajbin li kiseb il-Grupp ta’ Ħidma tal-UE u tar-Repubblika tal-Korea li ġie stabbilit wara li f’April tal-2015 tneħħiet il-karta s-safra li kienet inħarġet lil dan il-pajjiż b’rabta mas-sajd IUU.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45pt;margin-top:.75pt;width:149.85pt;height:1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" fillcolor="white [3201]" strokeweight=".5pt">
                <v:textbox>
                  <w:txbxContent>
                    <w:p>
                      <w:pPr>
                        <w:jc w:val="both"/>
                        <w:rPr>
                          <w:rFonts w:ascii="Verdana" w:eastAsiaTheme="minorHAnsi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Theme="minorHAnsi" w:hAnsi="Verdana"/>
                          <w:sz w:val="18"/>
                        </w:rPr>
                        <w:t>L-UE ffirmat Dikjarazzjoni Konġunta mal-Korea t’Isfel dwar l-isforzi biex jiġi miġġieled is-sajd IUU wara r-riżultati tajbin li kiseb il-Grupp ta’ Ħidma tal-UE u tar-Repubblika tal-Korea li ġie stabbilit wara li f’April tal-2015 tneħħiet il-karta s-safra li kienet inħarġet lil dan il-pajjiż b’rabta mas-sajd IUU.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Bħala attur minn ta’ quddiem nett fil-ġlieda kontra s-</w:t>
      </w:r>
      <w:r>
        <w:rPr>
          <w:b/>
          <w:noProof/>
        </w:rPr>
        <w:t>sajd IUU</w:t>
      </w:r>
      <w:r>
        <w:rPr>
          <w:noProof/>
        </w:rPr>
        <w:t>, sa minn meta adottat ir-Regolament dwar is-sajd IUU fl-2008, l-UE bdiet djalogu dwar il-kwistjonijiet marbutin mas-sajd IUU ma’ aktar minn 50 pajjiż fir-reġjuni ewlenin kollha tas-sajd. Bis-saħħa ta’ dan id-djalogu, 14-il pajjiż irriformaw b’suċċess is-sistemi ta’ kontroll u ta’ ġestjoni tagħhom f’konformità mal-obbligi internazzjonali tagħhom bħar-responsabbiltajiet li għandhom bħala stati tal-bandiera, stati kostali, stati tal-port u stati tas-suq</w:t>
      </w:r>
      <w:r>
        <w:rPr>
          <w:rStyle w:val="FootnoteReference"/>
          <w:noProof/>
        </w:rPr>
        <w:footnoteReference w:id="6"/>
      </w:r>
      <w:r>
        <w:rPr>
          <w:noProof/>
        </w:rPr>
        <w:t>. In-netwerk sostanzjali ta’ Ftehimiet ta’ Sħubija dwar is-Sajd Sostenibbli tal-UE ntuża wkoll biex jappoġġa l-politika tal-UE b’rabta mas-sajd IUU. Sa Novembru tal-2018, kienu twaqqfu 10 Ftehimiet ta’ Sħubija dwar is-Sajd Sostenibbli b’baġit globali ta’ EUR 135 miljun kull sena. Tliet Ftehimiet ta’ Sħubija dwar is-Sajd Sostenibbli addizzjonali ġew innegozjati u għandhom jidħlu fis-seħħ fil-futur qarib.</w:t>
      </w:r>
      <w:r>
        <w:rPr>
          <w:i/>
          <w:noProof/>
          <w:color w:val="1F497D"/>
        </w:rPr>
        <w:t xml:space="preserve"> </w:t>
      </w:r>
      <w:r>
        <w:rPr>
          <w:noProof/>
        </w:rPr>
        <w:t>Barra minn hekk, l-UE adottat regoli ġodda biex tiżgura li l-flotot tal-UE jwettqu sajd sostenibbli lil hinn mill-ilmijiet tal-UE</w:t>
      </w:r>
      <w:r>
        <w:rPr>
          <w:rStyle w:val="FootnoteReference"/>
          <w:noProof/>
        </w:rPr>
        <w:footnoteReference w:id="7"/>
      </w:r>
      <w:r>
        <w:rPr>
          <w:noProof/>
        </w:rPr>
        <w:t>. L-UE kompliet tappoġġa wkoll il-ġlieda kontra s-sajd IUU f’diversi Organizzazzjonijiet Reġjonali għall-Ġestjoni tas-Sajd. Bl-appoġġ tal-UE, ġie adottat pjan dwar is-sajd IUU fil-Mediterran u fil-Baħar l-Iswed u ġew proposti proċeduri stretti biex il-bastimenti li jinqabdu jwettqu sajd IUU fl-Oċean Indjan u fl-Oċean tan-Nofsinhar jitniżżlu f’lista. Barra minn hekk, bl-għajnuna tal-Aġenzija Ewropea għas-Sigurtà Marittima, l-Aġenzija Ewropea għall-Kontroll tas-Sajd qed timplimenta proġett pilota biex jgħin u jżid id-deterrenza tas-sajd IUU madwar id-dinja.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Barra minn hekk, f’Ottubru tal-2016, l-UE pproponiet, fl-Organizzazzjoni Dinjija tal-Kummerċ, li jiġu pprojbiti ċerti forom ta’ sussidji għas-sajd li jikkontribwixxu għall-kapaċità żejda, għas-sajd żejjed u għas-sajd IUU. L-UE għadha qed taħdem b’mod attiv biex, sa mhux aktar tard mill-2020, jintlaħaq ftehim f’konformità mal-mira numru 6 tal-SDG numru 14.</w:t>
      </w:r>
    </w:p>
    <w:p>
      <w:pPr>
        <w:jc w:val="both"/>
        <w:rPr>
          <w:noProof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88265</wp:posOffset>
                </wp:positionV>
                <wp:extent cx="2646680" cy="2623820"/>
                <wp:effectExtent l="0" t="0" r="2032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150" w:afterAutospacing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L-Istrateġija tal-UE għall-plastiks f’ekonomija ċirkolari tikkonsisti f’approċċ komprensiv għall-eliminazzjoni tal-iskart tal-plastik u tat-tnixxija tal-mikroplastik, b’mod partikulari għal ġol-ambjent tal-baħar, u ġiet segwita minn proposta biex jiġu pprojbiti l-10 prodotti ewlenin tal-plastik li jintużaw darba biss li jinstabu fuq ix-xtut u fil-baħar, kif ukoll biex jiddaħħlu regoli ġodda dwar l-irkaptu tas-sajd mitluf jew abbandunat. Il-pakkett huwa kkumplimentat minn proposta għal Direttiva ġdida dwar il-Faċilitajiet tal-Akkoljenza fil-Portijiet biex tindirizza l-problema tal-iskart fil-baħar mill-bastimenti, fosthom mill-bastimenti tas-sajd u mill-opri tal-baħar għar-rikreazzjoni.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35pt;margin-top:6.95pt;width:208.4pt;height:206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J8LgIAAFgEAAAOAAAAZHJzL2Uyb0RvYy54bWysVNtu2zAMfR+wfxD0vjhxkyw1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">
                <v:textbox>
                  <w:txbxContent>
                    <w:p>
                      <w:pPr>
                        <w:pStyle w:val="NormalWeb"/>
                        <w:spacing w:before="0" w:beforeAutospacing="0" w:after="150" w:afterAutospacing="0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L-Istrateġija tal-UE għall-plastiks f’ekonomija ċirkolari tikkonsisti f’approċċ komprensiv għall-eliminazzjoni tal-iskart tal-plastik u tat-tnixxija tal-mikroplastik, b’mod partikulari għal ġol-ambjent tal-baħar, u ġiet segwita minn proposta biex jiġu pprojbiti l-10 prodotti ewlenin tal-plastik li jintużaw darba biss li jinstabu fuq ix-xtut u fil-baħar, kif ukoll biex jiddaħħlu regoli ġodda dwar l-irkaptu tas-sajd mitluf jew abbandunat. Il-pakkett huwa kkumplimentat minn proposta għal Direttiva ġdida dwar il-Faċilitajiet tal-Akkoljenza fil-Portijiet biex tindirizza l-problema tal-iskart fil-baħar mill-bastimenti, fosthom mill-bastimenti tas-sajd u mill-opri tal-baħar għar-rikreazzjoni.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both"/>
        <w:rPr>
          <w:rFonts w:eastAsia="Arial Unicode MS"/>
          <w:noProof/>
        </w:rPr>
      </w:pPr>
      <w:r>
        <w:rPr>
          <w:noProof/>
        </w:rPr>
        <w:t>L-UE ħadmet biex tfassal it-tweġiba internazzjonali għall-problema tal-</w:t>
      </w:r>
      <w:r>
        <w:rPr>
          <w:b/>
          <w:noProof/>
        </w:rPr>
        <w:t>iskart fil-baħar</w:t>
      </w:r>
      <w:r>
        <w:rPr>
          <w:noProof/>
        </w:rPr>
        <w:t xml:space="preserve"> li qed issir dejjem iktar urġenti.</w:t>
      </w:r>
      <w:r>
        <w:rPr>
          <w:b/>
          <w:noProof/>
        </w:rPr>
        <w:t xml:space="preserve"> </w:t>
      </w:r>
      <w:r>
        <w:rPr>
          <w:noProof/>
        </w:rPr>
        <w:t>Għamlet dan billi kompliet tiżviluppa l-Istrateġija tal-UE għall-plastiks f’ekonomija ċirkolari</w:t>
      </w:r>
      <w:r>
        <w:rPr>
          <w:rStyle w:val="FootnoteReference"/>
          <w:noProof/>
        </w:rPr>
        <w:footnoteReference w:id="8"/>
      </w:r>
      <w:r>
        <w:rPr>
          <w:noProof/>
        </w:rPr>
        <w:t>. L-UE qed tappoġġa b’mod attiv ix-xogħol li qed isir b’segwitu għar-riżoluzzjoni dwar l-iskart fil-baħar u l-mikroplastik li ġiet adottata waqt it-tielet Assemblea tan-Nazzjonijiet Uniti għall-Ambjent li saret f’Diċembru tal-2017. Fl-2018, l-UE appoġġat l-enfasi li l-Presidenza tal-Kanada tal-G7 għamlet fuq l-iskart fil-baħar u fuq it-tniġġis mill-plastik. L-UE qed tipprovdi wkoll appoġġ immirat biex tittejjeb il-ġestjoni tal-iskart fil-Paċifiku u fix-Xlokk tal-Asja, li qed iħabbtu wiċċhom ma’ sfidi enormi biex jindirizzaw it-tniġġis mill-plastik.</w:t>
      </w:r>
    </w:p>
    <w:p>
      <w:pPr>
        <w:jc w:val="both"/>
        <w:rPr>
          <w:rFonts w:eastAsia="Arial Unicode MS"/>
          <w:noProof/>
        </w:rPr>
      </w:pPr>
    </w:p>
    <w:p>
      <w:pPr>
        <w:jc w:val="both"/>
        <w:rPr>
          <w:rFonts w:eastAsia="Arial Unicode MS"/>
          <w:noProof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63500</wp:posOffset>
                </wp:positionV>
                <wp:extent cx="2083435" cy="1917700"/>
                <wp:effectExtent l="0" t="0" r="12065" b="25400"/>
                <wp:wrapTight wrapText="bothSides">
                  <wp:wrapPolygon edited="0">
                    <wp:start x="0" y="0"/>
                    <wp:lineTo x="0" y="21672"/>
                    <wp:lineTo x="21528" y="21672"/>
                    <wp:lineTo x="2152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Theme="minorHAnsi" w:hAnsi="Verdana"/>
                                <w:sz w:val="18"/>
                              </w:rPr>
                              <w:t>In-Netwerk Trans-Atlantiku taż-żoni tal-baħar protetti laqqa’ flimkien lill-maniġers taż-żoni tal-baħar protetti ta’ madwar l-Atlantiku mill-Amerka ta’ Fuq u t’Isfel, mill-Afrika u mill-Ewropa. Il-proġett ta’ ġemellaġġ ippermettilhom jaħdmu f’netwerk u jaqsmu l-aħjar prattiki ta’ ġestjoni bejniethom. Issa qed jippjanaw li jkomplu jikkooperaw bejniethom abbażi ta’ strateġija komuni.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.45pt;margin-top:5pt;width:164.05pt;height:15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">
                <v:textbox>
                  <w:txbxContent>
                    <w:p>
                      <w:pPr>
                        <w:jc w:val="both"/>
                        <w:rPr>
                          <w:rFonts w:ascii="Verdana" w:eastAsiaTheme="minorHAnsi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Theme="minorHAnsi" w:hAnsi="Verdana"/>
                          <w:sz w:val="18"/>
                        </w:rPr>
                        <w:t>In-Netwerk Trans-Atlantiku taż-żoni tal-baħar protetti laqqa’ flimkien lill-maniġers taż-żoni tal-baħar protetti ta’ madwar l-Atlantiku mill-Amerka ta’ Fuq u t’Isfel, mill-Afrika u mill-Ewropa. Il-proġett ta’ ġemellaġġ ippermettilhom jaħdmu f’netwerk u jaqsmu l-aħjar prattiki ta’ ġestjoni bejniethom. Issa qed jippjanaw li jkomplu jikkooperaw bejniethom abbażi ta’ strateġija komuni.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t xml:space="preserve"> L-UE diġà ħatret aktar minn 10 % miż-żoni tal-baħar u miż-żoni kostali tagħha bħala </w:t>
      </w:r>
      <w:r>
        <w:rPr>
          <w:b/>
          <w:noProof/>
        </w:rPr>
        <w:t>żoni tal-baħar protetti</w:t>
      </w:r>
      <w:r>
        <w:rPr>
          <w:noProof/>
        </w:rPr>
        <w:t xml:space="preserve"> – sentejn qabel l-iskadenza tal-mira internazzjonali tal-KDB fl-2020 – u qed taħdem biex tiżgura li dawn jiġu ġestiti b’mod effettiv. Issa qed tgħin lil ħaddieħor jikseb din il-mira, billi tippromwovi żoni tal-baħar protetti ġodda u ġestiti tajjeb madwar id-dinja. Iktar minn EUR 23 miljun ġew investiti fl-iżvilupp ta’ linji gwida, fit-twettiq ta’ riċerka u studji xjentifiċi u fit-twaqqif ta’ proġetti ta’ ġemellaġġ biex jiġu inkuraġġuti t-tagħlim u l-kooperazzjoni reċiproki.</w:t>
      </w:r>
    </w:p>
    <w:p>
      <w:pPr>
        <w:jc w:val="both"/>
        <w:rPr>
          <w:rFonts w:eastAsia="Arial Unicode MS"/>
          <w:noProof/>
        </w:rPr>
      </w:pPr>
    </w:p>
    <w:p>
      <w:pPr>
        <w:pStyle w:val="Heading2"/>
        <w:numPr>
          <w:ilvl w:val="0"/>
          <w:numId w:val="4"/>
        </w:numPr>
        <w:spacing w:before="240" w:after="240"/>
        <w:rPr>
          <w:rFonts w:ascii="Times New Roman" w:eastAsia="Times New Roman" w:hAnsi="Times New Roman" w:cs="Times New Roman"/>
          <w:bCs w:val="0"/>
          <w:smallCaps/>
          <w:noProof/>
          <w:color w:val="auto"/>
          <w:sz w:val="24"/>
          <w:szCs w:val="20"/>
        </w:rPr>
      </w:pPr>
      <w:r>
        <w:rPr>
          <w:rFonts w:ascii="Times New Roman" w:hAnsi="Times New Roman"/>
          <w:smallCaps/>
          <w:noProof/>
          <w:color w:val="auto"/>
          <w:sz w:val="24"/>
        </w:rPr>
        <w:t>Il-pilastru 3: tisħiħ tar-riċerka u tad-</w:t>
      </w:r>
      <w:r>
        <w:rPr>
          <w:rFonts w:ascii="Times New Roman" w:hAnsi="Times New Roman"/>
          <w:i/>
          <w:smallCaps/>
          <w:noProof/>
          <w:color w:val="auto"/>
          <w:sz w:val="24"/>
        </w:rPr>
        <w:t>data</w:t>
      </w:r>
      <w:r>
        <w:rPr>
          <w:rFonts w:ascii="Times New Roman" w:hAnsi="Times New Roman"/>
          <w:smallCaps/>
          <w:noProof/>
          <w:color w:val="auto"/>
          <w:sz w:val="24"/>
        </w:rPr>
        <w:t xml:space="preserve"> internazzjonali dwar l-oċeani</w:t>
      </w:r>
    </w:p>
    <w:p>
      <w:pPr>
        <w:pStyle w:val="Text1"/>
        <w:ind w:left="0"/>
        <w:rPr>
          <w:rFonts w:eastAsia="Times New Roman" w:cs="Times New Roman"/>
          <w:noProof/>
          <w:color w:val="auto"/>
        </w:rPr>
      </w:pPr>
      <w:r>
        <w:rPr>
          <w:noProof/>
          <w:color w:val="auto"/>
        </w:rPr>
        <w:t>Politika b’saħħitha marbuta mal-oċeani tiddependi fuq fehim tajjeb tal-oċeani tagħna, ta’ kif dawn jirreaġixxu għall-impatti kumulattivi tal-attività tal-bniedem, u ta’ kif aħna nistgħu nużaw b’mod għaqli dak li huma għandhom x’joffru.</w:t>
      </w:r>
    </w:p>
    <w:p>
      <w:pPr>
        <w:pStyle w:val="Text1"/>
        <w:ind w:left="0"/>
        <w:rPr>
          <w:rFonts w:eastAsia="Times New Roman" w:cs="Times New Roman"/>
          <w:noProof/>
          <w:color w:val="auto"/>
        </w:rPr>
      </w:pPr>
      <w:r>
        <w:rPr>
          <w:bCs/>
          <w:i/>
          <w:smallCap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45085</wp:posOffset>
                </wp:positionV>
                <wp:extent cx="2362200" cy="1729105"/>
                <wp:effectExtent l="0" t="0" r="19050" b="234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29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Verdana" w:eastAsiaTheme="minorHAnsi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Theme="minorHAnsi" w:hAnsi="Verdana"/>
                                <w:color w:val="333333"/>
                                <w:sz w:val="18"/>
                              </w:rPr>
                              <w:t xml:space="preserve">Fl-2018, il-Kummissjoni ppubblikat it-tieni rapport dwar l-istat tal-oċeani. Ibbażat fuq </w:t>
                            </w:r>
                            <w:r>
                              <w:rPr>
                                <w:rFonts w:ascii="Verdana" w:eastAsiaTheme="minorHAnsi" w:hAnsi="Verdana"/>
                                <w:i/>
                                <w:color w:val="333333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Verdana" w:eastAsiaTheme="minorHAnsi" w:hAnsi="Verdana"/>
                                <w:color w:val="333333"/>
                                <w:sz w:val="18"/>
                              </w:rPr>
                              <w:t xml:space="preserve"> komprensiva u tal-ogħla livell ta’ żvilupp tekniku mis-Servizz ta’ Monitoraġġ tal-Ambjent tal-Baħar tal-programm Copernicus tal-UE, ir-rapport jivvaluta l-istat attwali tal-oċean globali u tal-ibħra reġjonali Ewropej u l-varjazzjonijiet naturali tagħhom u l-bidliet fihom.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65.65pt;margin-top:3.55pt;width:186pt;height:13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" filled="f" strokecolor="black [3213]">
                <v:textbox inset=",7.2pt,,7.2pt">
                  <w:txbxContent>
                    <w:p>
                      <w:pPr>
                        <w:jc w:val="both"/>
                        <w:rPr>
                          <w:rFonts w:ascii="Verdana" w:eastAsiaTheme="minorHAnsi" w:hAnsi="Verdana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Theme="minorHAnsi" w:hAnsi="Verdana"/>
                          <w:color w:val="333333"/>
                          <w:sz w:val="18"/>
                        </w:rPr>
                        <w:t xml:space="preserve">Fl-2018, il-Kummissjoni ppubblikat it-tieni rapport dwar l-istat tal-oċeani. Ibbażat fuq </w:t>
                      </w:r>
                      <w:r>
                        <w:rPr>
                          <w:rFonts w:ascii="Verdana" w:eastAsiaTheme="minorHAnsi" w:hAnsi="Verdana"/>
                          <w:i/>
                          <w:color w:val="333333"/>
                          <w:sz w:val="18"/>
                        </w:rPr>
                        <w:t>data</w:t>
                      </w:r>
                      <w:r>
                        <w:rPr>
                          <w:rFonts w:ascii="Verdana" w:eastAsiaTheme="minorHAnsi" w:hAnsi="Verdana"/>
                          <w:color w:val="333333"/>
                          <w:sz w:val="18"/>
                        </w:rPr>
                        <w:t xml:space="preserve"> komprensiva u tal-ogħla livell ta’ żvilupp tekniku mis-Servizz ta’ Monitoraġġ tal-Ambjent tal-Baħar tal-programm Copernicus tal-UE, ir-rapport jivvaluta l-istat attwali tal-oċean globali u tal-ibħra reġjonali Ewropej u l-varjazzjonijiet naturali tagħhom u l-bidliet fihom.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</w:rPr>
        <w:t>L-UE kompliet tippromwovi r-riċerka, id-</w:t>
      </w:r>
      <w:r>
        <w:rPr>
          <w:i/>
          <w:noProof/>
          <w:color w:val="auto"/>
        </w:rPr>
        <w:t>data</w:t>
      </w:r>
      <w:r>
        <w:rPr>
          <w:noProof/>
          <w:color w:val="auto"/>
        </w:rPr>
        <w:t xml:space="preserve"> u l-istudji xjentifiċi dwar l-oċeani bil-għan li tiżviluppa għarfien komprensiv, affidabbli, komparabbli u aċċessibbli dwar l-oċeani biex ittejjeb it-tfassil tal-politika, biex twassal għall-innovazzjoni u biex tiffaċilita ekonomija “blu” sostenibbli. </w:t>
      </w:r>
      <w:r>
        <w:rPr>
          <w:noProof/>
        </w:rPr>
        <w:t>Għal dan il-għan, il-Kummissjoni bdiet tippubblika kull sena r-Rapport dwar l-Istat tal-Oċeani fil-kuntest tal-programm Copernicus</w:t>
      </w:r>
      <w:r>
        <w:rPr>
          <w:rStyle w:val="FootnoteReference"/>
          <w:noProof/>
        </w:rPr>
        <w:footnoteReference w:id="9"/>
      </w:r>
      <w:r>
        <w:rPr>
          <w:noProof/>
        </w:rPr>
        <w:t>. Il-Kummissjoni hija ħerqana b’mod partikulari li ttejjeb il-ġbir tad-</w:t>
      </w:r>
      <w:r>
        <w:rPr>
          <w:i/>
          <w:noProof/>
        </w:rPr>
        <w:t>data</w:t>
      </w:r>
      <w:r>
        <w:rPr>
          <w:noProof/>
        </w:rPr>
        <w:t xml:space="preserve">, </w:t>
      </w:r>
      <w:r>
        <w:rPr>
          <w:noProof/>
          <w:color w:val="auto"/>
        </w:rPr>
        <w:t xml:space="preserve">l-aċċess għaliha u l-kompatibbiltà tagħha. Permezz tal-EMODnet, in-Netwerk Ewropew ta’ Osservazzjoni u </w:t>
      </w:r>
      <w:r>
        <w:rPr>
          <w:i/>
          <w:noProof/>
          <w:color w:val="auto"/>
        </w:rPr>
        <w:t>Data</w:t>
      </w:r>
      <w:r>
        <w:rPr>
          <w:noProof/>
          <w:color w:val="auto"/>
        </w:rPr>
        <w:t xml:space="preserve"> Marittima, il-Kummissjoni qed tgħaqqad flimkien il-bażijiet tad-</w:t>
      </w:r>
      <w:r>
        <w:rPr>
          <w:i/>
          <w:noProof/>
          <w:color w:val="auto"/>
        </w:rPr>
        <w:t>data</w:t>
      </w:r>
      <w:r>
        <w:rPr>
          <w:noProof/>
          <w:color w:val="auto"/>
        </w:rPr>
        <w:t xml:space="preserve"> globali u nazzjonali biex toħloq </w:t>
      </w:r>
      <w:r>
        <w:rPr>
          <w:b/>
          <w:noProof/>
          <w:color w:val="auto"/>
        </w:rPr>
        <w:t>netwerk</w:t>
      </w:r>
      <w:r>
        <w:rPr>
          <w:noProof/>
          <w:color w:val="auto"/>
        </w:rPr>
        <w:t xml:space="preserve"> internazzjonali </w:t>
      </w:r>
      <w:r>
        <w:rPr>
          <w:b/>
          <w:noProof/>
          <w:color w:val="auto"/>
        </w:rPr>
        <w:t>tad-</w:t>
      </w:r>
      <w:r>
        <w:rPr>
          <w:b/>
          <w:i/>
          <w:noProof/>
          <w:color w:val="auto"/>
        </w:rPr>
        <w:t>data</w:t>
      </w:r>
      <w:r>
        <w:rPr>
          <w:b/>
          <w:noProof/>
          <w:color w:val="auto"/>
        </w:rPr>
        <w:t xml:space="preserve"> tal-baħar</w:t>
      </w:r>
      <w:r>
        <w:rPr>
          <w:noProof/>
          <w:color w:val="auto"/>
        </w:rPr>
        <w:t xml:space="preserve"> li jipprovdi aċċess miftuħ għad-</w:t>
      </w:r>
      <w:r>
        <w:rPr>
          <w:i/>
          <w:noProof/>
          <w:color w:val="auto"/>
        </w:rPr>
        <w:t>data</w:t>
      </w:r>
      <w:r>
        <w:rPr>
          <w:noProof/>
          <w:color w:val="auto"/>
        </w:rPr>
        <w:t xml:space="preserve"> dwar l-oċeani u għall-prodotti tal-oċeani mill-Ewropa u lil hinn minnha. Fl-2018, pereżempju, l-UE allokat EUR 3,5 miljun għal kooperazzjoni aħjar maċ-Ċina b’rabta mad-</w:t>
      </w:r>
      <w:r>
        <w:rPr>
          <w:i/>
          <w:noProof/>
          <w:color w:val="auto"/>
        </w:rPr>
        <w:t>data</w:t>
      </w:r>
      <w:r>
        <w:rPr>
          <w:noProof/>
          <w:color w:val="auto"/>
        </w:rPr>
        <w:t xml:space="preserve"> dwar l-oċeani. Barra minn hekk, permezz tal-programm għar-riċerka u l-innovazzjoni msejjaħ “Orizzont”, l-UE qed tiffinanzja proġetti biex l-osservazzjonijiet dwar l-oċeani fl-Atlantiku u fl-ibħra ta’ madwar l-Ewropa jsiru adattati għall-ġejjieni</w:t>
      </w:r>
      <w:r>
        <w:rPr>
          <w:noProof/>
        </w:rPr>
        <w:t>.</w:t>
      </w:r>
    </w:p>
    <w:p>
      <w:pPr>
        <w:jc w:val="both"/>
        <w:rPr>
          <w:noProof/>
        </w:rPr>
      </w:pPr>
      <w:r>
        <w:rPr>
          <w:noProof/>
        </w:rPr>
        <w:t>Bil-ħsieb li ssaħħaħ l-investiment fix-</w:t>
      </w:r>
      <w:r>
        <w:rPr>
          <w:b/>
          <w:noProof/>
        </w:rPr>
        <w:t>xjenza u fl-innovazzjoni “blu</w:t>
      </w:r>
      <w:r>
        <w:rPr>
          <w:noProof/>
        </w:rPr>
        <w:t>”, il-Kummissjoni qed ittejjeb l-iżvilupp tas-servizzi u tal-infrastruttura tar-riċerka bbażati fuq il-cloud permezz tal-programm Orizzont 2020. Il-kooperazzjoni ma’ sħab lil hinn mill-UE tgħinna nifhmu aħjar id-dinamika u x-xejriet tal-oċeani. Hija twassal ukoll għall-innovazzjoni u tnaqqas l-ispejjeż. Id-Dikjarazzjoni ta’ Galway tal-2013 dwar il-Kooperazzjoni dwar l-Oċean Atlantiku diġà kabbret il-</w:t>
      </w:r>
      <w:r>
        <w:rPr>
          <w:b/>
          <w:noProof/>
        </w:rPr>
        <w:t xml:space="preserve">kooperazzjoni </w:t>
      </w:r>
      <w:r>
        <w:rPr>
          <w:noProof/>
        </w:rPr>
        <w:t xml:space="preserve">tal-UE mal-Istati Uniti u mal-Kanada </w:t>
      </w:r>
      <w:r>
        <w:rPr>
          <w:b/>
          <w:noProof/>
        </w:rPr>
        <w:t>b’rabta mar-riċerka dwar il-baħar</w:t>
      </w:r>
      <w:r>
        <w:rPr>
          <w:noProof/>
        </w:rPr>
        <w:t>. Abbażi ta’ din l-esperjenza ta’ suċċess, fl-2017 l-UE ffirmat id-Dikjarazzjoni ta’ Belém dwar il-Kooperazzjoni fir-Riċerka u fl-Innovazzjoni dwar l-Atlantiku mal-Brażil u mal-Afrika t’Isfel, u b’hekk wessgħet il-kooperazzjoni tagħha għan-Nofsinhar tal-Atlantiku. Fl-2018 il-Kummissjoni kkonkludiet arranġamenti amministrattivi mal-Arġentina u ma’ Cape Verde dwar il-kooperazzjoni fir-riċerka u fl-innovazzjoni dwar il-baħar. L-Alleanza tar-Riċerka tal-Oċean Trans-Atlantiku li nħolqot bħala riżultat ta’ dan tkopri l-Oċean Atlantiku kollu, mill-Artiku sal-Antartika.</w:t>
      </w:r>
    </w:p>
    <w:p>
      <w:pPr>
        <w:jc w:val="both"/>
        <w:rPr>
          <w:noProof/>
        </w:rPr>
      </w:pPr>
    </w:p>
    <w:p>
      <w:pPr>
        <w:pStyle w:val="Heading1"/>
        <w:spacing w:before="0" w:after="120"/>
        <w:rPr>
          <w:rStyle w:val="None"/>
          <w:noProof/>
          <w:color w:val="000000" w:themeColor="text1"/>
        </w:rPr>
      </w:pPr>
      <w:r>
        <w:rPr>
          <w:rStyle w:val="None"/>
          <w:noProof/>
          <w:color w:val="000000" w:themeColor="text1"/>
        </w:rPr>
        <w:t>Żviluppi oħrajn</w:t>
      </w:r>
    </w:p>
    <w:p>
      <w:pPr>
        <w:jc w:val="both"/>
        <w:rPr>
          <w:noProof/>
        </w:rPr>
      </w:pPr>
      <w:r>
        <w:rPr>
          <w:noProof/>
        </w:rPr>
        <w:t>Biex tikkumplimenta l-aġenda għall-governanza internazzjonali tal-oċeani, minn meta ġiet adottata din l-aġenda, l-UE ħadet azzjonijiet u nediet inizjattivi li jgħinu biex ikomplu jsaħħu l-governanza internazzjonali tal-oċeani.</w:t>
      </w:r>
    </w:p>
    <w:p>
      <w:pPr>
        <w:jc w:val="both"/>
        <w:rPr>
          <w:noProof/>
        </w:rPr>
      </w:pPr>
    </w:p>
    <w:p>
      <w:pPr>
        <w:pStyle w:val="ListParagraph"/>
        <w:numPr>
          <w:ilvl w:val="0"/>
          <w:numId w:val="14"/>
        </w:numPr>
        <w:spacing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Bħala kustodju tal-inizjattiva msejħa “L-Oċean Tagħna”, l-UE talbet għal azzjoni globali deċiża u ġġenerat impenji ambizzjużi għat-titjib tal-governanza tal-oċeani waqt il-konferenzi li saru f’Malta fl-2017 u f’Bali fl-2018.</w:t>
      </w:r>
    </w:p>
    <w:p>
      <w:pPr>
        <w:pStyle w:val="ListParagraph"/>
        <w:numPr>
          <w:ilvl w:val="0"/>
          <w:numId w:val="14"/>
        </w:numPr>
        <w:spacing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Bħala proponent tal-ekonomija “l-blu”, il-Kummissjoni bdiet ukoll is-sħubija għal Prinċipji Finanzjarji volontarji għal Ekonomija Blu Sostenibbli u pproponiet li toħloq tassonomija għall-klassifikazzjoni tal-attivitajiet ekonomiċi li jitqiesu li huma ambjentalment sostenibbli u li jinkludu attivitajiet għall-użu sostenibbli tar-riżorsi tal-baħar u għall-ħarsien tagħhom.</w:t>
      </w:r>
    </w:p>
    <w:p>
      <w:pPr>
        <w:pStyle w:val="ListParagraph"/>
        <w:numPr>
          <w:ilvl w:val="0"/>
          <w:numId w:val="14"/>
        </w:numPr>
        <w:spacing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Minbarra l-investiment tal-UE fir-riċerka dwar il-baħar, fl-aħħar sentejn ġew allokati EUR 46 miljun għas-Servizz ta’ Monitoraġġ tal-Ambjent tal-Baħar tal-programm Copernicus għall-osservazzjoni, għat-tbassir u għall-analiżi globali tal-istat tal-oċeani, fosthom tal-effetti tat-tibdil fil-klima.</w:t>
      </w:r>
    </w:p>
    <w:p>
      <w:pPr>
        <w:pStyle w:val="ListParagraph"/>
        <w:numPr>
          <w:ilvl w:val="0"/>
          <w:numId w:val="14"/>
        </w:numPr>
        <w:spacing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Il-Kummissjoni pproponiet li talloka fondi għall-governanza internazzjonali tal-oċeani fil-kuntest tal-</w:t>
      </w:r>
      <w:r>
        <w:rPr>
          <w:rFonts w:ascii="Times New Roman" w:hAnsi="Times New Roman"/>
          <w:b/>
          <w:noProof/>
          <w:sz w:val="24"/>
        </w:rPr>
        <w:t>Fond Ewropew għall-Affarijiet Marittimi u s-Sajd</w:t>
      </w:r>
      <w:r>
        <w:rPr>
          <w:rFonts w:ascii="Times New Roman" w:hAnsi="Times New Roman"/>
          <w:noProof/>
          <w:sz w:val="24"/>
        </w:rPr>
        <w:t xml:space="preserve"> għall-2021 sal-2027</w:t>
      </w:r>
      <w:r>
        <w:rPr>
          <w:rStyle w:val="FootnoteReference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>. Dan se jippermetti lill-UE tieħu azzjoni mmirata, pereżempju biex isir progress fil-ġlieda kontra s-sajd IUU u biex tkompli tiġi żviluppata s-sigurtà marittima internazzjonali.</w:t>
      </w:r>
    </w:p>
    <w:p>
      <w:pPr>
        <w:pStyle w:val="ListParagraph"/>
        <w:numPr>
          <w:ilvl w:val="0"/>
          <w:numId w:val="14"/>
        </w:numPr>
        <w:spacing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 xml:space="preserve">Il-Kummissjoni għamlet il-proposti tagħha għall-programm tal-UE għar-riċerka u l-innovazzjoni għal wara l-2020 imsejjaħ </w:t>
      </w:r>
      <w:r>
        <w:rPr>
          <w:rFonts w:ascii="Times New Roman" w:hAnsi="Times New Roman"/>
          <w:b/>
          <w:noProof/>
          <w:sz w:val="24"/>
        </w:rPr>
        <w:t xml:space="preserve">“Orizzont Ewropa” </w:t>
      </w:r>
      <w:r>
        <w:rPr>
          <w:rFonts w:ascii="Times New Roman" w:hAnsi="Times New Roman"/>
          <w:noProof/>
          <w:sz w:val="24"/>
        </w:rPr>
        <w:t>(għall-2021 sal-2027)</w:t>
      </w:r>
      <w:r>
        <w:rPr>
          <w:rStyle w:val="FootnoteReference"/>
          <w:rFonts w:ascii="Times New Roman" w:hAnsi="Times New Roman"/>
          <w:noProof/>
          <w:sz w:val="24"/>
        </w:rPr>
        <w:footnoteReference w:id="11"/>
      </w:r>
      <w:r>
        <w:rPr>
          <w:rFonts w:ascii="Times New Roman" w:hAnsi="Times New Roman"/>
          <w:noProof/>
          <w:sz w:val="24"/>
        </w:rPr>
        <w:t>. Il-governanza internazzjonali tal-oċeani hija wkoll waħda mill-oqsma ta’ prijorità fl-</w:t>
      </w:r>
      <w:r>
        <w:rPr>
          <w:rFonts w:ascii="Times New Roman" w:hAnsi="Times New Roman"/>
          <w:b/>
          <w:noProof/>
          <w:sz w:val="24"/>
        </w:rPr>
        <w:t>Istrumenti ta’ Finanzjament estern</w:t>
      </w:r>
      <w:r>
        <w:rPr>
          <w:rFonts w:ascii="Times New Roman" w:hAnsi="Times New Roman"/>
          <w:noProof/>
          <w:sz w:val="24"/>
        </w:rPr>
        <w:t xml:space="preserve"> proposti għal wara l-2020</w:t>
      </w:r>
      <w:r>
        <w:rPr>
          <w:rStyle w:val="FootnoteReference"/>
          <w:rFonts w:ascii="Times New Roman" w:hAnsi="Times New Roman"/>
          <w:noProof/>
          <w:sz w:val="24"/>
        </w:rPr>
        <w:footnoteReference w:id="12"/>
      </w:r>
      <w:r>
        <w:rPr>
          <w:noProof/>
        </w:rPr>
        <w:t>.</w:t>
      </w:r>
    </w:p>
    <w:p>
      <w:pPr>
        <w:pStyle w:val="ListParagraph"/>
        <w:numPr>
          <w:ilvl w:val="0"/>
          <w:numId w:val="14"/>
        </w:numPr>
        <w:spacing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Id-Dikjarazzjoni Ministerjali msejħa “</w:t>
      </w:r>
      <w:r>
        <w:rPr>
          <w:rFonts w:ascii="Times New Roman" w:hAnsi="Times New Roman"/>
          <w:i/>
          <w:noProof/>
          <w:sz w:val="24"/>
        </w:rPr>
        <w:t>Lejn Aġenda Marittima Komuni għall-Baħar l-Iswed</w:t>
      </w:r>
      <w:r>
        <w:rPr>
          <w:rFonts w:ascii="Times New Roman" w:hAnsi="Times New Roman"/>
          <w:noProof/>
          <w:sz w:val="24"/>
        </w:rPr>
        <w:t xml:space="preserve">”, li ġiet approvata waqt il-Jum Marittimu Ewropew tal-2018 f’Burgas, fil-Bulgarija, bdiet il-proċess ta’ żvilupp ta’ </w:t>
      </w:r>
      <w:r>
        <w:rPr>
          <w:rStyle w:val="Strong"/>
          <w:rFonts w:ascii="Times New Roman" w:hAnsi="Times New Roman"/>
          <w:b w:val="0"/>
          <w:noProof/>
          <w:sz w:val="24"/>
        </w:rPr>
        <w:t>aġenda marittima komuni</w:t>
      </w:r>
      <w:r>
        <w:rPr>
          <w:rFonts w:ascii="Times New Roman" w:hAnsi="Times New Roman"/>
          <w:noProof/>
          <w:sz w:val="24"/>
        </w:rPr>
        <w:t xml:space="preserve"> għall-Baħar l-Iswed.</w:t>
      </w:r>
    </w:p>
    <w:p>
      <w:pPr>
        <w:pStyle w:val="ListParagraph"/>
        <w:numPr>
          <w:ilvl w:val="0"/>
          <w:numId w:val="14"/>
        </w:numPr>
        <w:spacing w:line="240" w:lineRule="auto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Fl-aħħar nett, l-UE qed tikkontribwixxi għat-tieni Valutazzjoni tan-NU tal-Oċeani tad-Dinja li qed titħejja dal-ħin u bdiet ukoll tħejji l-kontribuzzjoni tagħha għad-Deċennju tan-NU għax-Xjenza dwar l-Oċeani għall-Iżvilupp Sostenibbli (li se jkun mill-2021 sal-2030).</w:t>
      </w:r>
    </w:p>
    <w:p>
      <w:pPr>
        <w:jc w:val="both"/>
        <w:rPr>
          <w:noProof/>
        </w:rPr>
      </w:pPr>
    </w:p>
    <w:p>
      <w:pPr>
        <w:pStyle w:val="Heading1"/>
        <w:spacing w:before="0"/>
        <w:rPr>
          <w:rStyle w:val="None"/>
          <w:b w:val="0"/>
          <w:smallCaps w:val="0"/>
          <w:noProof/>
          <w:szCs w:val="24"/>
        </w:rPr>
      </w:pPr>
      <w:r>
        <w:rPr>
          <w:rStyle w:val="None"/>
          <w:noProof/>
          <w:color w:val="000000" w:themeColor="text1"/>
        </w:rPr>
        <w:t>Konklużjoni u l-passi li jmiss</w:t>
      </w:r>
    </w:p>
    <w:p>
      <w:pPr>
        <w:jc w:val="both"/>
        <w:rPr>
          <w:noProof/>
        </w:rPr>
      </w:pPr>
      <w:r>
        <w:rPr>
          <w:noProof/>
        </w:rPr>
        <w:t>Minn meta adottat l-aġenda tagħha għall-governanza internazzjonali tal-oċeani ’l hawn, l-UE kisbet diversi suċċessi. Saru avvanzi kbar fit-tliet oqsma ta’ prijorità u anki lil hinn minnhom.</w:t>
      </w:r>
    </w:p>
    <w:p>
      <w:pPr>
        <w:jc w:val="both"/>
        <w:rPr>
          <w:noProof/>
        </w:rPr>
      </w:pPr>
    </w:p>
    <w:p>
      <w:pPr>
        <w:pStyle w:val="Text2"/>
        <w:spacing w:after="120"/>
        <w:ind w:left="0"/>
        <w:rPr>
          <w:noProof/>
        </w:rPr>
      </w:pPr>
      <w:r>
        <w:rPr>
          <w:noProof/>
        </w:rPr>
        <w:t>Iżda għad baqa’ sfidi oħrajn. Is-sistemi tal-oċeani huma kumplessi u għaldaqstant il-governanza tal-oċeani għandha diversi lati. Il-pressjoni mit-tibdil fil-klima, it-tniġġis, it-telfien tal-bijodiversità, l-estrazzjoni lil hinn mill-kosta u s-sajd żejjed qed ikomplu jaffettwaw ħażin lill-oċeani tagħna. Meħudin flimkien, dawn joħolqu theddid multiplu għall-ħajja tal-baħar. Huma joħolqu sfida formidabbli, li tant hi kbira u kumplessa li ma tistax tiġi ttrattata minn pajjiż jew minn reġjun wieħed waħdu. Biex l-oċeani tad-dinja jinżammu b’saħħithom hemm bżonn ta’ koalizzjoni wiesgħa ta’ atturi li jaħdmu flimkien abbażi ta’ regoli internazzjonali. Il-popolazzjoni tad-dinja mistennija tilħaq id-disa’ sa l-10 biljun ruħ sal-2050, u b’hekk il-pressjoni mistennija biss tkompli tiżdied.</w:t>
      </w:r>
    </w:p>
    <w:p>
      <w:pPr>
        <w:jc w:val="both"/>
        <w:rPr>
          <w:noProof/>
        </w:rPr>
      </w:pPr>
      <w:r>
        <w:rPr>
          <w:noProof/>
        </w:rPr>
        <w:t>Bħala mexxejja internazzjonali affidabbli għal aktar azzjoni favur l-oċeani, l-UE se tibqa’ taħdem favur il-bidla, b’mod partikulari b’rabta ma’ erba’ mill-10 miri tal-SDG numru 14 li jridu jitwettqu sal-2020. B’antiċipazzjoni tar-rapport li jmiss dwar l-oċeani u l-krijosfera tal-Grupp Intergovernattiv ta’ Esperti dwar it-Tibdil fil-Klima, l-UE qed iżżid ukoll l-azzjoni tagħha biex tiżgura l-adattament għall-effetti tat-tibdil fil-klima fuq l-oċeani u fuq l-użu tagħhom.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 xml:space="preserve">Mill-2019, il-Kummissjoni Ewropea u r-Rappreżentant Għoli qed iwaqqfu </w:t>
      </w:r>
      <w:r>
        <w:rPr>
          <w:b/>
          <w:noProof/>
        </w:rPr>
        <w:t>Forum</w:t>
      </w:r>
      <w:r>
        <w:rPr>
          <w:noProof/>
        </w:rPr>
        <w:t xml:space="preserve"> tal-UE </w:t>
      </w:r>
      <w:r>
        <w:rPr>
          <w:b/>
          <w:noProof/>
        </w:rPr>
        <w:t>tal-Partijiet Interessanti fil-Governanza Internazzjonali tal-Oċeani</w:t>
      </w:r>
      <w:r>
        <w:rPr>
          <w:noProof/>
        </w:rPr>
        <w:t xml:space="preserve"> li jlaqqa’ flimkien lill-esperti, lir-rappreżentanti tas-soċjetà ċivili, lill-akkademiċi u lil dawk li jieħdu d-deċiżjonijiet li jittrattaw l-oċeani u l-ibħra madwar id-dinja. Dan il-Forum se jwettaq xogħol ta’ segwitu b’rabta mal-prijoritajiet stabbiliti tal-UE, se jiddiskuti l-isfidi attwali u futuri tal-governanza internazzjonali tal-oċeani u se jirrakkomanda azzjonijiet għall-ġejjieni.</w:t>
      </w:r>
    </w:p>
    <w:p>
      <w:pPr>
        <w:jc w:val="both"/>
        <w:rPr>
          <w:noProof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954757"/>
      <w:docPartObj>
        <w:docPartGallery w:val="Page Numbers (Bottom of Page)"/>
        <w:docPartUnique/>
      </w:docPartObj>
    </w:sdt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spacing w:after="0"/>
        <w:rPr>
          <w:lang w:val="pt-PT"/>
        </w:rPr>
      </w:pPr>
      <w:r>
        <w:rPr>
          <w:rStyle w:val="FootnoteReference"/>
        </w:rPr>
        <w:footnoteRef/>
      </w:r>
      <w:r>
        <w:t xml:space="preserve"> JOIN(2016) 49 final.</w:t>
      </w:r>
    </w:p>
  </w:footnote>
  <w:footnote w:id="3">
    <w:p>
      <w:pPr>
        <w:pStyle w:val="FootnoteText"/>
        <w:spacing w:after="0"/>
        <w:rPr>
          <w:lang w:val="pt-PT"/>
        </w:rPr>
      </w:pPr>
      <w:r>
        <w:rPr>
          <w:rStyle w:val="FootnoteReference"/>
        </w:rPr>
        <w:footnoteRef/>
      </w:r>
      <w:r>
        <w:t xml:space="preserve"> Fl-eżerċizzju tal-ipprogramar għall-2014 sal-2020.</w:t>
      </w:r>
    </w:p>
  </w:footnote>
  <w:footnote w:id="4">
    <w:p>
      <w:pPr>
        <w:pStyle w:val="FootnoteText"/>
        <w:spacing w:after="0"/>
        <w:ind w:left="142" w:hanging="142"/>
        <w:rPr>
          <w:i/>
          <w:lang w:val="pt-PT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 </w:t>
      </w:r>
      <w:r>
        <w:t>COM(2018) 711 final.</w:t>
      </w:r>
    </w:p>
  </w:footnote>
  <w:footnote w:id="5">
    <w:p>
      <w:pPr>
        <w:pStyle w:val="FootnoteText"/>
        <w:tabs>
          <w:tab w:val="left" w:pos="2367"/>
        </w:tabs>
        <w:ind w:left="0" w:firstLine="0"/>
        <w:rPr>
          <w:lang w:val="pt-PT"/>
        </w:rPr>
      </w:pPr>
      <w:r>
        <w:rPr>
          <w:rStyle w:val="FootnoteReference"/>
        </w:rPr>
        <w:footnoteRef/>
      </w:r>
      <w:r>
        <w:rPr>
          <w:color w:val="0000FF"/>
          <w:u w:val="single"/>
        </w:rPr>
        <w:t>COM(2018) 773 final.</w:t>
      </w:r>
      <w:r>
        <w:tab/>
      </w:r>
    </w:p>
  </w:footnote>
  <w:footnote w:id="6">
    <w:p>
      <w:pPr>
        <w:pStyle w:val="FootnoteText"/>
        <w:spacing w:after="0"/>
        <w:ind w:left="142" w:hanging="142"/>
        <w:rPr>
          <w:lang w:val="pt-PT"/>
        </w:rPr>
      </w:pPr>
      <w:r>
        <w:rPr>
          <w:rStyle w:val="FootnoteReference"/>
        </w:rPr>
        <w:footnoteRef/>
      </w:r>
      <w:r>
        <w:t>https://ec.europa.eu/fisheries/sites/fisheries/files/illegal-fishing-overview-of-existing-procedures-third-countries_en.pdf</w:t>
      </w:r>
    </w:p>
  </w:footnote>
  <w:footnote w:id="7">
    <w:p>
      <w:pPr>
        <w:pStyle w:val="FootnoteText"/>
        <w:spacing w:after="0"/>
        <w:rPr>
          <w:lang w:val="pt-PT"/>
        </w:rPr>
      </w:pPr>
      <w:r>
        <w:rPr>
          <w:rStyle w:val="FootnoteReference"/>
        </w:rPr>
        <w:footnoteRef/>
      </w:r>
      <w:r>
        <w:t xml:space="preserve"> Ir-Regolament (UE) 2017/2403.</w:t>
      </w:r>
    </w:p>
  </w:footnote>
  <w:footnote w:id="8">
    <w:p>
      <w:pPr>
        <w:pStyle w:val="FootnoteText"/>
        <w:spacing w:after="0"/>
        <w:rPr>
          <w:lang w:val="pt-PT"/>
        </w:rPr>
      </w:pPr>
      <w:r>
        <w:rPr>
          <w:rStyle w:val="FootnoteReference"/>
        </w:rPr>
        <w:footnoteRef/>
      </w:r>
      <w:r>
        <w:t xml:space="preserve"> COM(2018) 28 final.</w:t>
      </w:r>
    </w:p>
  </w:footnote>
  <w:footnote w:id="9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http://marine.copernicus.eu/science-learning/ocean-state-report/</w:t>
      </w:r>
    </w:p>
  </w:footnote>
  <w:footnote w:id="10">
    <w:p>
      <w:pPr>
        <w:pStyle w:val="FootnoteText"/>
        <w:spacing w:after="0"/>
        <w:rPr>
          <w:lang w:val="pt-PT"/>
        </w:rPr>
      </w:pPr>
      <w:r>
        <w:rPr>
          <w:rStyle w:val="FootnoteReference"/>
        </w:rPr>
        <w:footnoteRef/>
      </w:r>
      <w:r>
        <w:t xml:space="preserve"> COM(2018) 390 final.</w:t>
      </w:r>
    </w:p>
  </w:footnote>
  <w:footnote w:id="11">
    <w:p>
      <w:pPr>
        <w:pStyle w:val="FootnoteText"/>
        <w:spacing w:after="0"/>
        <w:rPr>
          <w:lang w:val="pt-PT"/>
        </w:rPr>
      </w:pPr>
      <w:r>
        <w:rPr>
          <w:rStyle w:val="FootnoteReference"/>
        </w:rPr>
        <w:footnoteRef/>
      </w:r>
      <w:r>
        <w:t xml:space="preserve"> COM(2018) 435 final u COM(2018) 436 final – 2018/0225(COD).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 xml:space="preserve"> 2018/0243(COD), 2018/0244(CNS) u 2018/0247(COD).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32A"/>
    <w:multiLevelType w:val="multilevel"/>
    <w:tmpl w:val="478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5C0A"/>
    <w:multiLevelType w:val="hybridMultilevel"/>
    <w:tmpl w:val="45A4F40C"/>
    <w:lvl w:ilvl="0" w:tplc="13809B6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03772"/>
    <w:multiLevelType w:val="hybridMultilevel"/>
    <w:tmpl w:val="372E5B24"/>
    <w:lvl w:ilvl="0" w:tplc="0CA8CBCC">
      <w:start w:val="1"/>
      <w:numFmt w:val="decimal"/>
      <w:pStyle w:val="Default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672EC"/>
    <w:multiLevelType w:val="multilevel"/>
    <w:tmpl w:val="1E9E0D8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C46E45"/>
    <w:multiLevelType w:val="hybridMultilevel"/>
    <w:tmpl w:val="634A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17D72"/>
    <w:multiLevelType w:val="hybridMultilevel"/>
    <w:tmpl w:val="B3EC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52F8"/>
    <w:multiLevelType w:val="hybridMultilevel"/>
    <w:tmpl w:val="88F0E42E"/>
    <w:lvl w:ilvl="0" w:tplc="3D86C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C6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4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28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C0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A2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1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C9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C9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916180"/>
    <w:multiLevelType w:val="hybridMultilevel"/>
    <w:tmpl w:val="765C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D7E54"/>
    <w:multiLevelType w:val="hybridMultilevel"/>
    <w:tmpl w:val="829C25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275FCC"/>
    <w:multiLevelType w:val="hybridMultilevel"/>
    <w:tmpl w:val="5A840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549BC"/>
    <w:multiLevelType w:val="hybridMultilevel"/>
    <w:tmpl w:val="FB12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C753E"/>
    <w:multiLevelType w:val="hybridMultilevel"/>
    <w:tmpl w:val="C26AEAAE"/>
    <w:lvl w:ilvl="0" w:tplc="C3AC2AA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71D84"/>
    <w:multiLevelType w:val="hybridMultilevel"/>
    <w:tmpl w:val="104C9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2"/>
    <w:lvlOverride w:ilvl="0">
      <w:startOverride w:val="2"/>
    </w:lvlOverride>
  </w:num>
  <w:num w:numId="11">
    <w:abstractNumId w:val="2"/>
    <w:lvlOverride w:ilvl="0">
      <w:startOverride w:val="6"/>
    </w:lvlOverride>
  </w:num>
  <w:num w:numId="12">
    <w:abstractNumId w:val="5"/>
  </w:num>
  <w:num w:numId="13">
    <w:abstractNumId w:val="10"/>
  </w:num>
  <w:num w:numId="14">
    <w:abstractNumId w:val="12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NNOTT Brian (CAB-VELLA)">
    <w15:presenceInfo w15:providerId="None" w15:userId="SYNNOTT Brian (CAB-VELLA)"/>
  </w15:person>
  <w15:person w15:author="INOTAI Andras (CAB-VELLA)">
    <w15:presenceInfo w15:providerId="None" w15:userId="INOTAI Andras (CAB-VELL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AE48D689-B21C-4C74-8DC5-98F4F96FC7DF"/>
    <w:docVar w:name="LW_COVERPAGE_TYPE" w:val="1"/>
    <w:docVar w:name="LW_CROSSREFERENCE" w:val="{SWD(2019) 104 final}"/>
    <w:docVar w:name="LW_DocType" w:val="NORMAL"/>
    <w:docVar w:name="LW_EMISSION" w:val="15.3.2019"/>
    <w:docVar w:name="LW_EMISSION_ISODATE" w:val="2019-03-15"/>
    <w:docVar w:name="LW_EMISSION_LOCATION" w:val="BRX"/>
    <w:docVar w:name="LW_EMISSION_PREFIX" w:val="Brussell, "/>
    <w:docVar w:name="LW_EMISSION_SUFFIX" w:val=" "/>
    <w:docVar w:name="LW_ID_DOCTYPE_NONLW" w:val="CP-018"/>
    <w:docVar w:name="LW_LANGUE" w:val="MT"/>
    <w:docVar w:name="LW_LEVEL_OF_SENSITIVITY" w:val="Standard treatment"/>
    <w:docVar w:name="LW_NOM.INST" w:val="IL-KUMMISSJONI EWROPEA"/>
    <w:docVar w:name="LW_NOM.INST_JOINTDOC" w:val="IR-RAPPRE\u379?ENTANT G\u294?OLI TAL-_x000b_UNJONI G\u294?ALL-_x000b_AFFARIJIET BARRANIN U L-_x000b_POLITIKA TA' SIGURTÀ"/>
    <w:docVar w:name="LW_PART_NBR" w:val="1"/>
    <w:docVar w:name="LW_PART_NBR_TOTAL" w:val="1"/>
    <w:docVar w:name="LW_REF.INST.NEW" w:val="JOIN"/>
    <w:docVar w:name="LW_REF.INST.NEW_ADOPTED" w:val="final"/>
    <w:docVar w:name="LW_REF.INST.NEW_TEXT" w:val="(2019) 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Titjib tal-governanza internazzjonali tal-o\u267?eani \u8211? Sentejn ta\u8217? progress"/>
    <w:docVar w:name="LW_TYPE.DOC.CP" w:val="RAPPORT KON\u288?UNT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240"/>
      <w:jc w:val="both"/>
      <w:outlineLvl w:val="0"/>
    </w:pPr>
    <w:rPr>
      <w:b/>
      <w:small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Text2">
    <w:name w:val="Text 2"/>
    <w:link w:val="Text2Char1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Footnote text,Char,Char1,Char1 Char,Char2,Char3,Char11,Char1 Char2,Char21,Char4,Char12,Char1 Char3,Char22,Char5,Char13,Char1 Char4,Char23,Char6,Char14,Char1 Char5,Char24,Char7,Char15,Char1 Char6,Char25,Char8,fn,ft, Char, Char1, Char1 Char"/>
    <w:basedOn w:val="Normal"/>
    <w:link w:val="FootnoteTextChar"/>
    <w:uiPriority w:val="99"/>
    <w:qFormat/>
    <w:pPr>
      <w:spacing w:after="240"/>
      <w:ind w:left="357" w:hanging="357"/>
      <w:jc w:val="both"/>
    </w:pPr>
    <w:rPr>
      <w:sz w:val="20"/>
      <w:szCs w:val="20"/>
    </w:rPr>
  </w:style>
  <w:style w:type="character" w:styleId="FootnoteReference">
    <w:name w:val="footnote reference"/>
    <w:aliases w:val="stylish,Appel note de bas de page,16 Point,Superscript 6 Point,Ref,de nota al pie"/>
    <w:uiPriority w:val="99"/>
    <w:unhideWhenUsed/>
    <w:qFormat/>
    <w:rPr>
      <w:vertAlign w:val="superscript"/>
    </w:rPr>
  </w:style>
  <w:style w:type="character" w:customStyle="1" w:styleId="Text2Char1">
    <w:name w:val="Text 2 Char1"/>
    <w:basedOn w:val="DefaultParagraphFont"/>
    <w:link w:val="Text2"/>
    <w:locked/>
    <w:rPr>
      <w:rFonts w:ascii="Times New Roman" w:eastAsia="Arial Unicode MS" w:hAnsi="Times New Roman" w:cs="Arial Unicode MS"/>
      <w:color w:val="000000"/>
      <w:sz w:val="24"/>
      <w:szCs w:val="24"/>
      <w:u w:color="000000"/>
      <w:lang w:val="mt-MT" w:eastAsia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next w:val="Text1"/>
    <w:link w:val="HeadingChar"/>
    <w:autoRedefine/>
    <w:pPr>
      <w:keepNext/>
      <w:spacing w:after="120" w:line="240" w:lineRule="auto"/>
      <w:jc w:val="both"/>
      <w:outlineLvl w:val="0"/>
    </w:pPr>
    <w:rPr>
      <w:rFonts w:ascii="Times New Roman" w:eastAsia="Arial Unicode MS" w:hAnsi="Times New Roman" w:cs="Arial Unicode MS"/>
      <w:bCs/>
      <w:i/>
      <w:smallCaps/>
      <w:color w:val="000000"/>
      <w:sz w:val="24"/>
      <w:szCs w:val="24"/>
      <w:u w:color="000000"/>
    </w:rPr>
  </w:style>
  <w:style w:type="paragraph" w:customStyle="1" w:styleId="Text1">
    <w:name w:val="Text 1"/>
    <w:pPr>
      <w:spacing w:after="240" w:line="240" w:lineRule="auto"/>
      <w:ind w:left="48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autoRedefine/>
  </w:style>
  <w:style w:type="character" w:customStyle="1" w:styleId="HeadingChar">
    <w:name w:val="Heading Char"/>
    <w:link w:val="Heading"/>
    <w:rPr>
      <w:rFonts w:ascii="Times New Roman" w:eastAsia="Arial Unicode MS" w:hAnsi="Times New Roman" w:cs="Arial Unicode MS"/>
      <w:bCs/>
      <w:i/>
      <w:smallCaps/>
      <w:color w:val="000000"/>
      <w:sz w:val="24"/>
      <w:szCs w:val="24"/>
      <w:u w:color="000000"/>
      <w:lang w:val="mt-MT" w:eastAsia="mt-MT"/>
    </w:rPr>
  </w:style>
  <w:style w:type="character" w:styleId="Hyperlink">
    <w:name w:val="Hyperlink"/>
    <w:autoRedefine/>
    <w:rPr>
      <w:u w:val="single"/>
    </w:rPr>
  </w:style>
  <w:style w:type="character" w:customStyle="1" w:styleId="textrun">
    <w:name w:val="textrun"/>
    <w:basedOn w:val="DefaultParagraphFont"/>
  </w:style>
  <w:style w:type="paragraph" w:styleId="ListParagraph">
    <w:name w:val="List Paragraph"/>
    <w:aliases w:val="1st level - Bullet List Paragraph,Paragrafo elenco,List Paragraph1,List Paragraph11,Paragraphe de liste 2,Reference list,Normal bullet 2,Bullet list,Numbered List,Lettre d'introduction,Paragraph,Bullet EY,Normal bullet 21,Heading 2_sj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WebChar">
    <w:name w:val="Normal (Web) Char"/>
    <w:aliases w:val="webb Char, webb Char"/>
    <w:link w:val="NormalWeb"/>
    <w:uiPriority w:val="99"/>
    <w:locked/>
    <w:rPr>
      <w:rFonts w:ascii="Times New Roman" w:hAnsi="Times New Roman" w:cs="Times New Roman"/>
      <w:sz w:val="24"/>
      <w:szCs w:val="24"/>
      <w:lang w:eastAsia="mt-MT"/>
    </w:rPr>
  </w:style>
  <w:style w:type="paragraph" w:styleId="NormalWeb">
    <w:name w:val="Normal (Web)"/>
    <w:aliases w:val="webb, webb"/>
    <w:basedOn w:val="Normal"/>
    <w:link w:val="NormalWebChar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character" w:customStyle="1" w:styleId="ListParagraphChar">
    <w:name w:val="List Paragraph Char"/>
    <w:aliases w:val="1st level - Bullet List Paragraph Char,Paragrafo elenco Char,List Paragraph1 Char,List Paragraph11 Char,Paragraphe de liste 2 Char,Reference list Char,Normal bullet 2 Char,Bullet list Char,Numbered List Char,Paragraph Char"/>
    <w:link w:val="ListParagraph"/>
    <w:uiPriority w:val="34"/>
    <w:qFormat/>
    <w:locked/>
  </w:style>
  <w:style w:type="paragraph" w:customStyle="1" w:styleId="Default">
    <w:name w:val="Default"/>
    <w:autoRedefine/>
    <w:pPr>
      <w:numPr>
        <w:numId w:val="9"/>
      </w:numPr>
      <w:spacing w:after="0" w:line="240" w:lineRule="auto"/>
      <w:jc w:val="both"/>
    </w:pPr>
    <w:rPr>
      <w:rFonts w:ascii="Times New Roman" w:eastAsia="Arial Unicode MS" w:hAnsi="Times New Roman" w:cs="Times New Roman"/>
      <w:noProof/>
      <w:color w:val="000000" w:themeColor="text1"/>
      <w:sz w:val="24"/>
      <w:szCs w:val="24"/>
    </w:rPr>
  </w:style>
  <w:style w:type="character" w:customStyle="1" w:styleId="A1">
    <w:name w:val="A1"/>
    <w:uiPriority w:val="99"/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="Times New Roman" w:hAnsi="Times New Roman" w:cs="Times New Roman"/>
      <w:b w:val="0"/>
      <w:smallCaps w:val="0"/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rFonts w:ascii="Times New Roman" w:eastAsia="Times New Roman" w:hAnsi="Times New Roman" w:cs="Times New Roman"/>
      <w:b/>
      <w:smallCaps w:val="0"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="Times New Roman" w:hAnsi="Times New Roman" w:cs="Times New Roman"/>
      <w:b w:val="0"/>
      <w:smallCaps w:val="0"/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rFonts w:ascii="Times New Roman" w:eastAsia="Times New Roman" w:hAnsi="Times New Roman" w:cs="Times New Roman"/>
      <w:b/>
      <w:smallCaps w:val="0"/>
      <w:sz w:val="32"/>
      <w:szCs w:val="24"/>
    </w:rPr>
  </w:style>
  <w:style w:type="paragraph" w:styleId="NoSpacing">
    <w:name w:val="No Spacing"/>
    <w:uiPriority w:val="1"/>
    <w:qFormat/>
    <w:pPr>
      <w:tabs>
        <w:tab w:val="left" w:pos="4678"/>
      </w:tabs>
      <w:spacing w:after="240" w:line="240" w:lineRule="auto"/>
      <w:jc w:val="both"/>
    </w:pPr>
    <w:rPr>
      <w:rFonts w:ascii="Times New Roman" w:eastAsia="Arial Unicode MS" w:hAnsi="Times New Roman" w:cs="Arial Unicode MS"/>
      <w:sz w:val="24"/>
      <w:szCs w:val="24"/>
      <w:u w:color="000000"/>
    </w:rPr>
  </w:style>
  <w:style w:type="character" w:customStyle="1" w:styleId="FootnoteTextChar">
    <w:name w:val="Footnote Text Char"/>
    <w:aliases w:val="Footnote text Char,Char Char,Char1 Char1,Char1 Char Char,Char2 Char,Char3 Char,Char11 Char,Char1 Char2 Char,Char21 Char,Char4 Char,Char12 Char,Char1 Char3 Char,Char22 Char,Char5 Char,Char13 Char,Char1 Char4 Char,Char23 Char,Char6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240"/>
      <w:jc w:val="both"/>
      <w:outlineLvl w:val="0"/>
    </w:pPr>
    <w:rPr>
      <w:b/>
      <w:small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Text2">
    <w:name w:val="Text 2"/>
    <w:link w:val="Text2Char1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Footnote text,Char,Char1,Char1 Char,Char2,Char3,Char11,Char1 Char2,Char21,Char4,Char12,Char1 Char3,Char22,Char5,Char13,Char1 Char4,Char23,Char6,Char14,Char1 Char5,Char24,Char7,Char15,Char1 Char6,Char25,Char8,fn,ft, Char, Char1, Char1 Char"/>
    <w:basedOn w:val="Normal"/>
    <w:link w:val="FootnoteTextChar"/>
    <w:uiPriority w:val="99"/>
    <w:qFormat/>
    <w:pPr>
      <w:spacing w:after="240"/>
      <w:ind w:left="357" w:hanging="357"/>
      <w:jc w:val="both"/>
    </w:pPr>
    <w:rPr>
      <w:sz w:val="20"/>
      <w:szCs w:val="20"/>
    </w:rPr>
  </w:style>
  <w:style w:type="character" w:styleId="FootnoteReference">
    <w:name w:val="footnote reference"/>
    <w:aliases w:val="stylish,Appel note de bas de page,16 Point,Superscript 6 Point,Ref,de nota al pie"/>
    <w:uiPriority w:val="99"/>
    <w:unhideWhenUsed/>
    <w:qFormat/>
    <w:rPr>
      <w:vertAlign w:val="superscript"/>
    </w:rPr>
  </w:style>
  <w:style w:type="character" w:customStyle="1" w:styleId="Text2Char1">
    <w:name w:val="Text 2 Char1"/>
    <w:basedOn w:val="DefaultParagraphFont"/>
    <w:link w:val="Text2"/>
    <w:locked/>
    <w:rPr>
      <w:rFonts w:ascii="Times New Roman" w:eastAsia="Arial Unicode MS" w:hAnsi="Times New Roman" w:cs="Arial Unicode MS"/>
      <w:color w:val="000000"/>
      <w:sz w:val="24"/>
      <w:szCs w:val="24"/>
      <w:u w:color="000000"/>
      <w:lang w:val="mt-MT" w:eastAsia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next w:val="Text1"/>
    <w:link w:val="HeadingChar"/>
    <w:autoRedefine/>
    <w:pPr>
      <w:keepNext/>
      <w:spacing w:after="120" w:line="240" w:lineRule="auto"/>
      <w:jc w:val="both"/>
      <w:outlineLvl w:val="0"/>
    </w:pPr>
    <w:rPr>
      <w:rFonts w:ascii="Times New Roman" w:eastAsia="Arial Unicode MS" w:hAnsi="Times New Roman" w:cs="Arial Unicode MS"/>
      <w:bCs/>
      <w:i/>
      <w:smallCaps/>
      <w:color w:val="000000"/>
      <w:sz w:val="24"/>
      <w:szCs w:val="24"/>
      <w:u w:color="000000"/>
    </w:rPr>
  </w:style>
  <w:style w:type="paragraph" w:customStyle="1" w:styleId="Text1">
    <w:name w:val="Text 1"/>
    <w:pPr>
      <w:spacing w:after="240" w:line="240" w:lineRule="auto"/>
      <w:ind w:left="48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autoRedefine/>
  </w:style>
  <w:style w:type="character" w:customStyle="1" w:styleId="HeadingChar">
    <w:name w:val="Heading Char"/>
    <w:link w:val="Heading"/>
    <w:rPr>
      <w:rFonts w:ascii="Times New Roman" w:eastAsia="Arial Unicode MS" w:hAnsi="Times New Roman" w:cs="Arial Unicode MS"/>
      <w:bCs/>
      <w:i/>
      <w:smallCaps/>
      <w:color w:val="000000"/>
      <w:sz w:val="24"/>
      <w:szCs w:val="24"/>
      <w:u w:color="000000"/>
      <w:lang w:val="mt-MT" w:eastAsia="mt-MT"/>
    </w:rPr>
  </w:style>
  <w:style w:type="character" w:styleId="Hyperlink">
    <w:name w:val="Hyperlink"/>
    <w:autoRedefine/>
    <w:rPr>
      <w:u w:val="single"/>
    </w:rPr>
  </w:style>
  <w:style w:type="character" w:customStyle="1" w:styleId="textrun">
    <w:name w:val="textrun"/>
    <w:basedOn w:val="DefaultParagraphFont"/>
  </w:style>
  <w:style w:type="paragraph" w:styleId="ListParagraph">
    <w:name w:val="List Paragraph"/>
    <w:aliases w:val="1st level - Bullet List Paragraph,Paragrafo elenco,List Paragraph1,List Paragraph11,Paragraphe de liste 2,Reference list,Normal bullet 2,Bullet list,Numbered List,Lettre d'introduction,Paragraph,Bullet EY,Normal bullet 21,Heading 2_sj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WebChar">
    <w:name w:val="Normal (Web) Char"/>
    <w:aliases w:val="webb Char, webb Char"/>
    <w:link w:val="NormalWeb"/>
    <w:uiPriority w:val="99"/>
    <w:locked/>
    <w:rPr>
      <w:rFonts w:ascii="Times New Roman" w:hAnsi="Times New Roman" w:cs="Times New Roman"/>
      <w:sz w:val="24"/>
      <w:szCs w:val="24"/>
      <w:lang w:eastAsia="mt-MT"/>
    </w:rPr>
  </w:style>
  <w:style w:type="paragraph" w:styleId="NormalWeb">
    <w:name w:val="Normal (Web)"/>
    <w:aliases w:val="webb, webb"/>
    <w:basedOn w:val="Normal"/>
    <w:link w:val="NormalWebChar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character" w:customStyle="1" w:styleId="ListParagraphChar">
    <w:name w:val="List Paragraph Char"/>
    <w:aliases w:val="1st level - Bullet List Paragraph Char,Paragrafo elenco Char,List Paragraph1 Char,List Paragraph11 Char,Paragraphe de liste 2 Char,Reference list Char,Normal bullet 2 Char,Bullet list Char,Numbered List Char,Paragraph Char"/>
    <w:link w:val="ListParagraph"/>
    <w:uiPriority w:val="34"/>
    <w:qFormat/>
    <w:locked/>
  </w:style>
  <w:style w:type="paragraph" w:customStyle="1" w:styleId="Default">
    <w:name w:val="Default"/>
    <w:autoRedefine/>
    <w:pPr>
      <w:numPr>
        <w:numId w:val="9"/>
      </w:numPr>
      <w:spacing w:after="0" w:line="240" w:lineRule="auto"/>
      <w:jc w:val="both"/>
    </w:pPr>
    <w:rPr>
      <w:rFonts w:ascii="Times New Roman" w:eastAsia="Arial Unicode MS" w:hAnsi="Times New Roman" w:cs="Times New Roman"/>
      <w:noProof/>
      <w:color w:val="000000" w:themeColor="text1"/>
      <w:sz w:val="24"/>
      <w:szCs w:val="24"/>
    </w:rPr>
  </w:style>
  <w:style w:type="character" w:customStyle="1" w:styleId="A1">
    <w:name w:val="A1"/>
    <w:uiPriority w:val="99"/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="Times New Roman" w:hAnsi="Times New Roman" w:cs="Times New Roman"/>
      <w:b w:val="0"/>
      <w:smallCaps w:val="0"/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rFonts w:ascii="Times New Roman" w:eastAsia="Times New Roman" w:hAnsi="Times New Roman" w:cs="Times New Roman"/>
      <w:b/>
      <w:smallCaps w:val="0"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="Times New Roman" w:hAnsi="Times New Roman" w:cs="Times New Roman"/>
      <w:b w:val="0"/>
      <w:smallCaps w:val="0"/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rFonts w:ascii="Times New Roman" w:eastAsia="Times New Roman" w:hAnsi="Times New Roman" w:cs="Times New Roman"/>
      <w:b/>
      <w:smallCaps w:val="0"/>
      <w:sz w:val="32"/>
      <w:szCs w:val="24"/>
    </w:rPr>
  </w:style>
  <w:style w:type="paragraph" w:styleId="NoSpacing">
    <w:name w:val="No Spacing"/>
    <w:uiPriority w:val="1"/>
    <w:qFormat/>
    <w:pPr>
      <w:tabs>
        <w:tab w:val="left" w:pos="4678"/>
      </w:tabs>
      <w:spacing w:after="240" w:line="240" w:lineRule="auto"/>
      <w:jc w:val="both"/>
    </w:pPr>
    <w:rPr>
      <w:rFonts w:ascii="Times New Roman" w:eastAsia="Arial Unicode MS" w:hAnsi="Times New Roman" w:cs="Arial Unicode MS"/>
      <w:sz w:val="24"/>
      <w:szCs w:val="24"/>
      <w:u w:color="000000"/>
    </w:rPr>
  </w:style>
  <w:style w:type="character" w:customStyle="1" w:styleId="FootnoteTextChar">
    <w:name w:val="Footnote Text Char"/>
    <w:aliases w:val="Footnote text Char,Char Char,Char1 Char1,Char1 Char Char,Char2 Char,Char3 Char,Char11 Char,Char1 Char2 Char,Char21 Char,Char4 Char,Char12 Char,Char1 Char3 Char,Char22 Char,Char5 Char,Char13 Char,Char1 Char4 Char,Char23 Char,Char6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4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maritime-executive.com/article/imo-agrees-to-co2-emissions-target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11A2-D264-4CD6-95ED-88865C32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2468</Words>
  <Characters>17971</Characters>
  <Application>Microsoft Office Word</Application>
  <DocSecurity>0</DocSecurity>
  <Lines>264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24</cp:revision>
  <cp:lastPrinted>2019-01-22T18:01:00Z</cp:lastPrinted>
  <dcterms:created xsi:type="dcterms:W3CDTF">2019-03-06T08:48:00Z</dcterms:created>
  <dcterms:modified xsi:type="dcterms:W3CDTF">2019-03-13T12:41:00Z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DocStatus">
    <vt:lpwstr>Green</vt:lpwstr>
  </property>
</Properties>
</file>