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CB7C2F6-1E4B-4540-B50E-1C0932C8F348"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rFonts w:eastAsia="Times New Roman"/>
          <w:noProof/>
        </w:rPr>
      </w:pPr>
      <w:r>
        <w:rPr>
          <w:noProof/>
        </w:rPr>
        <w:t>Zdanění energetických produktů a elektřiny v EU se řídí směrnicí Rady 2003/96/ES (</w:t>
      </w:r>
      <w:r>
        <w:rPr>
          <w:rStyle w:val="FootnoteReference"/>
          <w:noProof/>
        </w:rPr>
        <w:footnoteReference w:id="1"/>
      </w:r>
      <w:r>
        <w:rPr>
          <w:noProof/>
        </w:rPr>
        <w:t>) (dále jen „směrnice o zdanění energie“ nebo „směrnice“).</w:t>
      </w:r>
    </w:p>
    <w:p>
      <w:pPr>
        <w:rPr>
          <w:rFonts w:eastAsia="Times New Roman"/>
          <w:noProof/>
          <w:szCs w:val="24"/>
        </w:rPr>
      </w:pPr>
      <w:r>
        <w:rPr>
          <w:noProof/>
        </w:rPr>
        <w:t>V čl. 19 odst. 1 směrnice se stanoví, že kromě ustanovení obsažených zejména v článcích 5, 15 a 17 může Rada jednomyslně na návrh Komise povolit kterémukoli členskému státu, aby zavedl další osvobození od spotřební daně nebo její snížení z důvodů některé zvláštní politiky.</w:t>
      </w:r>
    </w:p>
    <w:p>
      <w:pPr>
        <w:rPr>
          <w:rFonts w:eastAsia="Times New Roman"/>
          <w:noProof/>
        </w:rPr>
      </w:pPr>
      <w:r>
        <w:rPr>
          <w:noProof/>
        </w:rPr>
        <w:t>Cílem tohoto návrhu je povolit Itálii, aby mohla v některých zvláště znevýhodněných zeměpisných oblastech uplatňovat snížené sazby daně z plynového oleje a zkapalněného ropného plynu (LPG) používaných k vytápění. Touto sníženou sazbou by se částečně kompenzovaly vysoké náklady na vytápění, které obyvatelům těchto zeměpisných oblastí vznikají. Vysoké náklady na vytápění jsou důsledkem buď velmi nepříznivých klimatických podmínek, nebo ostrovní povahy těchto oblastí spolu s obtížným zásobováním palivy.</w:t>
      </w:r>
    </w:p>
    <w:p>
      <w:pPr>
        <w:rPr>
          <w:noProof/>
        </w:rPr>
      </w:pPr>
      <w:r>
        <w:rPr>
          <w:noProof/>
        </w:rPr>
        <w:t>Snížení daně se uplatňuje v zeměpisných oblastech, které splňují tato kritéria:</w:t>
      </w:r>
    </w:p>
    <w:p>
      <w:pPr>
        <w:spacing w:before="0" w:after="240"/>
        <w:rPr>
          <w:rFonts w:eastAsia="Times New Roman"/>
          <w:noProof/>
        </w:rPr>
      </w:pPr>
      <w:r>
        <w:rPr>
          <w:noProof/>
        </w:rPr>
        <w:t>Podle čl. 8 odst. 10 italského zákona č. 448/1998 se zvýhodnění použije na dodávky zmíněných paliv (plynového oleje a LPG) používaných v obcích:</w:t>
      </w:r>
    </w:p>
    <w:p>
      <w:pPr>
        <w:pStyle w:val="Bullet0"/>
        <w:numPr>
          <w:ilvl w:val="0"/>
          <w:numId w:val="8"/>
        </w:numPr>
        <w:rPr>
          <w:noProof/>
        </w:rPr>
      </w:pPr>
      <w:r>
        <w:rPr>
          <w:noProof/>
        </w:rPr>
        <w:t>spadajících do klimatické zóny F (nejméně příznivé klimatické podmínky v rámci italského území) podle nařízení prezidenta č. 412 ze dne 26. srpna 1993,</w:t>
      </w:r>
    </w:p>
    <w:p>
      <w:pPr>
        <w:pStyle w:val="Bullet0"/>
        <w:rPr>
          <w:noProof/>
        </w:rPr>
      </w:pPr>
      <w:r>
        <w:rPr>
          <w:noProof/>
        </w:rPr>
        <w:t xml:space="preserve">bez připojení k plynárenské síti a spadajících do klimatické zóny E podle výše uvedeného nařízení prezidenta č. 412/1993. V tomto případě je v čl. 8 odst. 10 písm. c) bodu 4 zákona č. 448/1998 stanoveno, že tato výhoda bude zrušena, jakmile se obec k plynárenské síti připojí, </w:t>
      </w:r>
    </w:p>
    <w:p>
      <w:pPr>
        <w:pStyle w:val="Bullet0"/>
        <w:rPr>
          <w:noProof/>
        </w:rPr>
      </w:pPr>
      <w:r>
        <w:rPr>
          <w:noProof/>
        </w:rPr>
        <w:t xml:space="preserve">v regionu Sardinie a na menších ostrovech, pokud nebyla v daných obcích provedena plynofikace. Tato část režimů se vztahuje na všechny italské ostrovy kromě Sicílie. </w:t>
      </w:r>
    </w:p>
    <w:p>
      <w:pPr>
        <w:pStyle w:val="ManualHeading2"/>
        <w:rPr>
          <w:noProof/>
        </w:rPr>
      </w:pPr>
      <w:r>
        <w:rPr>
          <w:noProof/>
          <w:color w:val="000000"/>
          <w:u w:color="000000"/>
          <w:bdr w:val="nil"/>
        </w:rPr>
        <w:t>•</w:t>
      </w:r>
      <w:r>
        <w:rPr>
          <w:noProof/>
        </w:rPr>
        <w:tab/>
        <w:t>Obecné souvislosti</w:t>
      </w:r>
    </w:p>
    <w:p>
      <w:pPr>
        <w:rPr>
          <w:rFonts w:eastAsia="Times New Roman"/>
          <w:noProof/>
        </w:rPr>
      </w:pPr>
      <w:r>
        <w:rPr>
          <w:noProof/>
        </w:rPr>
        <w:t>Dopisem ze dne 31. října 2018 požádaly italské orgány o povolení uplatňovat v některých zvláště znevýhodněných zeměpisných oblastech snížené sazby daně z plynového oleje a LPG používaných k vytápění prostřednictvím obnovení prováděcího rozhodnutí Rady 2014/695/EU ze dne 24. září 2014, kterým se v souladu s článkem 19 směrnice 2003/96/ES (</w:t>
      </w:r>
      <w:r>
        <w:rPr>
          <w:rStyle w:val="FootnoteReference"/>
          <w:noProof/>
        </w:rPr>
        <w:footnoteReference w:id="2"/>
      </w:r>
      <w:r>
        <w:rPr>
          <w:noProof/>
        </w:rPr>
        <w:t xml:space="preserve">) povoluje Itálii uplatňovat v zeměpisné oblasti vymezené v čl. 8 odst. 10 italského zákona č. 448/1998 snížené sazby daně z plynového oleje a LPG používaných k vytápění. Tímto rozhodnutím bylo Itálii povoleno uplatňovat v těchto znevýhodněných oblastech do 31. prosince 2018 snížené sazby spotřební daně z domácího paliva a LPG používaných k vytápění. Itálie odůvodňuje svou žádost o výjimku rozmanitostí svého území s proměnlivými klimatickými a zeměpisnými podmínkami. Vnitrostátní úrovně spotřební daně z plynového oleje a LPG používaných k vytápění jsou v Itálii poměrně vysoké. Aby se předešlo nadměrnému zatížení některých spotřebitelů obzvláště závislých na vytápění, </w:t>
      </w:r>
      <w:r>
        <w:rPr>
          <w:noProof/>
        </w:rPr>
        <w:lastRenderedPageBreak/>
        <w:t xml:space="preserve">zavedla Itálie v určitých částech svého území snížené sazby daně a přeje si snížení v oblasti, na niž se vztahuje čl. 8 odst. 10 italského zákona č. 448/1998, uplatňovat i nadále. Počet obcí, kde nebyla provedena plynofikace a které využívají daný daňový režim, jelikož spadají do klimatické zóny E, se v důsledku dokončení procesu budování plynárenské sítě postupně výrazně snížil. Z původních 608 jich zbývá jen 260. </w:t>
      </w:r>
    </w:p>
    <w:p>
      <w:pPr>
        <w:pStyle w:val="NormalWeb"/>
        <w:spacing w:line="236" w:lineRule="atLeast"/>
        <w:jc w:val="both"/>
        <w:rPr>
          <w:noProof/>
        </w:rPr>
      </w:pPr>
      <w:r>
        <w:rPr>
          <w:noProof/>
        </w:rPr>
        <w:t>Navrhovaná snížení jsou nižší než snížení stanovená v předchozím rozhodnutí. Snížení daně přiznané prováděcím rozhodnutím Rady 2014/695/EU činilo u plynového oleje 129,11 EUR na 1 000 litrů (čímž se příslušná sazba daně snížila na 274,10 EUR na 1 000 litrů) a u LPG 159,07 EUR na 1 000 kg (čímž se příslušná sazba daně snížila na 30,87 EUR na 1 000 kg).</w:t>
      </w:r>
    </w:p>
    <w:p>
      <w:pPr>
        <w:pStyle w:val="NormalWeb"/>
        <w:spacing w:line="236" w:lineRule="atLeast"/>
        <w:jc w:val="both"/>
        <w:rPr>
          <w:noProof/>
        </w:rPr>
      </w:pPr>
      <w:r>
        <w:rPr>
          <w:noProof/>
        </w:rPr>
        <w:t xml:space="preserve">Od 11. prosince 2015 bylo uplatněno snížení tohoto zvýhodnění o 5,07 % (v souladu s článkem 2 nařízení předsedy Rady ministrů ze dne 29. září 2015 na základě čl. 1 odst. 242 zákona č. 190 ze dne 23. prosince 2014) a v současné době činí snížení daně 122,56 EUR na 1 000 litrů u plynového oleje používaného jako topné palivo (čímž se příslušná sazba daně snižuje na 280,65 EUR na 1 000 litrů) a 151,01 EUR na 1 000 kilogramů u LPG používaného jako topné palivo (čímž se příslušná sazba daně snižuje na 38,93 EUR na 1 000 kg). </w:t>
      </w:r>
    </w:p>
    <w:p>
      <w:pPr>
        <w:pStyle w:val="NormalWeb"/>
        <w:spacing w:line="236" w:lineRule="atLeast"/>
        <w:jc w:val="both"/>
        <w:rPr>
          <w:noProof/>
        </w:rPr>
      </w:pPr>
      <w:r>
        <w:rPr>
          <w:noProof/>
        </w:rPr>
        <w:t>Cílem povolení požadovaného Itálií je tato stávající snížení daní v daných zeměpisných oblastech nadále zachovat.</w:t>
      </w:r>
    </w:p>
    <w:p>
      <w:pPr>
        <w:pStyle w:val="NormalWeb"/>
        <w:spacing w:line="236" w:lineRule="atLeast"/>
        <w:jc w:val="both"/>
        <w:rPr>
          <w:noProof/>
        </w:rPr>
      </w:pPr>
      <w:r>
        <w:rPr>
          <w:noProof/>
        </w:rPr>
        <w:t>Snížení daně tedy v současné době činí v průměru 9–10 % ceny plynového oleje používaného jako topné palivo a přibližně 6 % ceny LPG používaného ke stejnému účelu. Konkrétně v klimatických zónách E a F představuje snížení daně v současnosti přibližně 10 % ceny LPG a plynového oleje používaných jako topné palivo.</w:t>
      </w:r>
    </w:p>
    <w:p>
      <w:pPr>
        <w:pStyle w:val="NormalWeb"/>
        <w:shd w:val="clear" w:color="auto" w:fill="FFFFFF"/>
        <w:jc w:val="both"/>
        <w:rPr>
          <w:rFonts w:ascii="Arial" w:hAnsi="Arial" w:cs="Arial"/>
          <w:noProof/>
          <w:sz w:val="19"/>
          <w:szCs w:val="19"/>
        </w:rPr>
      </w:pPr>
      <w:r>
        <w:rPr>
          <w:noProof/>
        </w:rPr>
        <w:t>Příslušné sazby daně přesahují minimální úrovně zdanění, které stanoví směrnice.</w:t>
      </w:r>
    </w:p>
    <w:p>
      <w:pPr>
        <w:rPr>
          <w:noProof/>
        </w:rPr>
      </w:pPr>
      <w:r>
        <w:rPr>
          <w:noProof/>
        </w:rPr>
        <w:t>Toto daňové zvýhodnění nelze kombinovat s jiným snížením spotřební daně.</w:t>
      </w:r>
    </w:p>
    <w:p>
      <w:pPr>
        <w:rPr>
          <w:rFonts w:eastAsia="Times New Roman"/>
          <w:noProof/>
        </w:rPr>
      </w:pPr>
      <w:r>
        <w:rPr>
          <w:noProof/>
        </w:rPr>
        <w:t>Podle italských orgánů se daňová diferenciace opírá o objektivní kritéria a má za cíl zajistit zeměpisnou kontinuitu se zbytkem italského území, tedy dosáhnout snížením nepřiměřeně vysokých nákladů na vytápění toho, aby se náklady obyvatel způsobilých oblastí více přiblížily nákladům obyvatel ostatních částí Itálie. Všem uživatelům je daň snížena o stejnou částku. Opatření má pouze částečně snížit dodatečné náklady na vytápění, které vznikají obyvatelům způsobilých oblastí v důsledku chladného klimatu nebo obtížného zásobování palivy.</w:t>
      </w:r>
    </w:p>
    <w:p>
      <w:pPr>
        <w:pStyle w:val="NormalWeb"/>
        <w:spacing w:line="236" w:lineRule="atLeast"/>
        <w:jc w:val="both"/>
        <w:rPr>
          <w:rFonts w:ascii="Arial" w:hAnsi="Arial" w:cs="Arial"/>
          <w:noProof/>
          <w:sz w:val="19"/>
          <w:szCs w:val="19"/>
        </w:rPr>
      </w:pPr>
      <w:r>
        <w:rPr>
          <w:noProof/>
        </w:rPr>
        <w:t>Podle italských orgánů jsou dodatečné náklady na dopravu v horských oblastech u plynového oleje a LPG o 140 % vyšší než v ostatních částech země.</w:t>
      </w:r>
    </w:p>
    <w:p>
      <w:pPr>
        <w:pStyle w:val="NormalWeb"/>
        <w:spacing w:line="236" w:lineRule="atLeast"/>
        <w:jc w:val="both"/>
        <w:rPr>
          <w:rFonts w:eastAsia="Times New Roman"/>
          <w:noProof/>
        </w:rPr>
      </w:pPr>
      <w:r>
        <w:rPr>
          <w:rFonts w:ascii="Calibri" w:hAnsi="Calibri"/>
          <w:i/>
          <w:noProof/>
          <w:sz w:val="19"/>
        </w:rPr>
        <w:t> </w:t>
      </w:r>
      <w:r>
        <w:rPr>
          <w:noProof/>
        </w:rPr>
        <w:t>Pokud jde o náklady na silniční nákladní dopravu, rozdíl je způsoben typem vozidla. V případě horských oblastí a menších ostrovů (kde neexistují skladovací zařízení pro ropné produkty) LPG a plynový olej pro účely vytápění přepravují nákladní automobily s přívěsem, u nichž oproti silničním traktorům s návěsem vznikají dodatečné náklady ve výši 70–80 %. Nutnost využívat tyto malé nákladní automobily vyplývá z povahy silnic, které nejsou snadno sjízdné, a z menšího množství dodávaných paliv.</w:t>
      </w:r>
    </w:p>
    <w:p>
      <w:pPr>
        <w:pStyle w:val="NormalWeb"/>
        <w:spacing w:line="236" w:lineRule="atLeast"/>
        <w:jc w:val="both"/>
        <w:rPr>
          <w:rFonts w:eastAsia="Times New Roman"/>
          <w:noProof/>
        </w:rPr>
      </w:pPr>
      <w:r>
        <w:rPr>
          <w:rFonts w:ascii="Calibri" w:hAnsi="Calibri"/>
          <w:i/>
          <w:noProof/>
          <w:sz w:val="19"/>
        </w:rPr>
        <w:t> </w:t>
      </w:r>
      <w:r>
        <w:rPr>
          <w:noProof/>
        </w:rPr>
        <w:t>V případě ostrovů by se navíc měly přičíst náklady na přepravu trajektem. Touto položkou se náklady na dopravu mohou dramaticky zvýšit, a to až čtyřikrát.</w:t>
      </w:r>
    </w:p>
    <w:p>
      <w:pPr>
        <w:rPr>
          <w:rFonts w:eastAsia="Times New Roman"/>
          <w:noProof/>
          <w:szCs w:val="24"/>
        </w:rPr>
      </w:pPr>
      <w:r>
        <w:rPr>
          <w:noProof/>
        </w:rPr>
        <w:lastRenderedPageBreak/>
        <w:t>Specifičnost ostrovů spočívá v tom, že kvůli jejich zeměpisné povaze jsou dodávky paliva omezeného rozsahu, a jsou tudíž v důsledku dodatečných nákladů na dopravu dražší než v pevninské části Itálie. Snížení daně není nadměrné a nesnižuje ceny LPG a plynového oleje pod ceny na pevnině. Pokud jde o uplatnění tohoto zvýhodnění na menších ostrovech, jsou v dotčených lokalitách náklady logistického řetězce nutně vyšší než v pevninské části Itálie. Vyšší náklady způsobuje nedostatečná primární logistika, která vede k vyšším distribučním nákladům. Vyšší náklady jsou také často dány problematickým silničním přístupem, vyšší cenou pohonných hmot než na pevnině, vyššími náklady na dopravu na menší ostrovy a omezeným objemem jednotlivých dodávek. Podle odhadů italských orgánů jsou tyto zvýšené náklady přibližně o 10–15 % vyšší než odpovídající náklady v pevninské části Itálie.</w:t>
      </w:r>
    </w:p>
    <w:p>
      <w:pPr>
        <w:spacing w:before="0" w:after="240"/>
        <w:rPr>
          <w:rFonts w:eastAsia="Times New Roman"/>
          <w:noProof/>
          <w:szCs w:val="24"/>
        </w:rPr>
      </w:pPr>
      <w:r>
        <w:rPr>
          <w:noProof/>
        </w:rPr>
        <w:t>Italské orgány uvádějí, že díky tomuto opatření se v posledních letech podařilo snížit konečnou nákupní cenu LPG a plynového oleje používaných k vytápění zhruba o 10 %.</w:t>
      </w:r>
    </w:p>
    <w:p>
      <w:pPr>
        <w:pStyle w:val="NormalWeb"/>
        <w:spacing w:line="236" w:lineRule="atLeast"/>
        <w:jc w:val="both"/>
        <w:rPr>
          <w:rFonts w:eastAsia="Times New Roman"/>
          <w:noProof/>
        </w:rPr>
      </w:pPr>
      <w:r>
        <w:rPr>
          <w:noProof/>
        </w:rPr>
        <w:t>Pokud jde o pokrok v rozvoji vnitrostátní distribuční sítě zemního plynu, italské orgány konstatují, že proces budování plynárenské sítě na italském území lze v zásadě považovat za dokončený. Vzhledem k rozmanitosti italského území, které se vyznačuje velkou různorodostí fyzické geografie, je ovšem tento proces v některých částech území stále obzvláště problematický, nebo v některých případech dokonce nerealizovatelný, též vzhledem k souvisejícím nákladům. V této souvislosti je třeba uvést, že region Sardinie, malé ostrovy a řada obcí, které se nacházejí v typicky horských oblastech, přístup k síti stále nemají a v některých případech nikdy mít nebudou.</w:t>
      </w:r>
    </w:p>
    <w:p>
      <w:pPr>
        <w:tabs>
          <w:tab w:val="num" w:pos="283"/>
        </w:tabs>
        <w:ind w:left="283" w:hanging="283"/>
        <w:rPr>
          <w:rFonts w:eastAsia="Times New Roman"/>
          <w:noProof/>
          <w:szCs w:val="24"/>
        </w:rPr>
      </w:pPr>
      <w:r>
        <w:rPr>
          <w:noProof/>
        </w:rPr>
        <w:t xml:space="preserve">Roční rozpočtové výdaje na toto opatření činí zhruba 230 milionů EUR. </w:t>
      </w:r>
    </w:p>
    <w:p>
      <w:pPr>
        <w:pStyle w:val="ManualHeading2"/>
        <w:rPr>
          <w:rFonts w:eastAsia="Arial Unicode MS"/>
          <w:noProof/>
        </w:rPr>
      </w:pPr>
      <w:r>
        <w:rPr>
          <w:noProof/>
          <w:color w:val="000000"/>
          <w:u w:color="000000"/>
          <w:bdr w:val="nil"/>
        </w:rPr>
        <w:t>•</w:t>
      </w:r>
      <w:r>
        <w:rPr>
          <w:noProof/>
        </w:rPr>
        <w:tab/>
        <w:t>Platné předpisy vztahující se na oblast návrhu</w:t>
      </w:r>
    </w:p>
    <w:p>
      <w:pPr>
        <w:autoSpaceDE w:val="0"/>
        <w:autoSpaceDN w:val="0"/>
        <w:adjustRightInd w:val="0"/>
        <w:rPr>
          <w:noProof/>
          <w:szCs w:val="24"/>
        </w:rPr>
      </w:pPr>
      <w:r>
        <w:rPr>
          <w:noProof/>
        </w:rPr>
        <w:t>Směrnice Rady 2003/96/ES ze dne 27. října 2003, kterou se mění struktura rámcových předpisů Společenství o zdanění energetických produktů a elektřiny, a rozhodnutí Rady 2014/695/EU ze dne 29. září 2014, kterým se v souladu s článkem 19 směrnice 2003/96/ES povoluje Itálii uplatňovat v určených zeměpisných oblastech snížené sazby daně z plynového oleje a LPG používaných k vytápění.</w:t>
      </w:r>
    </w:p>
    <w:p>
      <w:pPr>
        <w:pStyle w:val="ManualHeading2"/>
        <w:rPr>
          <w:rFonts w:eastAsia="Arial Unicode MS"/>
          <w:noProof/>
        </w:rPr>
      </w:pPr>
      <w:r>
        <w:rPr>
          <w:noProof/>
          <w:color w:val="000000"/>
          <w:u w:color="000000"/>
          <w:bdr w:val="nil"/>
        </w:rPr>
        <w:t>•</w:t>
      </w:r>
      <w:r>
        <w:rPr>
          <w:noProof/>
        </w:rPr>
        <w:tab/>
        <w:t>Soulad s ostatními politikami a cíli Unie</w:t>
      </w:r>
    </w:p>
    <w:p>
      <w:pPr>
        <w:rPr>
          <w:rFonts w:eastAsia="Times New Roman"/>
          <w:noProof/>
        </w:rPr>
      </w:pPr>
      <w:r>
        <w:rPr>
          <w:noProof/>
        </w:rPr>
        <w:t>Komise musí každou žádost o výjimku podle článku 19 směrnice o zdanění energie přezkoumat a zohlednit řádné fungování vnitřního trhu, potřebu zajistit spravedlivou hospodářskou soutěž a politiky EU v oblasti zdraví, životního prostředí, energetiky a dopravy.</w:t>
      </w:r>
    </w:p>
    <w:p>
      <w:pPr>
        <w:rPr>
          <w:rFonts w:eastAsia="Times New Roman"/>
          <w:noProof/>
        </w:rPr>
      </w:pPr>
      <w:r>
        <w:rPr>
          <w:noProof/>
        </w:rPr>
        <w:t>Daňová diferenciace částečně snižuje dodatečné náklady na vytápění, jež vznikají občanům v určitých zeměpisných oblastech Itálie, které jsou zvláště znevýhodněny oproti zbytku území a v jejichž případě by základní sazba daně z LPG a plynového oleje používaných k vytápění vyústila v nadměrné daňové zatížení. Zeměpisné znevýhodnění vede k dodatečným nákladům na vytápění, které jsou dány nepříznivými klimatickými podmínkami nebo ostrovní povahou těchto oblastí spolu s nedostupností alternativních zdrojů vytápění, zejména nemožností připojení k plynárenské síti.</w:t>
      </w:r>
    </w:p>
    <w:p>
      <w:pPr>
        <w:rPr>
          <w:rFonts w:eastAsia="Times New Roman"/>
          <w:noProof/>
        </w:rPr>
      </w:pPr>
      <w:r>
        <w:rPr>
          <w:noProof/>
        </w:rPr>
        <w:t>Snížená sazba daně z plynového oleje a LPG je stále vyšší než minimální úrovně zdanění v EU stanovené ve směrnici o zdanění energie a pouze částečně snižuje dodatečné náklady na vytápění, které v příslušných zeměpisných oblastech vznikají.</w:t>
      </w:r>
    </w:p>
    <w:p>
      <w:pPr>
        <w:rPr>
          <w:rFonts w:eastAsia="Times New Roman"/>
          <w:noProof/>
        </w:rPr>
      </w:pPr>
      <w:r>
        <w:rPr>
          <w:noProof/>
        </w:rPr>
        <w:t xml:space="preserve">Lze tedy mít za to, že snížení je slučitelné s cílem poskytnout daňovou pobídku pro účely energetické účinnosti. Nebylo shledáno, že by uvedené opatření bylo neslučitelné s příslušnými politikami EU v oblasti životního prostředí a energetiky. </w:t>
      </w:r>
    </w:p>
    <w:p>
      <w:pPr>
        <w:rPr>
          <w:rFonts w:eastAsia="Times New Roman"/>
          <w:noProof/>
        </w:rPr>
      </w:pPr>
      <w:r>
        <w:rPr>
          <w:noProof/>
        </w:rPr>
        <w:lastRenderedPageBreak/>
        <w:t>Opatření je rovněž přijatelné z hlediska řádného fungování vnitřního trhu a potřeby zajistit spravedlivé podmínky hospodářské soutěže. Má pouze částečně kompenzovat dodatečné náklady na vytápění související s objektivními podmínkami příslušných oblastí. Snížení daně nelze kumulovat s jinými druhy snížení daní a nevztahuje se na jiná použití topných paliv než k vytápění prostoru.</w:t>
      </w:r>
    </w:p>
    <w:p>
      <w:pPr>
        <w:rPr>
          <w:noProof/>
        </w:rPr>
      </w:pPr>
      <w:r>
        <w:rPr>
          <w:noProof/>
        </w:rPr>
        <w:t>Ustanovení čl. 19 odst. 2 směrnice 2003/96/ES stanoví pro tento typ opatření maximální dobu šesti let s možností prodloužení. S přihlédnutím k neexistenci jakýchkoli negativních dopadů současné situace na obchod uvnitř EU a na obecnou míru zdanění paliv v Itálii Komise v zájmu zajištění právní jistoty pro dané regiony v této fázi navrhuje udělit povolení na šest let, tj. od 1. ledna 2019 do 31. prosince 2024.</w:t>
      </w:r>
    </w:p>
    <w:p>
      <w:pPr>
        <w:rPr>
          <w:noProof/>
        </w:rPr>
      </w:pPr>
      <w:r>
        <w:rPr>
          <w:noProof/>
        </w:rPr>
        <w:t>Aby však nebyl narušen budoucí vývoj stávajícího právního rámce, je vhodné stanovit, že pokud by Rada na základě článku 113 Smlouvy zavedla pozměněný obecný systém zdanění energetických produktů, jemuž by toto povolení nebylo přizpůsobeno, pozbude toto rozhodnutí platnosti dnem, k němuž taková pozměněná pravidla vstoupí v platnost.</w:t>
      </w:r>
    </w:p>
    <w:p>
      <w:pPr>
        <w:rPr>
          <w:noProof/>
        </w:rPr>
      </w:pPr>
      <w:r>
        <w:rPr>
          <w:noProof/>
        </w:rPr>
        <w:t>Pokud by Rada takový nový systém přijala a Komise by měla za to, že navrhované povolení je i nadále opodstatněné, posoudila by kladně a včasně případnou žádost Itálie o podobné povolení přizpůsobené takovému novému systému s cílem zajistit kontinuitu tohoto návrhu.</w:t>
      </w:r>
    </w:p>
    <w:p>
      <w:pPr>
        <w:pStyle w:val="ManualHeading2"/>
        <w:rPr>
          <w:rFonts w:eastAsia="Arial Unicode MS"/>
          <w:noProof/>
        </w:rPr>
      </w:pPr>
      <w:r>
        <w:rPr>
          <w:noProof/>
          <w:color w:val="000000"/>
          <w:u w:color="000000"/>
          <w:bdr w:val="nil"/>
        </w:rPr>
        <w:t>•</w:t>
      </w:r>
      <w:r>
        <w:rPr>
          <w:noProof/>
        </w:rPr>
        <w:tab/>
        <w:t>Pravidla státní podpory</w:t>
      </w:r>
    </w:p>
    <w:p>
      <w:pPr>
        <w:rPr>
          <w:noProof/>
        </w:rPr>
      </w:pPr>
      <w:r>
        <w:rPr>
          <w:noProof/>
        </w:rPr>
        <w:t>Opatření může představovat státní podporu v souladu s čl. 107 odst. 1 Smlouvy o fungování EU. Jelikož snížené sazby přesahují minimální úrovně EU, vztahoval by se na toto opatření článek 44 nařízení (EU) č. 651/2014 (obecné nařízení o blokových výjimkách), a bylo by tedy považováno za slučitelné s vnitřním trhem. Po uplynutí doby platnosti obecného nařízení o blokových výjimkách dne 31. prosince 2020 zůstává podpora vyňata ještě po adaptační období v délce šesti měsíců (viz čl. 58 odst. 4 obecného nařízení o blokových výjimkách). Tímto rozhodnutím nejsou dotčena pravidla státní podpory použitelná během období, na které se výjimka vztahuje.</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noProof/>
        </w:rPr>
      </w:pPr>
      <w:r>
        <w:rPr>
          <w:noProof/>
        </w:rPr>
        <w:t>Článek 19 směrnice Rady 2003/96/ES.</w:t>
      </w:r>
    </w:p>
    <w:p>
      <w:pPr>
        <w:pStyle w:val="ManualHeading2"/>
        <w:rPr>
          <w:rFonts w:eastAsia="Arial Unicode MS"/>
          <w:noProof/>
          <w:u w:color="000000"/>
          <w:bdr w:val="nil"/>
        </w:rPr>
      </w:pPr>
      <w:r>
        <w:rPr>
          <w:noProof/>
        </w:rPr>
        <w:t>•</w:t>
      </w:r>
      <w:r>
        <w:rPr>
          <w:noProof/>
        </w:rPr>
        <w:tab/>
        <w:t>Zásada subsidiarity</w:t>
      </w:r>
    </w:p>
    <w:p>
      <w:pPr>
        <w:rPr>
          <w:noProof/>
        </w:rPr>
      </w:pPr>
      <w:r>
        <w:rPr>
          <w:noProof/>
        </w:rPr>
        <w:t>Oblast nepřímých daní, na niž se vztahuje článek 113 Smlouvy o fungování EU, nespadá sama o sobě do výlučné pravomoci EU ve smyslu článku 3 Smlouvy.</w:t>
      </w:r>
    </w:p>
    <w:p>
      <w:pPr>
        <w:rPr>
          <w:noProof/>
        </w:rPr>
      </w:pPr>
      <w:r>
        <w:rPr>
          <w:noProof/>
        </w:rPr>
        <w:t>Podle článku 19 směrnice 2003/96/ES může však zavedení dalšího osvobození od daně nebo snížení daně ve smyslu uvedeného ustanovení členskému státu v rámci sekundárního práva povolit pouze Rada. Členské státy tedy nemohou Radu nahradit. V důsledku toho se zásada subsidiarity na toto prováděcí rozhodnutí nevztahuje. Protože tento akt nepředstavuje návrh legislativního aktu, v každém případě by podle Protokolu č. 2 připojeného ke Smlouvám neměl být předán vnitrostátním parlamentům pro přezkum dodržování zásady subsidiarity.</w:t>
      </w:r>
    </w:p>
    <w:p>
      <w:pPr>
        <w:pStyle w:val="ManualHeading2"/>
        <w:rPr>
          <w:rFonts w:eastAsia="Arial Unicode MS"/>
          <w:noProof/>
          <w:u w:color="000000"/>
          <w:bdr w:val="nil"/>
        </w:rPr>
      </w:pPr>
      <w:r>
        <w:rPr>
          <w:noProof/>
        </w:rPr>
        <w:t>•</w:t>
      </w:r>
      <w:r>
        <w:rPr>
          <w:noProof/>
        </w:rPr>
        <w:tab/>
        <w:t>Zásada proporcionality</w:t>
      </w:r>
    </w:p>
    <w:p>
      <w:pPr>
        <w:pStyle w:val="NormalWeb"/>
        <w:shd w:val="clear" w:color="auto" w:fill="FFFFFF"/>
        <w:jc w:val="both"/>
        <w:rPr>
          <w:rFonts w:ascii="Arial" w:hAnsi="Arial" w:cs="Arial"/>
          <w:noProof/>
          <w:sz w:val="19"/>
          <w:szCs w:val="19"/>
        </w:rPr>
      </w:pPr>
      <w:r>
        <w:rPr>
          <w:noProof/>
        </w:rPr>
        <w:t xml:space="preserve">Návrh je v souladu se zásadou proporcionality. Snížení daně nepřekračuje rámec toho, co je nezbytné k dosažení uvedených cílů. Snížení daně se uplatní v určených zeměpisných oblastech. Povolené sazby daně přesahují minimální úrovně zdanění, které stanoví směrnice. </w:t>
      </w:r>
    </w:p>
    <w:p>
      <w:pPr>
        <w:pStyle w:val="ManualHeading2"/>
        <w:rPr>
          <w:rFonts w:eastAsia="Arial Unicode MS"/>
          <w:noProof/>
          <w:u w:color="000000"/>
          <w:bdr w:val="nil"/>
        </w:rPr>
      </w:pPr>
      <w:r>
        <w:rPr>
          <w:noProof/>
        </w:rPr>
        <w:lastRenderedPageBreak/>
        <w:t>•</w:t>
      </w:r>
      <w:r>
        <w:rPr>
          <w:noProof/>
        </w:rPr>
        <w:tab/>
        <w:t>Volba nástrojů</w:t>
      </w:r>
    </w:p>
    <w:p>
      <w:pPr>
        <w:rPr>
          <w:noProof/>
        </w:rPr>
      </w:pPr>
      <w:r>
        <w:rPr>
          <w:noProof/>
        </w:rPr>
        <w:t>Navrhovaný nástroj: prováděcí rozhodnutí Rady.</w:t>
      </w:r>
    </w:p>
    <w:p>
      <w:pPr>
        <w:rPr>
          <w:noProof/>
        </w:rPr>
      </w:pPr>
      <w:r>
        <w:rPr>
          <w:noProof/>
        </w:rPr>
        <w:t>Článek 19 směrnice 2003/96/ES stanoví pouze tento druh opatření.</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rPr>
          <w:noProof/>
        </w:rPr>
      </w:pPr>
      <w:r>
        <w:rPr>
          <w:noProof/>
        </w:rPr>
        <w:t>Opatření nevyžaduje hodnocení platných právních předpisů.</w:t>
      </w:r>
    </w:p>
    <w:p>
      <w:pPr>
        <w:pStyle w:val="ManualHeading2"/>
        <w:rPr>
          <w:rFonts w:eastAsia="Arial Unicode MS"/>
          <w:noProof/>
          <w:u w:color="000000"/>
          <w:bdr w:val="nil"/>
        </w:rPr>
      </w:pPr>
      <w:r>
        <w:rPr>
          <w:noProof/>
        </w:rPr>
        <w:t>•</w:t>
      </w:r>
      <w:r>
        <w:rPr>
          <w:noProof/>
        </w:rPr>
        <w:tab/>
        <w:t>Konzultace se zúčastněnými stranami</w:t>
      </w:r>
    </w:p>
    <w:p>
      <w:pPr>
        <w:rPr>
          <w:noProof/>
        </w:rPr>
      </w:pPr>
      <w:r>
        <w:rPr>
          <w:noProof/>
        </w:rPr>
        <w:t>Návrh spočívá ve snížení daně, které se týká pouze Itálie.</w:t>
      </w:r>
    </w:p>
    <w:p>
      <w:pPr>
        <w:pStyle w:val="ManualHeading2"/>
        <w:rPr>
          <w:rFonts w:eastAsia="Arial Unicode MS"/>
          <w:noProof/>
          <w:u w:color="000000"/>
          <w:bdr w:val="nil"/>
        </w:rPr>
      </w:pPr>
      <w:r>
        <w:rPr>
          <w:noProof/>
        </w:rPr>
        <w:t>•</w:t>
      </w:r>
      <w:r>
        <w:rPr>
          <w:noProof/>
        </w:rPr>
        <w:tab/>
        <w:t>Sběr a využití výsledků odborných konzultací</w:t>
      </w:r>
    </w:p>
    <w:p>
      <w:pPr>
        <w:rPr>
          <w:noProof/>
        </w:rPr>
      </w:pPr>
      <w:r>
        <w:rPr>
          <w:noProof/>
        </w:rPr>
        <w:t>Externí odborné konzultace nebyly využity.</w:t>
      </w:r>
    </w:p>
    <w:p>
      <w:pPr>
        <w:pStyle w:val="ManualHeading2"/>
        <w:rPr>
          <w:rFonts w:eastAsia="Arial Unicode MS"/>
          <w:noProof/>
          <w:u w:color="000000"/>
          <w:bdr w:val="nil"/>
        </w:rPr>
      </w:pPr>
      <w:r>
        <w:rPr>
          <w:noProof/>
        </w:rPr>
        <w:t>•</w:t>
      </w:r>
      <w:r>
        <w:rPr>
          <w:noProof/>
        </w:rPr>
        <w:tab/>
        <w:t>Posouzení dopadů</w:t>
      </w:r>
    </w:p>
    <w:p>
      <w:pPr>
        <w:rPr>
          <w:noProof/>
        </w:rPr>
      </w:pPr>
      <w:r>
        <w:rPr>
          <w:noProof/>
        </w:rPr>
        <w:t>Posouzení dopadů nebylo provedeno.</w:t>
      </w:r>
    </w:p>
    <w:p>
      <w:pPr>
        <w:pStyle w:val="ManualHeading2"/>
        <w:rPr>
          <w:rFonts w:eastAsia="Arial Unicode MS"/>
          <w:noProof/>
          <w:u w:color="000000"/>
          <w:bdr w:val="nil"/>
        </w:rPr>
      </w:pPr>
      <w:r>
        <w:rPr>
          <w:noProof/>
        </w:rPr>
        <w:t>•</w:t>
      </w:r>
      <w:r>
        <w:rPr>
          <w:noProof/>
        </w:rPr>
        <w:tab/>
        <w:t xml:space="preserve">Základní práva </w:t>
      </w:r>
    </w:p>
    <w:p>
      <w:pPr>
        <w:rPr>
          <w:noProof/>
        </w:rPr>
      </w:pPr>
      <w:r>
        <w:rPr>
          <w:noProof/>
        </w:rPr>
        <w:t>Opatření nemá žádný dopad na základní práva.</w:t>
      </w:r>
    </w:p>
    <w:p>
      <w:pPr>
        <w:pStyle w:val="ManualHeading1"/>
        <w:rPr>
          <w:noProof/>
        </w:rPr>
      </w:pPr>
      <w:r>
        <w:rPr>
          <w:noProof/>
        </w:rPr>
        <w:t>4.</w:t>
      </w:r>
      <w:r>
        <w:rPr>
          <w:noProof/>
        </w:rPr>
        <w:tab/>
        <w:t>ROZPOČTOVÉ DŮSLEDKY</w:t>
      </w:r>
    </w:p>
    <w:p>
      <w:pPr>
        <w:rPr>
          <w:noProof/>
        </w:rPr>
      </w:pPr>
      <w:r>
        <w:rPr>
          <w:noProof/>
        </w:rPr>
        <w:t>Tímto opatřením nevzniká Unii žádná finanční ani administrativní zátěž, návrh proto nemá žádné důsledky pro rozpočet Unie.</w:t>
      </w:r>
    </w:p>
    <w:p>
      <w:pPr>
        <w:pStyle w:val="ManualHeading1"/>
        <w:rPr>
          <w:noProof/>
        </w:rPr>
      </w:pPr>
      <w:r>
        <w:rPr>
          <w:noProof/>
        </w:rPr>
        <w:t>5.</w:t>
      </w:r>
      <w:r>
        <w:rPr>
          <w:noProof/>
        </w:rPr>
        <w:tab/>
        <w:t>OSTATNÍ PRVKY</w:t>
      </w:r>
    </w:p>
    <w:p>
      <w:pPr>
        <w:rPr>
          <w:noProof/>
        </w:rPr>
      </w:pPr>
      <w:r>
        <w:rPr>
          <w:noProof/>
        </w:rPr>
        <w:t xml:space="preserve">Plány provádění a způsoby monitorování, hodnocení a podávání zpráv </w:t>
      </w:r>
    </w:p>
    <w:p>
      <w:pPr>
        <w:rPr>
          <w:noProof/>
        </w:rPr>
      </w:pPr>
      <w:r>
        <w:rPr>
          <w:noProof/>
        </w:rPr>
        <w:t>Prováděcí plán není zapotřebí. Tento návrh se týká povolení ke snížení daně pro jeden členský stát na základě jeho žádosti. Je navržen na omezenou dobu šesti let. Použije se daňová sazba, která bude vyšší než minimální úroveň zdanění stanovená směrnicí o zdanění energie. Toto opatření může být vyhodnoceno v případě žádosti o prodloužení po uplynutí šestiletého období.</w:t>
      </w:r>
    </w:p>
    <w:p>
      <w:pPr>
        <w:pStyle w:val="ManualHeading2"/>
        <w:rPr>
          <w:rFonts w:eastAsia="Arial Unicode MS"/>
          <w:noProof/>
          <w:u w:color="000000"/>
          <w:bdr w:val="nil"/>
        </w:rPr>
      </w:pPr>
      <w:r>
        <w:rPr>
          <w:noProof/>
        </w:rPr>
        <w:t>•</w:t>
      </w:r>
      <w:r>
        <w:rPr>
          <w:noProof/>
        </w:rPr>
        <w:tab/>
        <w:t>Shrnutí navrhovaného opatření</w:t>
      </w:r>
    </w:p>
    <w:p>
      <w:pPr>
        <w:rPr>
          <w:noProof/>
        </w:rPr>
      </w:pPr>
      <w:r>
        <w:rPr>
          <w:noProof/>
        </w:rPr>
        <w:t>Komise navrhuje povolit snížení daně ve výši 122,56 EUR na 1 000 litrů u plynového oleje a 151,01 EUR na 1 000 kg u LPG. Platné daňové sazby činí 280,65 EUR na 1 000 litrů u plynového oleje používaného jako topné palivo a 38,93 EUR na 1 000 kg u LPG používaného jako topné palivo. Příslušné sazby daně přesahují minimální úrovně zdanění, které stanoví směrnice 2003/96/ES.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2019/0079 (NLE)</w:t>
      </w:r>
    </w:p>
    <w:p>
      <w:pPr>
        <w:pStyle w:val="Statut"/>
        <w:rPr>
          <w:noProof/>
        </w:rPr>
      </w:pPr>
      <w:r>
        <w:rPr>
          <w:noProof/>
        </w:rPr>
        <w:t>Návrh</w:t>
      </w:r>
    </w:p>
    <w:p>
      <w:pPr>
        <w:pStyle w:val="Typedudocument"/>
        <w:rPr>
          <w:noProof/>
        </w:rPr>
      </w:pPr>
      <w:r>
        <w:rPr>
          <w:noProof/>
        </w:rPr>
        <w:t>PROVÁDĚCÍ ROZHODNUTÍ RADY,</w:t>
      </w:r>
    </w:p>
    <w:p>
      <w:pPr>
        <w:pStyle w:val="Titreobjet"/>
        <w:rPr>
          <w:noProof/>
        </w:rPr>
      </w:pPr>
      <w:r>
        <w:rPr>
          <w:noProof/>
        </w:rPr>
        <w:t>kterým se v souladu s článkem 19 směrnice 2003/96/ES povoluje Itálii uplatňovat v určených zeměpisných oblastech snížené sazby daně z plynového oleje a zkapalněného ropného plynu používaných k vytápění</w:t>
      </w:r>
    </w:p>
    <w:p>
      <w:pPr>
        <w:pStyle w:val="Institutionquiagit"/>
        <w:rPr>
          <w:noProof/>
        </w:rPr>
      </w:pPr>
      <w:r>
        <w:rPr>
          <w:noProof/>
        </w:rPr>
        <w:t>RADA EVROPSKÉ UNIE,</w:t>
      </w:r>
    </w:p>
    <w:p>
      <w:pPr>
        <w:rPr>
          <w:noProof/>
        </w:rPr>
      </w:pPr>
      <w:r>
        <w:rPr>
          <w:noProof/>
        </w:rPr>
        <w:t xml:space="preserve">s ohledem na Smlouvu o fungování Evropské unie, </w:t>
      </w:r>
    </w:p>
    <w:p>
      <w:pPr>
        <w:rPr>
          <w:noProof/>
        </w:rPr>
      </w:pPr>
      <w:r>
        <w:rPr>
          <w:noProof/>
        </w:rPr>
        <w:t>s ohledem na směrnici Rady 2003/96/ES ze dne 27. října 2003, kterou se mění struktura rámcových předpisů Společenství o zdanění energetických produktů a elektřiny</w:t>
      </w:r>
      <w:r>
        <w:rPr>
          <w:rStyle w:val="FootnoteReference"/>
          <w:noProof/>
        </w:rPr>
        <w:footnoteReference w:id="3"/>
      </w:r>
      <w:r>
        <w:rPr>
          <w:noProof/>
        </w:rPr>
        <w:t>, a zejména na čl. 19 odst. 1 uvedené směrnice,</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Na základě čl. 19 odst. 1 směrnice 2003/96/ES bylo Itálii povoleno uplatňovat v některých zvláště znevýhodněných oblastech snížené sazby spotřební daně z plynového oleje a zkapalněného ropného plynu (LPG) používaných k vytápění. Poslední povolení bylo uděleno do 31. prosince 2018 prováděcím rozhodnutím Rady 2014/695/EU</w:t>
      </w:r>
      <w:r>
        <w:rPr>
          <w:rStyle w:val="FootnoteReference"/>
          <w:noProof/>
        </w:rPr>
        <w:footnoteReference w:id="4"/>
      </w:r>
      <w:r>
        <w:rPr>
          <w:noProof/>
        </w:rPr>
        <w:t>.</w:t>
      </w:r>
    </w:p>
    <w:p>
      <w:pPr>
        <w:pStyle w:val="ManualConsidrant"/>
        <w:rPr>
          <w:rFonts w:eastAsia="Times New Roman"/>
          <w:noProof/>
        </w:rPr>
      </w:pPr>
      <w:r>
        <w:t>(2)</w:t>
      </w:r>
      <w:r>
        <w:tab/>
      </w:r>
      <w:r>
        <w:rPr>
          <w:noProof/>
        </w:rPr>
        <w:t xml:space="preserve">Italské orgány požádaly dopisem ze dne 31. října 2018 o povolení uplatňovat v některých zvláště znevýhodněných zeměpisných oblastech snížené sazby daně z plynového oleje a LPG používaných k vytápění prodloužením praxe uplatňované v některých oblastech podle rozhodnutí 2014/695/EU, a to před uplynutím jeho platnosti. Dne 14. prosince 2018 poskytly italské orgány doplňující informace a vysvětlení. Itálie požádala o povolení na období od 1. ledna 2019 do 31. prosince 2024.  </w:t>
      </w:r>
    </w:p>
    <w:p>
      <w:pPr>
        <w:pStyle w:val="ManualConsidrant"/>
        <w:rPr>
          <w:noProof/>
        </w:rPr>
      </w:pPr>
      <w:r>
        <w:t>(3)</w:t>
      </w:r>
      <w:r>
        <w:tab/>
      </w:r>
      <w:r>
        <w:rPr>
          <w:noProof/>
        </w:rPr>
        <w:t>Na území Itálie panují velmi různorodé klimatické a zeměpisné podmínky. S ohledem na zvláštní rysy svého území zavedla Itálie snížené sazby daně z plynového oleje a LPG, aby částečně kompenzovala nadměrně vysoké náklady na vytápění, které vznikají obyvatelům některých zeměpisných oblastí.</w:t>
      </w:r>
    </w:p>
    <w:p>
      <w:pPr>
        <w:pStyle w:val="ManualConsidrant"/>
        <w:rPr>
          <w:noProof/>
        </w:rPr>
      </w:pPr>
      <w:r>
        <w:t>(4)</w:t>
      </w:r>
      <w:r>
        <w:tab/>
      </w:r>
      <w:r>
        <w:rPr>
          <w:noProof/>
        </w:rPr>
        <w:t>Daňová diferenciace se opírá o objektivní kritéria a usiluje o to, aby se náklady obyvatel způsobilých oblastí více přiblížily nákladům obyvatel ostatních částí Itálie snížením neúměrně vysokých nákladů na vytápění, které jsou dány nepříznivými klimatickými podmínkami nebo obtížným zásobováním palivy ve srovnání se zbytkem území Itálie.</w:t>
      </w:r>
    </w:p>
    <w:p>
      <w:pPr>
        <w:pStyle w:val="ManualConsidrant"/>
        <w:rPr>
          <w:noProof/>
        </w:rPr>
      </w:pPr>
      <w:r>
        <w:t>(5)</w:t>
      </w:r>
      <w:r>
        <w:tab/>
      </w:r>
      <w:r>
        <w:rPr>
          <w:noProof/>
        </w:rPr>
        <w:t xml:space="preserve">Snížené sazby daně se uplatňují v zeměpisných oblastech, které splňují jedno z těchto kritérií: a) nejméně příznivé klimatické podmínky v rámci italského území (obce </w:t>
      </w:r>
      <w:r>
        <w:rPr>
          <w:noProof/>
        </w:rPr>
        <w:lastRenderedPageBreak/>
        <w:t>klimatické zóny F podle nařízení prezidenta č. 412 z 26. srpna 1993</w:t>
      </w:r>
      <w:r>
        <w:rPr>
          <w:rStyle w:val="FootnoteReference"/>
          <w:noProof/>
        </w:rPr>
        <w:footnoteReference w:id="5"/>
      </w:r>
      <w:r>
        <w:rPr>
          <w:noProof/>
        </w:rPr>
        <w:t>), b) nepříznivé klimatické podmínky ve spojení s obtížným zásobováním palivy (obce klimatické zóny E podle nařízení prezidenta č. 412 z 26. srpna 1993, pokud nebyla v dané obci provedena plynofikace), a c) zeměpisná odloučenost spojená s obtížným a nákladným zásobováním palivy: Sardinie a malé ostrovy, pokud nebyla v daných obcích provedena plynofikace. Snížené sazby daně by měly být uplatňovány pouze do dokončení distribuční sítě zemního plynu v dotčených obcích.</w:t>
      </w:r>
    </w:p>
    <w:p>
      <w:pPr>
        <w:pStyle w:val="ManualConsidrant"/>
        <w:rPr>
          <w:noProof/>
        </w:rPr>
      </w:pPr>
      <w:r>
        <w:t>(6)</w:t>
      </w:r>
      <w:r>
        <w:tab/>
      </w:r>
      <w:r>
        <w:rPr>
          <w:noProof/>
        </w:rPr>
        <w:t>Komise požadované opatření přezkoumala a dospěla k závěru, že nenarušuje hospodářskou soutěž, nebrání fungování vnitřního trhu ani není považováno za neslučitelné s politikou EU v oblasti životního prostředí, energetiky a dopravy. Snížená sazba daně z plynového oleje a LPG by zůstala vyšší než minimální úrovně zdanění v EU stanovené ve směrnici 2003/96/ES a pouze by částečně snížila dodatečné náklady na vytápění, které v příslušných zeměpisných oblastech vznikají.</w:t>
      </w:r>
    </w:p>
    <w:p>
      <w:pPr>
        <w:pStyle w:val="ManualConsidrant"/>
        <w:rPr>
          <w:noProof/>
        </w:rPr>
      </w:pPr>
      <w:r>
        <w:t>(7)</w:t>
      </w:r>
      <w:r>
        <w:tab/>
      </w:r>
      <w:r>
        <w:rPr>
          <w:noProof/>
        </w:rPr>
        <w:t>Itálii by proto mělo být podle čl. 19 odst. 2 směrnice 2003/96/ES povoleno uplatňovat v určených zeměpisných oblastech snížené sazby daně z plynového oleje a LPG používaných k vytápění do 31. prosince 2024.</w:t>
      </w:r>
    </w:p>
    <w:p>
      <w:pPr>
        <w:pStyle w:val="ManualConsidrant"/>
        <w:rPr>
          <w:noProof/>
        </w:rPr>
      </w:pPr>
      <w:r>
        <w:t>(8)</w:t>
      </w:r>
      <w:r>
        <w:tab/>
      </w:r>
      <w:r>
        <w:rPr>
          <w:noProof/>
        </w:rPr>
        <w:t>Z čl. 19 odst. 2 směrnice 2003/96/ES vyplývá, že každé povolení udělené na základě uvedeného článku musí být přesně časově omezené.</w:t>
      </w:r>
    </w:p>
    <w:p>
      <w:pPr>
        <w:pStyle w:val="ManualConsidrant"/>
        <w:rPr>
          <w:noProof/>
        </w:rPr>
      </w:pPr>
      <w:r>
        <w:t>(9)</w:t>
      </w:r>
      <w:r>
        <w:tab/>
      </w:r>
      <w:r>
        <w:rPr>
          <w:noProof/>
        </w:rPr>
        <w:t>Aby byla dotčeným regionům poskytnuta dostatečná míra jistoty, mělo by být povolení uděleno na dobu šesti let. Aby však nebyl narušen budoucí vývoj stávajícího právního rámce, je vhodné stanovit, že pokud by Rada na základě článku 113 Smlouvy zavedla pozměněný obecný systém zdanění energetických produktů, jemuž by toto povolení nebylo přizpůsobeno, pozbývá toto rozhodnutí platnosti dnem, k němuž vstoupí v platnost pravidla týkající se takového pozměněného systému.</w:t>
      </w:r>
    </w:p>
    <w:p>
      <w:pPr>
        <w:pStyle w:val="ManualConsidrant"/>
        <w:rPr>
          <w:noProof/>
        </w:rPr>
      </w:pPr>
      <w:r>
        <w:t>(10)</w:t>
      </w:r>
      <w:r>
        <w:tab/>
      </w:r>
      <w:r>
        <w:rPr>
          <w:noProof/>
        </w:rPr>
        <w:t>Aby se opatření uplatnilo bez přerušení, pokud jde o povolení uplatňovat snížené sazby spotřební daně udělené rozhodnutím 2014/695/EU, jehož platnost skončila dne 31. prosince 2018, bylo by vhodné, aby se toto rozhodnutí použilo ode dne 1. ledna 2019.</w:t>
      </w:r>
    </w:p>
    <w:p>
      <w:pPr>
        <w:pStyle w:val="ManualConsidrant"/>
        <w:rPr>
          <w:noProof/>
        </w:rPr>
      </w:pPr>
      <w:r>
        <w:t>(11)</w:t>
      </w:r>
      <w:r>
        <w:tab/>
      </w:r>
      <w:r>
        <w:rPr>
          <w:noProof/>
        </w:rPr>
        <w:t>Tímto rozhodnutím není dotčeno uplatňování pravidel Unie týkajících se státní podpory,</w:t>
      </w:r>
    </w:p>
    <w:p>
      <w:pPr>
        <w:pStyle w:val="Formuledadoption"/>
        <w:rPr>
          <w:noProof/>
        </w:rPr>
      </w:pPr>
      <w:r>
        <w:rPr>
          <w:noProof/>
        </w:rPr>
        <w:t xml:space="preserve">PŘIJALA TOTO ROZHODNUTÍ: </w:t>
      </w:r>
    </w:p>
    <w:p>
      <w:pPr>
        <w:pStyle w:val="Titrearticle"/>
        <w:rPr>
          <w:noProof/>
        </w:rPr>
      </w:pPr>
      <w:r>
        <w:rPr>
          <w:noProof/>
        </w:rPr>
        <w:t>Článek 1</w:t>
      </w:r>
    </w:p>
    <w:p>
      <w:pPr>
        <w:rPr>
          <w:rFonts w:eastAsia="Times New Roman"/>
          <w:noProof/>
          <w:szCs w:val="24"/>
        </w:rPr>
      </w:pPr>
      <w:r>
        <w:rPr>
          <w:noProof/>
        </w:rPr>
        <w:t xml:space="preserve">1. Itálii se povoluje uplatňovat snížené sazby daně z plynového oleje a LPG používaných k vytápění v těchto znevýhodněných zeměpisných oblastech:  </w:t>
      </w:r>
    </w:p>
    <w:p>
      <w:pPr>
        <w:pStyle w:val="Point0"/>
        <w:rPr>
          <w:noProof/>
        </w:rPr>
      </w:pPr>
      <w:r>
        <w:rPr>
          <w:noProof/>
        </w:rPr>
        <w:t>a)</w:t>
      </w:r>
      <w:r>
        <w:rPr>
          <w:noProof/>
        </w:rPr>
        <w:tab/>
        <w:t>obce klimatické zóny F podle nařízení prezidenta č. 412 ze dne 26. srpna 1993;</w:t>
      </w:r>
    </w:p>
    <w:p>
      <w:pPr>
        <w:pStyle w:val="Point0"/>
        <w:rPr>
          <w:noProof/>
        </w:rPr>
      </w:pPr>
      <w:r>
        <w:rPr>
          <w:noProof/>
        </w:rPr>
        <w:t>b)</w:t>
      </w:r>
      <w:r>
        <w:rPr>
          <w:noProof/>
        </w:rPr>
        <w:tab/>
        <w:t>obce klimatické zóny E podle nařízení prezidenta č. 412 ze dne 26. srpna 1993;</w:t>
      </w:r>
    </w:p>
    <w:p>
      <w:pPr>
        <w:pStyle w:val="Point0"/>
        <w:rPr>
          <w:rFonts w:eastAsia="Times New Roman"/>
          <w:noProof/>
          <w:szCs w:val="24"/>
        </w:rPr>
      </w:pPr>
      <w:r>
        <w:rPr>
          <w:noProof/>
        </w:rPr>
        <w:t>c)</w:t>
      </w:r>
      <w:r>
        <w:rPr>
          <w:noProof/>
        </w:rPr>
        <w:tab/>
        <w:t>obce na Sardinii a malých ostrovech, tj. všechny italské ostrovy kromě Sicílie. </w:t>
      </w:r>
    </w:p>
    <w:p>
      <w:pPr>
        <w:rPr>
          <w:rFonts w:eastAsia="Times New Roman"/>
          <w:noProof/>
          <w:szCs w:val="24"/>
        </w:rPr>
      </w:pPr>
      <w:r>
        <w:rPr>
          <w:noProof/>
        </w:rPr>
        <w:t>2. Aby snížení nebylo nadměrné, nesmí překročit dodatečné náklady na vytápění, které v dotčených oblastech vznikají. Konkrétně v případě Sardinie a malých ostrovů nesmí snížení daně vést v důsledku k ceně nižší, než jaká je cena stejného paliva v pevninské části Itálie.</w:t>
      </w:r>
    </w:p>
    <w:p>
      <w:pPr>
        <w:rPr>
          <w:rFonts w:eastAsia="Times New Roman"/>
          <w:noProof/>
          <w:szCs w:val="24"/>
        </w:rPr>
      </w:pPr>
      <w:r>
        <w:rPr>
          <w:noProof/>
        </w:rPr>
        <w:lastRenderedPageBreak/>
        <w:t>3. Snížená sazba musí být v souladu s požadavky směrnice 2003/96/ES, a zejména s minimálními úrovněmi zdanění stanovenými v článku 9 uvedené směrnice.</w:t>
      </w:r>
    </w:p>
    <w:p>
      <w:pPr>
        <w:pStyle w:val="Titrearticle"/>
        <w:rPr>
          <w:noProof/>
        </w:rPr>
      </w:pPr>
      <w:r>
        <w:rPr>
          <w:noProof/>
        </w:rPr>
        <w:t>Článek 2</w:t>
      </w:r>
    </w:p>
    <w:p>
      <w:pPr>
        <w:rPr>
          <w:rFonts w:eastAsia="Times New Roman"/>
          <w:noProof/>
        </w:rPr>
      </w:pPr>
      <w:r>
        <w:rPr>
          <w:noProof/>
        </w:rPr>
        <w:t xml:space="preserve">Způsobilost zeměpisných oblastí uvedených v čl. 1 odst. 1 písm. b) a c) je podmíněna absencí plynofikace v dané obci. </w:t>
      </w:r>
    </w:p>
    <w:p>
      <w:pPr>
        <w:pStyle w:val="Titrearticle"/>
        <w:rPr>
          <w:noProof/>
        </w:rPr>
      </w:pPr>
      <w:r>
        <w:rPr>
          <w:noProof/>
        </w:rPr>
        <w:t>Článek 3</w:t>
      </w:r>
    </w:p>
    <w:p>
      <w:pPr>
        <w:rPr>
          <w:noProof/>
        </w:rPr>
      </w:pPr>
      <w:r>
        <w:rPr>
          <w:noProof/>
        </w:rPr>
        <w:t>Toto rozhodnutí se použije ode dne 1. ledna 2019 do dne 31. prosince 2024.</w:t>
      </w:r>
    </w:p>
    <w:p>
      <w:pPr>
        <w:rPr>
          <w:noProof/>
        </w:rPr>
      </w:pPr>
      <w:r>
        <w:rPr>
          <w:noProof/>
        </w:rPr>
        <w:t xml:space="preserve">Pokud by však Rada na základě článku 113 Smlouvy zavedla pozměněný obecný systém zdanění energetických produktů, jemuž by povolení udělené v článku 1 tohoto rozhodnutí nebylo přizpůsobeno, skončí použitelnost tohoto rozhodnutí dnem, k němuž se stanou použitelnými pravidla týkající se uvedeného pozměněného systému. </w:t>
      </w:r>
    </w:p>
    <w:p>
      <w:pPr>
        <w:pStyle w:val="Titrearticle"/>
        <w:rPr>
          <w:noProof/>
        </w:rPr>
      </w:pPr>
      <w:r>
        <w:rPr>
          <w:noProof/>
        </w:rPr>
        <w:t>Článek 4</w:t>
      </w:r>
    </w:p>
    <w:p>
      <w:pPr>
        <w:rPr>
          <w:noProof/>
        </w:rPr>
      </w:pPr>
      <w:r>
        <w:rPr>
          <w:noProof/>
        </w:rPr>
        <w:t>Toto rozhodnutí je určeno Italské republice.</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t>(</w:t>
      </w:r>
      <w:r>
        <w:rPr>
          <w:rStyle w:val="FootnoteReference"/>
        </w:rPr>
        <w:footnoteRef/>
      </w:r>
      <w:r>
        <w:t>)</w:t>
      </w:r>
      <w:r>
        <w:tab/>
        <w:t>Směrnice Rady 2003/96/ES ze dne 27. října 2003, kterou se mění struktura rámcových předpisů Společenství o zdanění energetických produktů a elektřiny (Úř. věst. L 283, 31.10.2003, s. 51; směrnice naposledy pozměněná směrnicemi 2004/74/ES a 2004/75/ES (Úř. věst. L 157, 30.4.2004, s. 87 a s. 100).</w:t>
      </w:r>
    </w:p>
  </w:footnote>
  <w:footnote w:id="2">
    <w:p>
      <w:pPr>
        <w:pStyle w:val="FootnoteText"/>
      </w:pPr>
      <w:r>
        <w:t>(</w:t>
      </w:r>
      <w:r>
        <w:rPr>
          <w:rStyle w:val="FootnoteReference"/>
        </w:rPr>
        <w:footnoteRef/>
      </w:r>
      <w:r>
        <w:t>)</w:t>
      </w:r>
      <w:r>
        <w:tab/>
        <w:t>Úř. věst. L 109, 19.4.2008, s. 27.</w:t>
      </w:r>
    </w:p>
  </w:footnote>
  <w:footnote w:id="3">
    <w:p>
      <w:pPr>
        <w:pStyle w:val="FootnoteText"/>
      </w:pPr>
      <w:r>
        <w:t>(</w:t>
      </w:r>
      <w:r>
        <w:rPr>
          <w:rStyle w:val="FootnoteReference"/>
        </w:rPr>
        <w:footnoteRef/>
      </w:r>
      <w:r>
        <w:t>)</w:t>
      </w:r>
      <w:r>
        <w:tab/>
        <w:t>Úř. věst. L 283, 31.10.2003, s. 51.</w:t>
      </w:r>
    </w:p>
  </w:footnote>
  <w:footnote w:id="4">
    <w:p>
      <w:pPr>
        <w:pStyle w:val="FootnoteText"/>
      </w:pPr>
      <w:r>
        <w:t>(</w:t>
      </w:r>
      <w:r>
        <w:rPr>
          <w:rStyle w:val="FootnoteReference"/>
        </w:rPr>
        <w:footnoteRef/>
      </w:r>
      <w:r>
        <w:t>)</w:t>
      </w:r>
      <w:r>
        <w:tab/>
        <w:t xml:space="preserve">Prováděcí rozhodnutí Rady 2014/695/EU ze dne 29. září 2014, kterým se v souladu s článkem 19 směrnice 2003/96/ES povoluje Itálii uplatňovat v určených zeměpisných oblastech snížené sazby daně z plynového oleje a LPG používaných k vytápění (Úř. věst. L 291, 7.10.2014, s. 16). </w:t>
      </w:r>
    </w:p>
  </w:footnote>
  <w:footnote w:id="5">
    <w:p>
      <w:pPr>
        <w:pStyle w:val="FootnoteText"/>
      </w:pPr>
      <w:r>
        <w:t>(</w:t>
      </w:r>
      <w:r>
        <w:rPr>
          <w:rStyle w:val="FootnoteReference"/>
        </w:rPr>
        <w:footnoteRef/>
      </w:r>
      <w:r>
        <w:t>)</w:t>
      </w:r>
      <w:r>
        <w:tab/>
        <w:t>Nařízení prezidenta č. 412 z 26. srpna 1993 dělí území Itálie na šest klimatických zón (A až F). Tato klasifikace vychází z jednotky „denostupeň“, která představuje počet dnů za rok, v nichž se vnější teplota liší od optimální teploty 20 °C, a je tudíž nutné vytápět.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3A44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5C2E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4065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B61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7628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0497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9740"/>
    <w:name w:val="0.650581"/>
    <w:lvl w:ilvl="0">
      <w:start w:val="1"/>
      <w:numFmt w:val="decimal"/>
      <w:pStyle w:val="ListNumber"/>
      <w:lvlText w:val="%1."/>
      <w:lvlJc w:val="left"/>
      <w:pPr>
        <w:tabs>
          <w:tab w:val="num" w:pos="360"/>
        </w:tabs>
        <w:ind w:left="360" w:hanging="360"/>
      </w:pPr>
    </w:lvl>
  </w:abstractNum>
  <w:abstractNum w:abstractNumId="7">
    <w:nsid w:val="FFFFFF89"/>
    <w:multiLevelType w:val="singleLevel"/>
    <w:tmpl w:val="AD2C11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14"/>
    <w:lvlOverride w:ilvl="0">
      <w:startOverride w:val="1"/>
    </w:lvlOverride>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8 10:01: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7CB7C2F6-1E4B-4540-B50E-1C0932C8F348"/>
    <w:docVar w:name="LW_COVERPAGE_TYPE" w:val="1"/>
    <w:docVar w:name="LW_CROSSREFERENCE" w:val="&lt;UNUSED&gt;"/>
    <w:docVar w:name="LW_DocType" w:val="COM"/>
    <w:docVar w:name="LW_EMISSION" w:val="18.3.2019"/>
    <w:docVar w:name="LW_EMISSION_ISODATE" w:val="2019-03-18"/>
    <w:docVar w:name="LW_EMISSION_LOCATION" w:val="BRX"/>
    <w:docVar w:name="LW_EMISSION_PREFIX" w:val="V Bruselu dne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79"/>
    <w:docVar w:name="LW_REF.II.NEW.CP_YEAR" w:val="2019"/>
    <w:docVar w:name="LW_REF.INST.NEW" w:val="COM"/>
    <w:docVar w:name="LW_REF.INST.NEW_ADOPTED" w:val="final"/>
    <w:docVar w:name="LW_REF.INST.NEW_TEXT" w:val="(2019)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ým se v souladu s \u269?lánkem 19 sm\u283?rnice 2003/96/ES povoluje Itálii uplat\u328?ovat v ur\u269?ených zem\u283?pisných oblastech sní\u382?ené sazby dan\u283? z plynového oleje a zkapaln\u283?ného ropného plynu pou\u382?ívaných k vytáp\u283?ní"/>
    <w:docVar w:name="LW_TYPE.DOC.CP" w:val="PROVÁD\u282?CÍ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9</Pages>
  <Words>3032</Words>
  <Characters>17285</Characters>
  <Application>Microsoft Office Word</Application>
  <DocSecurity>0</DocSecurity>
  <Lines>292</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2019-03-06T14:32:00Z</dcterms:created>
  <dcterms:modified xsi:type="dcterms:W3CDTF">2019-03-18T09:01:00Z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