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FA3" w:rsidRDefault="000E0F36">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65BCF362-3AB9-411C-A9FA-881BF4DE3763" style="width:450.75pt;height:333.75pt">
            <v:imagedata r:id="rId8" o:title=""/>
          </v:shape>
        </w:pict>
      </w:r>
    </w:p>
    <w:bookmarkEnd w:id="0"/>
    <w:p w:rsidR="00466FA3" w:rsidRDefault="00466FA3">
      <w:pPr>
        <w:rPr>
          <w:noProof/>
        </w:rPr>
        <w:sectPr w:rsidR="00466FA3">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rsidR="00466FA3" w:rsidRDefault="00466FA3">
      <w:pPr>
        <w:pStyle w:val="Pagedecouverture"/>
        <w:rPr>
          <w:noProof/>
        </w:rPr>
      </w:pPr>
    </w:p>
    <w:p w:rsidR="00466FA3" w:rsidRDefault="000E0F36">
      <w:pPr>
        <w:pStyle w:val="Typedudocument"/>
        <w:rPr>
          <w:noProof/>
        </w:rPr>
      </w:pPr>
      <w:r>
        <w:rPr>
          <w:noProof/>
        </w:rPr>
        <w:t>KOMISIJOS ATASKAITA EUROPOS PARLAMENTUI IR TARYBAI</w:t>
      </w:r>
    </w:p>
    <w:p w:rsidR="00466FA3" w:rsidRDefault="000E0F36">
      <w:pPr>
        <w:pStyle w:val="Titreobjet"/>
        <w:rPr>
          <w:noProof/>
        </w:rPr>
      </w:pPr>
      <w:r>
        <w:rPr>
          <w:noProof/>
        </w:rPr>
        <w:t xml:space="preserve">37-oji metinė Komisijos ataskaita Tarybai ir Europos Parlamentui </w:t>
      </w:r>
      <w:r>
        <w:rPr>
          <w:noProof/>
        </w:rPr>
        <w:br/>
        <w:t xml:space="preserve">dėl Europos Sąjungos veiklos </w:t>
      </w:r>
      <w:r>
        <w:rPr>
          <w:noProof/>
        </w:rPr>
        <w:t>antidempingo, antisubsidijų ir apsaugos priemonių srityje ir 2018 m. trečiųjų šalių Europos Sąjungai taikytų prekybos apsaugos priemonių</w:t>
      </w:r>
    </w:p>
    <w:p w:rsidR="00466FA3" w:rsidRDefault="00466FA3">
      <w:pPr>
        <w:pStyle w:val="Pagedecouverture"/>
        <w:rPr>
          <w:noProof/>
        </w:rPr>
      </w:pPr>
    </w:p>
    <w:p w:rsidR="00466FA3" w:rsidRDefault="00466FA3">
      <w:pPr>
        <w:pStyle w:val="Pagedecouverture"/>
        <w:rPr>
          <w:noProof/>
        </w:rPr>
      </w:pPr>
    </w:p>
    <w:p w:rsidR="00466FA3" w:rsidRDefault="00466FA3">
      <w:pPr>
        <w:pStyle w:val="Pagedecouverture"/>
        <w:rPr>
          <w:noProof/>
        </w:rPr>
      </w:pPr>
    </w:p>
    <w:p w:rsidR="00466FA3" w:rsidRDefault="00466FA3">
      <w:pPr>
        <w:pStyle w:val="ManualHeading1"/>
        <w:ind w:left="851" w:hanging="851"/>
        <w:jc w:val="left"/>
        <w:rPr>
          <w:noProof/>
        </w:rPr>
      </w:pPr>
    </w:p>
    <w:p w:rsidR="00466FA3" w:rsidRDefault="000E0F36">
      <w:pPr>
        <w:pStyle w:val="ManualHeading1"/>
        <w:spacing w:before="120" w:after="360"/>
        <w:ind w:left="851" w:hanging="851"/>
        <w:jc w:val="left"/>
        <w:rPr>
          <w:noProof/>
        </w:rPr>
      </w:pPr>
      <w:r>
        <w:rPr>
          <w:noProof/>
        </w:rPr>
        <w:t>Santrauka</w:t>
      </w:r>
    </w:p>
    <w:p w:rsidR="00466FA3" w:rsidRDefault="000E0F36">
      <w:pPr>
        <w:pStyle w:val="Text1"/>
        <w:spacing w:before="0" w:after="240"/>
        <w:ind w:left="0"/>
        <w:rPr>
          <w:noProof/>
        </w:rPr>
      </w:pPr>
      <w:r>
        <w:rPr>
          <w:noProof/>
        </w:rPr>
        <w:t>Šioje 37-ojoje ataskaitoje Europos Sąjungos (ES) prekybos apsaugos veikla apžvelgiama dviem aspektais. Visų pirma šioje ataskaitoje išimtinai didesniu mastu, nei būtina laikantis teisinių prievolių, konkrečiai išvardijami pagrindiniai uždaviniai, tendencij</w:t>
      </w:r>
      <w:r>
        <w:rPr>
          <w:noProof/>
        </w:rPr>
        <w:t>os ir J.-C. Junckerio vadovaujamos Komisijos pasiekti rezultatai prekybos apsaugos srityje. Per 60 metų trunkančią ES prekybos apsaugos priemonių istoriją turbūt nebuvo sudėtingesnio laikotarpio negu 2014–2019 m. Dėl perteklinių plieno gamybos pajėgumų vis</w:t>
      </w:r>
      <w:r>
        <w:rPr>
          <w:noProof/>
        </w:rPr>
        <w:t xml:space="preserve">ame pasaulyje gerokai padaugėjo prašymų taikyti prekybos apsaugos priemones. Komisija per šį laikotarpį plienui nustatė 25 naujas prekybos apsaugos priemones ir taip gerokai prisidėjo prie Europos plieno pramonės gyvybingumo bei pasaulinio konkurencingumo </w:t>
      </w:r>
      <w:r>
        <w:rPr>
          <w:noProof/>
        </w:rPr>
        <w:t>ar net atliko pagrindinį vaidmenį tai užtikrinant. Be to, pirmą kartą nuo 1994 m. ES prekybos apsaugos taisyklių vadovas buvo atnaujintas atlikus du svarbius teisės aktų pakeitimus. Šie pakeitimai padėjo užtikrinti, kad ES prekybos apsaugos priemonės tinka</w:t>
      </w:r>
      <w:r>
        <w:rPr>
          <w:noProof/>
        </w:rPr>
        <w:t>mai padėtų veiksmingiau ir efektyviau apsisaugoti nuo nevaldomo ir žalingo dempingo bei subsidijavimo. Pirmą kartą nuo 2002 m. Komisija inicijavo plieno gaminių apsaugos priemonių tyrimą ir atitinkamai nustatė priemones. Kaip matyti iš šios ataskaitos, Kom</w:t>
      </w:r>
      <w:r>
        <w:rPr>
          <w:noProof/>
        </w:rPr>
        <w:t>isijos veiksmingas, tvirtas ir subalansuotas požiūris leido užtikrinti ES darbo vietų apsaugą. Be to, tai buvo stiprus atsakas į augantį kai kurių prekybos partnerių protekcionizmą; kartu Komisija pertvarkė savo prekybos apsaugos priemonių sistemą, kad ate</w:t>
      </w:r>
      <w:r>
        <w:rPr>
          <w:noProof/>
        </w:rPr>
        <w:t xml:space="preserve">ityje ji veiktų dar veiksmingiau. </w:t>
      </w:r>
    </w:p>
    <w:p w:rsidR="00466FA3" w:rsidRDefault="000E0F36">
      <w:pPr>
        <w:pStyle w:val="Text1"/>
        <w:spacing w:after="240"/>
        <w:ind w:left="0"/>
        <w:rPr>
          <w:noProof/>
        </w:rPr>
      </w:pPr>
      <w:r>
        <w:rPr>
          <w:noProof/>
        </w:rPr>
        <w:t>Antra, šioje ataskaitoje aprašoma 2018 m. ES vykdyta antidempingo, antisubsidijų ir apsaugos priemonių srities veikla bei prieš Europos Sąjungą nukreipta trečiųjų šalių prekybos apsaugos veikla. Ši ataskaitos dalis pareng</w:t>
      </w:r>
      <w:r>
        <w:rPr>
          <w:noProof/>
        </w:rPr>
        <w:t>ta pagal pagrindinio antidempingo reglamento</w:t>
      </w:r>
      <w:r>
        <w:rPr>
          <w:rStyle w:val="FootnoteReference"/>
          <w:noProof/>
        </w:rPr>
        <w:footnoteReference w:id="2"/>
      </w:r>
      <w:r>
        <w:rPr>
          <w:noProof/>
        </w:rPr>
        <w:t xml:space="preserve"> 23 straipsnio, pagrindinio antisubsidijų reglamento</w:t>
      </w:r>
      <w:r>
        <w:rPr>
          <w:rStyle w:val="FootnoteReference"/>
          <w:noProof/>
        </w:rPr>
        <w:footnoteReference w:id="3"/>
      </w:r>
      <w:r>
        <w:rPr>
          <w:noProof/>
        </w:rPr>
        <w:t xml:space="preserve"> 34 straipsnio ir pagrindinio apsaugos priemonių reglamento</w:t>
      </w:r>
      <w:r>
        <w:rPr>
          <w:rStyle w:val="FootnoteReference"/>
          <w:noProof/>
        </w:rPr>
        <w:footnoteReference w:id="4"/>
      </w:r>
      <w:r>
        <w:rPr>
          <w:noProof/>
        </w:rPr>
        <w:t xml:space="preserve"> 23 straipsnio atnaujintas nuostatas. Prie šios ataskaitos, kaip ir ankstesniais metais, pridedama</w:t>
      </w:r>
      <w:r>
        <w:rPr>
          <w:noProof/>
        </w:rPr>
        <w:t xml:space="preserve">s Komisijos tarnybų darbinis dokumentas kartu su priedais, kuriuose pateikiama išsamesnės informacijos ir statistinių duomenų. </w:t>
      </w:r>
    </w:p>
    <w:p w:rsidR="00466FA3" w:rsidRDefault="000E0F36">
      <w:pPr>
        <w:pStyle w:val="Text1"/>
        <w:spacing w:after="240"/>
        <w:ind w:left="0"/>
        <w:rPr>
          <w:noProof/>
        </w:rPr>
      </w:pPr>
      <w:r>
        <w:rPr>
          <w:noProof/>
        </w:rPr>
        <w:t>2018 m. darbas su bylomis išliko intensyvus – buvo sprendžiama dėl priemonių nustatymo šešiose naujose bylose ir dėl priemonių n</w:t>
      </w:r>
      <w:r>
        <w:rPr>
          <w:noProof/>
        </w:rPr>
        <w:t xml:space="preserve">enustatymo aštuoniuose naujose bylose, o galiojančių priemonių peržiūros veikla buvo tokia pat intensyvi kaip ir 2017 m. </w:t>
      </w:r>
    </w:p>
    <w:p w:rsidR="00466FA3" w:rsidRDefault="000E0F36">
      <w:pPr>
        <w:pStyle w:val="Text1"/>
        <w:spacing w:after="240"/>
        <w:ind w:left="0"/>
        <w:rPr>
          <w:noProof/>
        </w:rPr>
      </w:pPr>
      <w:r>
        <w:rPr>
          <w:noProof/>
        </w:rPr>
        <w:t>Be to, 2018 metai taip pat buvo išskirtiniai dėl to, kad reikėjo, priklausomai nuo tyrimo inicijavimo datos, taikyti skirtingą prekybo</w:t>
      </w:r>
      <w:r>
        <w:rPr>
          <w:noProof/>
        </w:rPr>
        <w:t>s apsaugos priemonių taisyklę, o tai reiškia, kad vienu metu buvo taikomi trys taisyklių rinkiniai</w:t>
      </w:r>
      <w:r>
        <w:rPr>
          <w:rStyle w:val="FootnoteReference"/>
          <w:noProof/>
        </w:rPr>
        <w:footnoteReference w:id="5"/>
      </w:r>
      <w:r>
        <w:rPr>
          <w:noProof/>
        </w:rPr>
        <w:t xml:space="preserve">. </w:t>
      </w:r>
    </w:p>
    <w:p w:rsidR="00466FA3" w:rsidRDefault="000E0F36">
      <w:pPr>
        <w:pStyle w:val="Text1"/>
        <w:spacing w:after="240"/>
        <w:ind w:left="0"/>
        <w:rPr>
          <w:noProof/>
        </w:rPr>
      </w:pPr>
      <w:r>
        <w:rPr>
          <w:noProof/>
        </w:rPr>
        <w:t xml:space="preserve">Ši ataskaita ir prie jos pridedamas Komisijos tarnybų darbinis dokumentas viešai skelbiami adresu </w:t>
      </w:r>
      <w:hyperlink r:id="rId15">
        <w:r>
          <w:rPr>
            <w:noProof/>
            <w:u w:val="single"/>
          </w:rPr>
          <w:t>http://ec.europa.eu/trade/issues/respectrules/anti_dumping/legis/index_en.htm</w:t>
        </w:r>
      </w:hyperlink>
      <w:r>
        <w:rPr>
          <w:noProof/>
        </w:rPr>
        <w:t>.</w:t>
      </w:r>
    </w:p>
    <w:p w:rsidR="00466FA3" w:rsidRDefault="000E0F36">
      <w:pPr>
        <w:pStyle w:val="Text1"/>
        <w:spacing w:after="240"/>
        <w:rPr>
          <w:rFonts w:ascii="Arial" w:hAnsi="Arial" w:cs="Arial"/>
          <w:noProof/>
          <w:sz w:val="20"/>
          <w:szCs w:val="20"/>
        </w:rPr>
      </w:pPr>
      <w:r>
        <w:rPr>
          <w:noProof/>
        </w:rPr>
        <w:br w:type="page"/>
      </w:r>
    </w:p>
    <w:p w:rsidR="00466FA3" w:rsidRDefault="000E0F36">
      <w:pPr>
        <w:pStyle w:val="ManualNumPar1"/>
        <w:spacing w:before="0" w:after="240"/>
        <w:ind w:left="851" w:hanging="851"/>
        <w:rPr>
          <w:b/>
          <w:bCs/>
          <w:smallCaps/>
          <w:noProof/>
          <w:sz w:val="26"/>
          <w:szCs w:val="26"/>
        </w:rPr>
      </w:pPr>
      <w:r>
        <w:rPr>
          <w:b/>
          <w:smallCaps/>
          <w:noProof/>
          <w:sz w:val="26"/>
        </w:rPr>
        <w:t>I.</w:t>
      </w:r>
      <w:r>
        <w:rPr>
          <w:noProof/>
        </w:rPr>
        <w:tab/>
      </w:r>
      <w:r>
        <w:rPr>
          <w:b/>
          <w:smallCaps/>
          <w:noProof/>
          <w:sz w:val="26"/>
        </w:rPr>
        <w:t>J.-C. Junckerio vadovaujamos Komisijos pasiekti rezultatai</w:t>
      </w:r>
    </w:p>
    <w:p w:rsidR="00466FA3" w:rsidRDefault="000E0F36">
      <w:pPr>
        <w:pStyle w:val="Heading1"/>
        <w:numPr>
          <w:ilvl w:val="0"/>
          <w:numId w:val="0"/>
        </w:numPr>
        <w:spacing w:before="480"/>
        <w:ind w:left="851" w:hanging="851"/>
        <w:rPr>
          <w:noProof/>
        </w:rPr>
      </w:pPr>
      <w:r>
        <w:rPr>
          <w:noProof/>
        </w:rPr>
        <w:t>I.1.</w:t>
      </w:r>
      <w:r>
        <w:rPr>
          <w:noProof/>
        </w:rPr>
        <w:tab/>
        <w:t>ES prekybos apsaugos priemonių sistema taikoma veiksmingai – energi</w:t>
      </w:r>
      <w:r>
        <w:rPr>
          <w:noProof/>
        </w:rPr>
        <w:t xml:space="preserve">ngai ir pamatuotai </w:t>
      </w:r>
    </w:p>
    <w:p w:rsidR="00466FA3" w:rsidRDefault="000E0F36">
      <w:pPr>
        <w:pStyle w:val="Text2"/>
        <w:spacing w:after="240"/>
        <w:ind w:left="0"/>
        <w:rPr>
          <w:noProof/>
        </w:rPr>
      </w:pPr>
      <w:r>
        <w:rPr>
          <w:noProof/>
        </w:rPr>
        <w:t>Kad prekyba būtų laisva, ji turi būti sąžininga. ES prekybos apsauga yra ES veiksmų, kuriais išsaugomos sąžiningos prekybos sąlygos, pagrindas. Be to, šiuolaikinės prekybos apsaugos priemonės turėtų būti pritaikomos prie esamų ekonomiko</w:t>
      </w:r>
      <w:r>
        <w:rPr>
          <w:noProof/>
        </w:rPr>
        <w:t>s realijų ir turėtų būti naudojamos tik tiek, kiek tai būtina gaminių, kuriais prekiaujama nesąžiningai, žalingo importo poveikiui pašalinti. Vadovaujantis būtent tokia dvasia, Komisijos komunikate „Prekyba visiems“</w:t>
      </w:r>
      <w:r>
        <w:rPr>
          <w:rStyle w:val="FootnoteReference"/>
          <w:noProof/>
        </w:rPr>
        <w:footnoteReference w:id="6"/>
      </w:r>
      <w:r>
        <w:rPr>
          <w:noProof/>
        </w:rPr>
        <w:t xml:space="preserve"> buvo išdėstytas prioritetinis tikslas –</w:t>
      </w:r>
      <w:r>
        <w:rPr>
          <w:noProof/>
        </w:rPr>
        <w:t xml:space="preserve"> padidinti prekybos apsaugos priemonių veiksmingumą ir efektyvumą. </w:t>
      </w:r>
    </w:p>
    <w:p w:rsidR="00466FA3" w:rsidRDefault="000E0F36">
      <w:pPr>
        <w:pStyle w:val="Text2"/>
        <w:spacing w:after="240"/>
        <w:ind w:left="0"/>
        <w:rPr>
          <w:noProof/>
        </w:rPr>
      </w:pPr>
      <w:r>
        <w:rPr>
          <w:noProof/>
        </w:rPr>
        <w:t xml:space="preserve">Tai ypač svarbu atsižvelgiant į tai, kad visu savo įgaliojimų laikotarpiu J.-C. Junckerio vadovaujama Komisija nagrinėjo labai daug nesąžiningo importo bylų, iš kurių daugelis turėjo itin </w:t>
      </w:r>
      <w:r>
        <w:rPr>
          <w:noProof/>
        </w:rPr>
        <w:t>didelę reikšmę Europos ekonomikai. 2014 m. lapkričio mėn. – 2018 m. gruodžio mėn. laikotarpiu buvo inicijuota 170 bylų ir vienodoms sąlygoms atkurti buvo nustatytos 95 priemonės. Iš pastarųjų 35 priemonės yra naujos, o likusios yra atnaujintos arba išplėst</w:t>
      </w:r>
      <w:r>
        <w:rPr>
          <w:noProof/>
        </w:rPr>
        <w:t>os galiojančios priemonės.</w:t>
      </w:r>
    </w:p>
    <w:p w:rsidR="00466FA3" w:rsidRDefault="000E0F36">
      <w:pPr>
        <w:pStyle w:val="ListParagraph"/>
        <w:spacing w:after="240"/>
        <w:ind w:left="0"/>
        <w:jc w:val="both"/>
        <w:rPr>
          <w:noProof/>
        </w:rPr>
      </w:pPr>
      <w:r>
        <w:rPr>
          <w:noProof/>
        </w:rPr>
        <w:t xml:space="preserve">ES prekybos apsaugos priemonėmis saugomos darbo vietos, taigi, jos turi </w:t>
      </w:r>
      <w:r>
        <w:rPr>
          <w:b/>
          <w:noProof/>
        </w:rPr>
        <w:t>tiesioginį teigiamą poveikį</w:t>
      </w:r>
      <w:r>
        <w:rPr>
          <w:noProof/>
        </w:rPr>
        <w:t xml:space="preserve"> ES pramonės struktūrai ir ekonomikai: nuo Komisijos įgaliojimų pradžios ES prekybos apsaugos priemonėmis buvo faktiškai išsaugota daugiau kaip 124 000 darbo vietų</w:t>
      </w:r>
      <w:r>
        <w:rPr>
          <w:rStyle w:val="FootnoteReference"/>
          <w:noProof/>
        </w:rPr>
        <w:footnoteReference w:id="7"/>
      </w:r>
      <w:r>
        <w:rPr>
          <w:noProof/>
        </w:rPr>
        <w:t>. Daugiausia naudos turėjo plieno sektorius – buvo apsaugota daugiau kaip 86 000 darbo vietų</w:t>
      </w:r>
      <w:r>
        <w:rPr>
          <w:noProof/>
        </w:rPr>
        <w:t xml:space="preserve">. Apskritai 2018 m. pabaigoje galiojusiomis ES priemonėmis nuo nesąžiningos konkurencijos buvo faktiškai apsaugota 320 000 tiesioginių darbo vietų pramonėje. </w:t>
      </w:r>
    </w:p>
    <w:p w:rsidR="00466FA3" w:rsidRDefault="000E0F36">
      <w:pPr>
        <w:pStyle w:val="ListParagraph"/>
        <w:spacing w:after="240"/>
        <w:ind w:left="0"/>
        <w:jc w:val="both"/>
        <w:rPr>
          <w:noProof/>
        </w:rPr>
      </w:pPr>
      <w:r>
        <w:rPr>
          <w:noProof/>
        </w:rPr>
        <w:t>ES prekybos apsaugos priemonėmis mažiausiomis ekonominėmis sąnaudomis lengvinamos ES pramonės vei</w:t>
      </w:r>
      <w:r>
        <w:rPr>
          <w:noProof/>
        </w:rPr>
        <w:t xml:space="preserve">klos sąlygos. Iš tikrųjų, ES </w:t>
      </w:r>
      <w:r>
        <w:rPr>
          <w:b/>
          <w:noProof/>
        </w:rPr>
        <w:t>taikyti muitai</w:t>
      </w:r>
      <w:r>
        <w:rPr>
          <w:noProof/>
        </w:rPr>
        <w:t xml:space="preserve"> buvo mažesni negu kitų prekybos partnerių taikyti muitai. Pavyzdžiui, muitas plienui šiuo metu vidutiniškai sudaro 29–45 proc., o atitinkamas vidutinis Jungtinių Valstijų (JAV) taikomas muitas – 54–87 proc.</w:t>
      </w:r>
      <w:r>
        <w:rPr>
          <w:rStyle w:val="FootnoteReference"/>
          <w:noProof/>
        </w:rPr>
        <w:footnoteReference w:id="8"/>
      </w:r>
      <w:r>
        <w:rPr>
          <w:noProof/>
        </w:rPr>
        <w:t xml:space="preserve"> Vien</w:t>
      </w:r>
      <w:r>
        <w:rPr>
          <w:noProof/>
        </w:rPr>
        <w:t>a iš pagrindinių šių mažesnių vidutinių muitų taikymo Europos Sąjungoje priežasčių yra mažesnio muito taisyklė, pagal kurią turi būti pašalinamas arba nesąžiningos konkurencijos šaltinis (dempingo skirtumas), arba jo poveikis (žalos skirtumas), atsižvelgia</w:t>
      </w:r>
      <w:r>
        <w:rPr>
          <w:noProof/>
        </w:rPr>
        <w:t>nt į tai, kuris iš jų yra mažesnis</w:t>
      </w:r>
      <w:r>
        <w:rPr>
          <w:rStyle w:val="FootnoteReference"/>
          <w:noProof/>
        </w:rPr>
        <w:footnoteReference w:id="9"/>
      </w:r>
      <w:r>
        <w:rPr>
          <w:noProof/>
        </w:rPr>
        <w:t>. Be to, Komisija tyrimus inicijuoja tik tada, kai jie yra būtini. Komisija, prieš nustatydama taisomąsias priemones, taip pat intensyviai aiškinasi, ar prekybos apsaugos priemonės neprieštarauja visos ES ekonominiams int</w:t>
      </w:r>
      <w:r>
        <w:rPr>
          <w:noProof/>
        </w:rPr>
        <w:t>eresams.</w:t>
      </w:r>
    </w:p>
    <w:p w:rsidR="00466FA3" w:rsidRDefault="000E0F36">
      <w:pPr>
        <w:pStyle w:val="ListParagraph"/>
        <w:spacing w:after="240"/>
        <w:ind w:left="0"/>
        <w:jc w:val="both"/>
        <w:rPr>
          <w:noProof/>
        </w:rPr>
      </w:pPr>
      <w:r>
        <w:rPr>
          <w:noProof/>
        </w:rPr>
        <w:t xml:space="preserve">ES prekybos apsaugos priemonės turi </w:t>
      </w:r>
      <w:r>
        <w:rPr>
          <w:b/>
          <w:noProof/>
        </w:rPr>
        <w:t>didelį taisomąjį poveikį</w:t>
      </w:r>
      <w:r>
        <w:rPr>
          <w:noProof/>
        </w:rPr>
        <w:t>: dažniausiai dar tyrimo metu ir, žinoma, po priemonių nustatymo importas dempingo kaina arba subsidijuojamas importas gerokai sumažėja. Toliau pateiktoje lentelėje nurodytos galiojančios</w:t>
      </w:r>
      <w:r>
        <w:rPr>
          <w:noProof/>
        </w:rPr>
        <w:t xml:space="preserve"> ES priemonės ir jų poveikis: </w:t>
      </w:r>
    </w:p>
    <w:tbl>
      <w:tblPr>
        <w:tblW w:w="8613" w:type="dxa"/>
        <w:jc w:val="center"/>
        <w:tblLook w:val="04A0" w:firstRow="1" w:lastRow="0" w:firstColumn="1" w:lastColumn="0" w:noHBand="0" w:noVBand="1"/>
      </w:tblPr>
      <w:tblGrid>
        <w:gridCol w:w="3599"/>
        <w:gridCol w:w="1788"/>
        <w:gridCol w:w="3226"/>
      </w:tblGrid>
      <w:tr w:rsidR="00466FA3">
        <w:trPr>
          <w:trHeight w:val="661"/>
          <w:jc w:val="center"/>
        </w:trPr>
        <w:tc>
          <w:tcPr>
            <w:tcW w:w="3599" w:type="dxa"/>
            <w:tcBorders>
              <w:top w:val="single" w:sz="4" w:space="0" w:color="auto"/>
              <w:left w:val="single" w:sz="4" w:space="0" w:color="auto"/>
              <w:bottom w:val="single" w:sz="4" w:space="0" w:color="auto"/>
              <w:right w:val="single" w:sz="4" w:space="0" w:color="auto"/>
            </w:tcBorders>
            <w:shd w:val="clear" w:color="000000" w:fill="5B9BD5"/>
            <w:vAlign w:val="center"/>
            <w:hideMark/>
          </w:tcPr>
          <w:p w:rsidR="00466FA3" w:rsidRDefault="000E0F36">
            <w:pPr>
              <w:jc w:val="center"/>
              <w:rPr>
                <w:rFonts w:asciiTheme="minorHAnsi" w:hAnsiTheme="minorHAnsi" w:cstheme="minorHAnsi"/>
                <w:noProof/>
                <w:color w:val="FFFFFF"/>
                <w:sz w:val="20"/>
                <w:szCs w:val="20"/>
              </w:rPr>
            </w:pPr>
            <w:r>
              <w:rPr>
                <w:rFonts w:asciiTheme="minorHAnsi" w:hAnsiTheme="minorHAnsi" w:cstheme="minorHAnsi"/>
                <w:noProof/>
                <w:color w:val="FFFFFF"/>
                <w:sz w:val="20"/>
              </w:rPr>
              <w:t>Produktas, kuriam taikomos priemonės</w:t>
            </w:r>
          </w:p>
        </w:tc>
        <w:tc>
          <w:tcPr>
            <w:tcW w:w="1788" w:type="dxa"/>
            <w:tcBorders>
              <w:top w:val="single" w:sz="4" w:space="0" w:color="auto"/>
              <w:left w:val="nil"/>
              <w:bottom w:val="single" w:sz="4" w:space="0" w:color="auto"/>
              <w:right w:val="single" w:sz="4" w:space="0" w:color="auto"/>
            </w:tcBorders>
            <w:shd w:val="clear" w:color="000000" w:fill="5B9BD5"/>
            <w:vAlign w:val="center"/>
            <w:hideMark/>
          </w:tcPr>
          <w:p w:rsidR="00466FA3" w:rsidRDefault="000E0F36">
            <w:pPr>
              <w:jc w:val="center"/>
              <w:rPr>
                <w:rFonts w:asciiTheme="minorHAnsi" w:hAnsiTheme="minorHAnsi" w:cstheme="minorHAnsi"/>
                <w:noProof/>
                <w:color w:val="FFFFFF"/>
                <w:sz w:val="20"/>
                <w:szCs w:val="20"/>
              </w:rPr>
            </w:pPr>
            <w:r>
              <w:rPr>
                <w:rFonts w:asciiTheme="minorHAnsi" w:hAnsiTheme="minorHAnsi" w:cstheme="minorHAnsi"/>
                <w:noProof/>
                <w:color w:val="FFFFFF"/>
                <w:sz w:val="20"/>
              </w:rPr>
              <w:t>Kilmės šalis</w:t>
            </w:r>
          </w:p>
        </w:tc>
        <w:tc>
          <w:tcPr>
            <w:tcW w:w="3226" w:type="dxa"/>
            <w:tcBorders>
              <w:top w:val="single" w:sz="4" w:space="0" w:color="auto"/>
              <w:left w:val="nil"/>
              <w:bottom w:val="single" w:sz="4" w:space="0" w:color="auto"/>
              <w:right w:val="single" w:sz="4" w:space="0" w:color="auto"/>
            </w:tcBorders>
            <w:shd w:val="clear" w:color="000000" w:fill="5B9BD5"/>
            <w:vAlign w:val="center"/>
            <w:hideMark/>
          </w:tcPr>
          <w:p w:rsidR="00466FA3" w:rsidRDefault="000E0F36">
            <w:pPr>
              <w:jc w:val="center"/>
              <w:rPr>
                <w:rFonts w:asciiTheme="minorHAnsi" w:hAnsiTheme="minorHAnsi" w:cstheme="minorHAnsi"/>
                <w:noProof/>
                <w:color w:val="FFFFFF"/>
                <w:sz w:val="20"/>
                <w:szCs w:val="20"/>
              </w:rPr>
            </w:pPr>
            <w:r>
              <w:rPr>
                <w:rFonts w:asciiTheme="minorHAnsi" w:hAnsiTheme="minorHAnsi" w:cstheme="minorHAnsi"/>
                <w:noProof/>
                <w:color w:val="FFFFFF"/>
                <w:sz w:val="20"/>
              </w:rPr>
              <w:t xml:space="preserve">Importo dempingo kaina arba subsidijuojamo importo iš atitinkamų kilmės šalių sumažėjimas po priemonių nustatymo </w:t>
            </w:r>
          </w:p>
          <w:p w:rsidR="00466FA3" w:rsidRDefault="000E0F36">
            <w:pPr>
              <w:jc w:val="center"/>
              <w:rPr>
                <w:rFonts w:asciiTheme="minorHAnsi" w:hAnsiTheme="minorHAnsi" w:cstheme="minorHAnsi"/>
                <w:noProof/>
                <w:color w:val="FFFFFF"/>
                <w:sz w:val="20"/>
                <w:szCs w:val="20"/>
              </w:rPr>
            </w:pPr>
            <w:r>
              <w:rPr>
                <w:rFonts w:asciiTheme="minorHAnsi" w:hAnsiTheme="minorHAnsi" w:cstheme="minorHAnsi"/>
                <w:noProof/>
                <w:color w:val="FFFFFF"/>
                <w:sz w:val="20"/>
              </w:rPr>
              <w:t>(naujausi importo duomenys, palyginti su importo pradiniu tir</w:t>
            </w:r>
            <w:r>
              <w:rPr>
                <w:rFonts w:asciiTheme="minorHAnsi" w:hAnsiTheme="minorHAnsi" w:cstheme="minorHAnsi"/>
                <w:noProof/>
                <w:color w:val="FFFFFF"/>
                <w:sz w:val="20"/>
              </w:rPr>
              <w:t>iamuoju laikotarpiu (TL) duomenimis)</w:t>
            </w:r>
            <w:r>
              <w:rPr>
                <w:rFonts w:asciiTheme="minorHAnsi" w:hAnsiTheme="minorHAnsi" w:cstheme="minorHAnsi"/>
                <w:noProof/>
                <w:color w:val="FFFFFF"/>
                <w:sz w:val="20"/>
                <w:vertAlign w:val="superscript"/>
              </w:rPr>
              <w:footnoteReference w:id="10"/>
            </w:r>
          </w:p>
        </w:tc>
      </w:tr>
      <w:tr w:rsidR="00466FA3">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hideMark/>
          </w:tcPr>
          <w:p w:rsidR="00466FA3" w:rsidRDefault="000E0F36">
            <w:pPr>
              <w:rPr>
                <w:rFonts w:asciiTheme="minorHAnsi" w:hAnsiTheme="minorHAnsi" w:cstheme="minorHAnsi"/>
                <w:noProof/>
                <w:sz w:val="22"/>
                <w:szCs w:val="22"/>
              </w:rPr>
            </w:pPr>
            <w:r>
              <w:rPr>
                <w:rFonts w:asciiTheme="minorHAnsi" w:hAnsiTheme="minorHAnsi" w:cstheme="minorHAnsi"/>
                <w:noProof/>
                <w:sz w:val="22"/>
              </w:rPr>
              <w:t>Aliumininiai radiatoriai</w:t>
            </w:r>
          </w:p>
        </w:tc>
        <w:tc>
          <w:tcPr>
            <w:tcW w:w="1788" w:type="dxa"/>
            <w:tcBorders>
              <w:top w:val="nil"/>
              <w:left w:val="nil"/>
              <w:bottom w:val="single" w:sz="4" w:space="0" w:color="auto"/>
              <w:right w:val="single" w:sz="4" w:space="0" w:color="auto"/>
            </w:tcBorders>
            <w:shd w:val="clear" w:color="auto" w:fill="auto"/>
            <w:noWrap/>
            <w:vAlign w:val="center"/>
            <w:hideMark/>
          </w:tcPr>
          <w:p w:rsidR="00466FA3" w:rsidRDefault="000E0F36">
            <w:pPr>
              <w:jc w:val="center"/>
              <w:rPr>
                <w:rFonts w:asciiTheme="minorHAnsi" w:hAnsiTheme="minorHAnsi" w:cstheme="minorHAnsi"/>
                <w:noProof/>
                <w:sz w:val="22"/>
                <w:szCs w:val="22"/>
              </w:rPr>
            </w:pPr>
            <w:r>
              <w:rPr>
                <w:rFonts w:asciiTheme="minorHAnsi" w:hAnsiTheme="minorHAnsi" w:cstheme="minorHAnsi"/>
                <w:noProof/>
                <w:sz w:val="22"/>
              </w:rPr>
              <w:t>Kinijos Liaudies Respublika</w:t>
            </w:r>
          </w:p>
        </w:tc>
        <w:tc>
          <w:tcPr>
            <w:tcW w:w="3226" w:type="dxa"/>
            <w:tcBorders>
              <w:top w:val="nil"/>
              <w:left w:val="nil"/>
              <w:bottom w:val="single" w:sz="4" w:space="0" w:color="auto"/>
              <w:right w:val="single" w:sz="4" w:space="0" w:color="auto"/>
            </w:tcBorders>
            <w:shd w:val="clear" w:color="auto" w:fill="auto"/>
            <w:noWrap/>
            <w:vAlign w:val="center"/>
            <w:hideMark/>
          </w:tcPr>
          <w:p w:rsidR="00466FA3" w:rsidRDefault="000E0F36">
            <w:pPr>
              <w:jc w:val="center"/>
              <w:rPr>
                <w:rFonts w:asciiTheme="minorHAnsi" w:hAnsiTheme="minorHAnsi" w:cstheme="minorHAnsi"/>
                <w:noProof/>
                <w:sz w:val="22"/>
                <w:szCs w:val="22"/>
              </w:rPr>
            </w:pPr>
            <w:r>
              <w:rPr>
                <w:rFonts w:asciiTheme="minorHAnsi" w:hAnsiTheme="minorHAnsi" w:cstheme="minorHAnsi"/>
                <w:noProof/>
                <w:sz w:val="22"/>
              </w:rPr>
              <w:t>−98 %</w:t>
            </w:r>
          </w:p>
        </w:tc>
      </w:tr>
      <w:tr w:rsidR="00466FA3">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hideMark/>
          </w:tcPr>
          <w:p w:rsidR="00466FA3" w:rsidRDefault="000E0F36">
            <w:pPr>
              <w:rPr>
                <w:rFonts w:asciiTheme="minorHAnsi" w:hAnsiTheme="minorHAnsi" w:cstheme="minorHAnsi"/>
                <w:noProof/>
                <w:sz w:val="22"/>
                <w:szCs w:val="22"/>
              </w:rPr>
            </w:pPr>
            <w:r>
              <w:rPr>
                <w:rFonts w:asciiTheme="minorHAnsi" w:hAnsiTheme="minorHAnsi" w:cstheme="minorHAnsi"/>
                <w:noProof/>
                <w:sz w:val="22"/>
              </w:rPr>
              <w:t>Ratai su ratlankiais iš aliuminio</w:t>
            </w:r>
          </w:p>
        </w:tc>
        <w:tc>
          <w:tcPr>
            <w:tcW w:w="1788" w:type="dxa"/>
            <w:tcBorders>
              <w:top w:val="nil"/>
              <w:left w:val="nil"/>
              <w:bottom w:val="single" w:sz="4" w:space="0" w:color="auto"/>
              <w:right w:val="single" w:sz="4" w:space="0" w:color="auto"/>
            </w:tcBorders>
            <w:shd w:val="clear" w:color="auto" w:fill="auto"/>
            <w:noWrap/>
            <w:vAlign w:val="center"/>
            <w:hideMark/>
          </w:tcPr>
          <w:p w:rsidR="00466FA3" w:rsidRDefault="000E0F36">
            <w:pPr>
              <w:jc w:val="center"/>
              <w:rPr>
                <w:rFonts w:asciiTheme="minorHAnsi" w:hAnsiTheme="minorHAnsi" w:cstheme="minorHAnsi"/>
                <w:noProof/>
                <w:sz w:val="22"/>
                <w:szCs w:val="22"/>
              </w:rPr>
            </w:pPr>
            <w:r>
              <w:rPr>
                <w:rFonts w:asciiTheme="minorHAnsi" w:hAnsiTheme="minorHAnsi" w:cstheme="minorHAnsi"/>
                <w:noProof/>
                <w:sz w:val="22"/>
              </w:rPr>
              <w:t>Kinijos Liaudies Respublika</w:t>
            </w:r>
          </w:p>
        </w:tc>
        <w:tc>
          <w:tcPr>
            <w:tcW w:w="3226" w:type="dxa"/>
            <w:tcBorders>
              <w:top w:val="nil"/>
              <w:left w:val="nil"/>
              <w:bottom w:val="single" w:sz="4" w:space="0" w:color="auto"/>
              <w:right w:val="single" w:sz="4" w:space="0" w:color="auto"/>
            </w:tcBorders>
            <w:shd w:val="clear" w:color="auto" w:fill="auto"/>
            <w:noWrap/>
            <w:vAlign w:val="center"/>
            <w:hideMark/>
          </w:tcPr>
          <w:p w:rsidR="00466FA3" w:rsidRDefault="000E0F36">
            <w:pPr>
              <w:jc w:val="center"/>
              <w:rPr>
                <w:rFonts w:asciiTheme="minorHAnsi" w:hAnsiTheme="minorHAnsi" w:cstheme="minorHAnsi"/>
                <w:noProof/>
                <w:sz w:val="22"/>
                <w:szCs w:val="22"/>
              </w:rPr>
            </w:pPr>
            <w:r>
              <w:rPr>
                <w:rFonts w:asciiTheme="minorHAnsi" w:hAnsiTheme="minorHAnsi" w:cstheme="minorHAnsi"/>
                <w:noProof/>
                <w:sz w:val="22"/>
              </w:rPr>
              <w:t>−38 %</w:t>
            </w:r>
          </w:p>
        </w:tc>
      </w:tr>
      <w:tr w:rsidR="00466FA3">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hideMark/>
          </w:tcPr>
          <w:p w:rsidR="00466FA3" w:rsidRDefault="000E0F36">
            <w:pPr>
              <w:rPr>
                <w:rFonts w:asciiTheme="minorHAnsi" w:hAnsiTheme="minorHAnsi" w:cstheme="minorHAnsi"/>
                <w:noProof/>
                <w:sz w:val="22"/>
                <w:szCs w:val="22"/>
              </w:rPr>
            </w:pPr>
            <w:r>
              <w:rPr>
                <w:rFonts w:asciiTheme="minorHAnsi" w:hAnsiTheme="minorHAnsi" w:cstheme="minorHAnsi"/>
                <w:noProof/>
                <w:sz w:val="22"/>
              </w:rPr>
              <w:t>Keraminiai stalo ir virtuvės reikmenys</w:t>
            </w:r>
          </w:p>
        </w:tc>
        <w:tc>
          <w:tcPr>
            <w:tcW w:w="1788" w:type="dxa"/>
            <w:tcBorders>
              <w:top w:val="nil"/>
              <w:left w:val="nil"/>
              <w:bottom w:val="single" w:sz="4" w:space="0" w:color="auto"/>
              <w:right w:val="single" w:sz="4" w:space="0" w:color="auto"/>
            </w:tcBorders>
            <w:shd w:val="clear" w:color="auto" w:fill="auto"/>
            <w:noWrap/>
            <w:vAlign w:val="center"/>
            <w:hideMark/>
          </w:tcPr>
          <w:p w:rsidR="00466FA3" w:rsidRDefault="000E0F36">
            <w:pPr>
              <w:jc w:val="center"/>
              <w:rPr>
                <w:rFonts w:asciiTheme="minorHAnsi" w:hAnsiTheme="minorHAnsi" w:cstheme="minorHAnsi"/>
                <w:noProof/>
                <w:sz w:val="22"/>
                <w:szCs w:val="22"/>
              </w:rPr>
            </w:pPr>
            <w:r>
              <w:rPr>
                <w:rFonts w:asciiTheme="minorHAnsi" w:hAnsiTheme="minorHAnsi" w:cstheme="minorHAnsi"/>
                <w:noProof/>
                <w:sz w:val="22"/>
              </w:rPr>
              <w:t>Kinijos Liaudies Respublika</w:t>
            </w:r>
          </w:p>
        </w:tc>
        <w:tc>
          <w:tcPr>
            <w:tcW w:w="3226" w:type="dxa"/>
            <w:tcBorders>
              <w:top w:val="nil"/>
              <w:left w:val="nil"/>
              <w:bottom w:val="single" w:sz="4" w:space="0" w:color="auto"/>
              <w:right w:val="single" w:sz="4" w:space="0" w:color="auto"/>
            </w:tcBorders>
            <w:shd w:val="clear" w:color="auto" w:fill="auto"/>
            <w:noWrap/>
            <w:vAlign w:val="center"/>
            <w:hideMark/>
          </w:tcPr>
          <w:p w:rsidR="00466FA3" w:rsidRDefault="000E0F36">
            <w:pPr>
              <w:jc w:val="center"/>
              <w:rPr>
                <w:rFonts w:asciiTheme="minorHAnsi" w:hAnsiTheme="minorHAnsi" w:cstheme="minorHAnsi"/>
                <w:noProof/>
                <w:sz w:val="22"/>
                <w:szCs w:val="22"/>
              </w:rPr>
            </w:pPr>
            <w:r>
              <w:rPr>
                <w:rFonts w:asciiTheme="minorHAnsi" w:hAnsiTheme="minorHAnsi" w:cstheme="minorHAnsi"/>
                <w:noProof/>
                <w:sz w:val="22"/>
              </w:rPr>
              <w:t>−28 %</w:t>
            </w:r>
          </w:p>
        </w:tc>
      </w:tr>
      <w:tr w:rsidR="00466FA3">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hideMark/>
          </w:tcPr>
          <w:p w:rsidR="00466FA3" w:rsidRDefault="000E0F36">
            <w:pPr>
              <w:rPr>
                <w:rFonts w:asciiTheme="minorHAnsi" w:hAnsiTheme="minorHAnsi" w:cstheme="minorHAnsi"/>
                <w:noProof/>
                <w:sz w:val="22"/>
                <w:szCs w:val="22"/>
              </w:rPr>
            </w:pPr>
            <w:r>
              <w:rPr>
                <w:rFonts w:asciiTheme="minorHAnsi" w:hAnsiTheme="minorHAnsi" w:cstheme="minorHAnsi"/>
                <w:noProof/>
                <w:sz w:val="22"/>
              </w:rPr>
              <w:t xml:space="preserve">Keraminės </w:t>
            </w:r>
            <w:r>
              <w:rPr>
                <w:rFonts w:asciiTheme="minorHAnsi" w:hAnsiTheme="minorHAnsi" w:cstheme="minorHAnsi"/>
                <w:noProof/>
                <w:sz w:val="22"/>
              </w:rPr>
              <w:t>plytelės</w:t>
            </w:r>
          </w:p>
        </w:tc>
        <w:tc>
          <w:tcPr>
            <w:tcW w:w="1788" w:type="dxa"/>
            <w:tcBorders>
              <w:top w:val="nil"/>
              <w:left w:val="nil"/>
              <w:bottom w:val="single" w:sz="4" w:space="0" w:color="auto"/>
              <w:right w:val="single" w:sz="4" w:space="0" w:color="auto"/>
            </w:tcBorders>
            <w:shd w:val="clear" w:color="auto" w:fill="auto"/>
            <w:noWrap/>
            <w:vAlign w:val="center"/>
            <w:hideMark/>
          </w:tcPr>
          <w:p w:rsidR="00466FA3" w:rsidRDefault="000E0F36">
            <w:pPr>
              <w:jc w:val="center"/>
              <w:rPr>
                <w:rFonts w:asciiTheme="minorHAnsi" w:hAnsiTheme="minorHAnsi" w:cstheme="minorHAnsi"/>
                <w:noProof/>
                <w:sz w:val="22"/>
                <w:szCs w:val="22"/>
              </w:rPr>
            </w:pPr>
            <w:r>
              <w:rPr>
                <w:rFonts w:asciiTheme="minorHAnsi" w:hAnsiTheme="minorHAnsi" w:cstheme="minorHAnsi"/>
                <w:noProof/>
                <w:sz w:val="22"/>
              </w:rPr>
              <w:t>Kinijos Liaudies Respublika</w:t>
            </w:r>
          </w:p>
        </w:tc>
        <w:tc>
          <w:tcPr>
            <w:tcW w:w="3226" w:type="dxa"/>
            <w:tcBorders>
              <w:top w:val="nil"/>
              <w:left w:val="nil"/>
              <w:bottom w:val="single" w:sz="4" w:space="0" w:color="auto"/>
              <w:right w:val="single" w:sz="4" w:space="0" w:color="auto"/>
            </w:tcBorders>
            <w:shd w:val="clear" w:color="auto" w:fill="auto"/>
            <w:noWrap/>
            <w:vAlign w:val="center"/>
            <w:hideMark/>
          </w:tcPr>
          <w:p w:rsidR="00466FA3" w:rsidRDefault="000E0F36">
            <w:pPr>
              <w:jc w:val="center"/>
              <w:rPr>
                <w:rFonts w:asciiTheme="minorHAnsi" w:hAnsiTheme="minorHAnsi" w:cstheme="minorHAnsi"/>
                <w:noProof/>
                <w:sz w:val="22"/>
                <w:szCs w:val="22"/>
              </w:rPr>
            </w:pPr>
            <w:r>
              <w:rPr>
                <w:rFonts w:asciiTheme="minorHAnsi" w:hAnsiTheme="minorHAnsi" w:cstheme="minorHAnsi"/>
                <w:noProof/>
                <w:sz w:val="22"/>
              </w:rPr>
              <w:t>−84 %</w:t>
            </w:r>
          </w:p>
        </w:tc>
      </w:tr>
      <w:tr w:rsidR="00466FA3">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hideMark/>
          </w:tcPr>
          <w:p w:rsidR="00466FA3" w:rsidRDefault="000E0F36">
            <w:pPr>
              <w:rPr>
                <w:rFonts w:asciiTheme="minorHAnsi" w:hAnsiTheme="minorHAnsi" w:cstheme="minorHAnsi"/>
                <w:noProof/>
                <w:sz w:val="22"/>
                <w:szCs w:val="22"/>
              </w:rPr>
            </w:pPr>
            <w:r>
              <w:rPr>
                <w:rFonts w:asciiTheme="minorHAnsi" w:hAnsiTheme="minorHAnsi" w:cstheme="minorHAnsi"/>
                <w:noProof/>
                <w:sz w:val="22"/>
              </w:rPr>
              <w:t>Plonas kreidinis popierius</w:t>
            </w:r>
          </w:p>
        </w:tc>
        <w:tc>
          <w:tcPr>
            <w:tcW w:w="1788" w:type="dxa"/>
            <w:tcBorders>
              <w:top w:val="nil"/>
              <w:left w:val="nil"/>
              <w:bottom w:val="single" w:sz="4" w:space="0" w:color="auto"/>
              <w:right w:val="single" w:sz="4" w:space="0" w:color="auto"/>
            </w:tcBorders>
            <w:shd w:val="clear" w:color="auto" w:fill="auto"/>
            <w:noWrap/>
            <w:vAlign w:val="center"/>
            <w:hideMark/>
          </w:tcPr>
          <w:p w:rsidR="00466FA3" w:rsidRDefault="000E0F36">
            <w:pPr>
              <w:jc w:val="center"/>
              <w:rPr>
                <w:rFonts w:asciiTheme="minorHAnsi" w:hAnsiTheme="minorHAnsi" w:cstheme="minorHAnsi"/>
                <w:noProof/>
                <w:sz w:val="22"/>
                <w:szCs w:val="22"/>
              </w:rPr>
            </w:pPr>
            <w:r>
              <w:rPr>
                <w:rFonts w:asciiTheme="minorHAnsi" w:hAnsiTheme="minorHAnsi" w:cstheme="minorHAnsi"/>
                <w:noProof/>
                <w:sz w:val="22"/>
              </w:rPr>
              <w:t>Kinijos Liaudies Respublika</w:t>
            </w:r>
          </w:p>
        </w:tc>
        <w:tc>
          <w:tcPr>
            <w:tcW w:w="3226" w:type="dxa"/>
            <w:tcBorders>
              <w:top w:val="nil"/>
              <w:left w:val="nil"/>
              <w:bottom w:val="single" w:sz="4" w:space="0" w:color="auto"/>
              <w:right w:val="single" w:sz="4" w:space="0" w:color="auto"/>
            </w:tcBorders>
            <w:shd w:val="clear" w:color="auto" w:fill="auto"/>
            <w:noWrap/>
            <w:vAlign w:val="center"/>
            <w:hideMark/>
          </w:tcPr>
          <w:p w:rsidR="00466FA3" w:rsidRDefault="000E0F36">
            <w:pPr>
              <w:jc w:val="center"/>
              <w:rPr>
                <w:rFonts w:asciiTheme="minorHAnsi" w:hAnsiTheme="minorHAnsi" w:cstheme="minorHAnsi"/>
                <w:noProof/>
                <w:sz w:val="22"/>
                <w:szCs w:val="22"/>
              </w:rPr>
            </w:pPr>
            <w:r>
              <w:rPr>
                <w:rFonts w:asciiTheme="minorHAnsi" w:hAnsiTheme="minorHAnsi" w:cstheme="minorHAnsi"/>
                <w:noProof/>
                <w:sz w:val="22"/>
              </w:rPr>
              <w:t>−99 %</w:t>
            </w:r>
          </w:p>
        </w:tc>
      </w:tr>
      <w:tr w:rsidR="00466FA3">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hideMark/>
          </w:tcPr>
          <w:p w:rsidR="00466FA3" w:rsidRDefault="000E0F36">
            <w:pPr>
              <w:rPr>
                <w:rFonts w:asciiTheme="minorHAnsi" w:hAnsiTheme="minorHAnsi" w:cstheme="minorHAnsi"/>
                <w:noProof/>
                <w:sz w:val="22"/>
                <w:szCs w:val="22"/>
              </w:rPr>
            </w:pPr>
            <w:r>
              <w:rPr>
                <w:rFonts w:asciiTheme="minorHAnsi" w:hAnsiTheme="minorHAnsi" w:cstheme="minorHAnsi"/>
                <w:noProof/>
                <w:sz w:val="22"/>
              </w:rPr>
              <w:t>Naujos ir restauruotos autobusų arba sunkvežimių padangos</w:t>
            </w:r>
          </w:p>
        </w:tc>
        <w:tc>
          <w:tcPr>
            <w:tcW w:w="1788" w:type="dxa"/>
            <w:tcBorders>
              <w:top w:val="nil"/>
              <w:left w:val="nil"/>
              <w:bottom w:val="single" w:sz="4" w:space="0" w:color="auto"/>
              <w:right w:val="single" w:sz="4" w:space="0" w:color="auto"/>
            </w:tcBorders>
            <w:shd w:val="clear" w:color="auto" w:fill="auto"/>
            <w:noWrap/>
            <w:vAlign w:val="center"/>
            <w:hideMark/>
          </w:tcPr>
          <w:p w:rsidR="00466FA3" w:rsidRDefault="000E0F36">
            <w:pPr>
              <w:jc w:val="center"/>
              <w:rPr>
                <w:rFonts w:asciiTheme="minorHAnsi" w:hAnsiTheme="minorHAnsi" w:cstheme="minorHAnsi"/>
                <w:noProof/>
                <w:sz w:val="22"/>
                <w:szCs w:val="22"/>
              </w:rPr>
            </w:pPr>
            <w:r>
              <w:rPr>
                <w:rFonts w:asciiTheme="minorHAnsi" w:hAnsiTheme="minorHAnsi" w:cstheme="minorHAnsi"/>
                <w:noProof/>
                <w:sz w:val="22"/>
              </w:rPr>
              <w:t>Kinijos Liaudies Respublika</w:t>
            </w:r>
          </w:p>
        </w:tc>
        <w:tc>
          <w:tcPr>
            <w:tcW w:w="3226" w:type="dxa"/>
            <w:tcBorders>
              <w:top w:val="nil"/>
              <w:left w:val="nil"/>
              <w:bottom w:val="single" w:sz="4" w:space="0" w:color="auto"/>
              <w:right w:val="single" w:sz="4" w:space="0" w:color="auto"/>
            </w:tcBorders>
            <w:shd w:val="clear" w:color="auto" w:fill="auto"/>
            <w:noWrap/>
            <w:vAlign w:val="center"/>
            <w:hideMark/>
          </w:tcPr>
          <w:p w:rsidR="00466FA3" w:rsidRDefault="000E0F36">
            <w:pPr>
              <w:jc w:val="center"/>
              <w:rPr>
                <w:rFonts w:asciiTheme="minorHAnsi" w:hAnsiTheme="minorHAnsi" w:cstheme="minorHAnsi"/>
                <w:noProof/>
                <w:sz w:val="22"/>
                <w:szCs w:val="22"/>
              </w:rPr>
            </w:pPr>
            <w:r>
              <w:rPr>
                <w:rFonts w:asciiTheme="minorHAnsi" w:hAnsiTheme="minorHAnsi" w:cstheme="minorHAnsi"/>
                <w:noProof/>
                <w:sz w:val="22"/>
              </w:rPr>
              <w:t>−81 %</w:t>
            </w:r>
          </w:p>
        </w:tc>
      </w:tr>
      <w:tr w:rsidR="00466FA3">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tcPr>
          <w:p w:rsidR="00466FA3" w:rsidRDefault="000E0F36">
            <w:pPr>
              <w:rPr>
                <w:rFonts w:asciiTheme="minorHAnsi" w:hAnsiTheme="minorHAnsi" w:cstheme="minorHAnsi"/>
                <w:noProof/>
                <w:sz w:val="22"/>
                <w:szCs w:val="22"/>
              </w:rPr>
            </w:pPr>
            <w:r>
              <w:rPr>
                <w:rFonts w:asciiTheme="minorHAnsi" w:hAnsiTheme="minorHAnsi" w:cstheme="minorHAnsi"/>
                <w:noProof/>
                <w:sz w:val="22"/>
              </w:rPr>
              <w:t>Plieno gaminiai (visos priemonės)</w:t>
            </w:r>
          </w:p>
        </w:tc>
        <w:tc>
          <w:tcPr>
            <w:tcW w:w="1788" w:type="dxa"/>
            <w:tcBorders>
              <w:top w:val="nil"/>
              <w:left w:val="nil"/>
              <w:bottom w:val="single" w:sz="4" w:space="0" w:color="auto"/>
              <w:right w:val="single" w:sz="4" w:space="0" w:color="auto"/>
            </w:tcBorders>
            <w:shd w:val="clear" w:color="auto" w:fill="auto"/>
            <w:noWrap/>
            <w:vAlign w:val="center"/>
          </w:tcPr>
          <w:p w:rsidR="00466FA3" w:rsidRDefault="000E0F36">
            <w:pPr>
              <w:jc w:val="center"/>
              <w:rPr>
                <w:rFonts w:asciiTheme="minorHAnsi" w:hAnsiTheme="minorHAnsi" w:cstheme="minorHAnsi"/>
                <w:noProof/>
                <w:sz w:val="22"/>
                <w:szCs w:val="22"/>
              </w:rPr>
            </w:pPr>
            <w:r>
              <w:rPr>
                <w:rFonts w:asciiTheme="minorHAnsi" w:hAnsiTheme="minorHAnsi" w:cstheme="minorHAnsi"/>
                <w:noProof/>
                <w:sz w:val="22"/>
              </w:rPr>
              <w:t>Įvairios šalys</w:t>
            </w:r>
          </w:p>
        </w:tc>
        <w:tc>
          <w:tcPr>
            <w:tcW w:w="3226" w:type="dxa"/>
            <w:tcBorders>
              <w:top w:val="nil"/>
              <w:left w:val="nil"/>
              <w:bottom w:val="single" w:sz="4" w:space="0" w:color="auto"/>
              <w:right w:val="single" w:sz="4" w:space="0" w:color="auto"/>
            </w:tcBorders>
            <w:shd w:val="clear" w:color="auto" w:fill="auto"/>
            <w:noWrap/>
            <w:vAlign w:val="center"/>
          </w:tcPr>
          <w:p w:rsidR="00466FA3" w:rsidRDefault="000E0F36">
            <w:pPr>
              <w:jc w:val="center"/>
              <w:rPr>
                <w:rFonts w:asciiTheme="minorHAnsi" w:hAnsiTheme="minorHAnsi" w:cstheme="minorHAnsi"/>
                <w:noProof/>
                <w:sz w:val="22"/>
                <w:szCs w:val="22"/>
              </w:rPr>
            </w:pPr>
            <w:r>
              <w:rPr>
                <w:rFonts w:asciiTheme="minorHAnsi" w:hAnsiTheme="minorHAnsi" w:cstheme="minorHAnsi"/>
                <w:noProof/>
                <w:sz w:val="22"/>
              </w:rPr>
              <w:t xml:space="preserve">−70 % </w:t>
            </w:r>
          </w:p>
        </w:tc>
      </w:tr>
      <w:tr w:rsidR="00466FA3">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tcPr>
          <w:p w:rsidR="00466FA3" w:rsidRDefault="000E0F36">
            <w:pPr>
              <w:rPr>
                <w:rFonts w:asciiTheme="minorHAnsi" w:hAnsiTheme="minorHAnsi" w:cstheme="minorHAnsi"/>
                <w:noProof/>
                <w:sz w:val="22"/>
                <w:szCs w:val="22"/>
              </w:rPr>
            </w:pPr>
            <w:r>
              <w:rPr>
                <w:rFonts w:asciiTheme="minorHAnsi" w:hAnsiTheme="minorHAnsi" w:cstheme="minorHAnsi"/>
                <w:noProof/>
                <w:sz w:val="22"/>
              </w:rPr>
              <w:t>Plieno gaminiai (J.-C. Junckerio vadovaujamos Komisijos pradėtos bylos)</w:t>
            </w:r>
          </w:p>
        </w:tc>
        <w:tc>
          <w:tcPr>
            <w:tcW w:w="1788" w:type="dxa"/>
            <w:tcBorders>
              <w:top w:val="nil"/>
              <w:left w:val="nil"/>
              <w:bottom w:val="single" w:sz="4" w:space="0" w:color="auto"/>
              <w:right w:val="single" w:sz="4" w:space="0" w:color="auto"/>
            </w:tcBorders>
            <w:shd w:val="clear" w:color="auto" w:fill="auto"/>
            <w:noWrap/>
            <w:vAlign w:val="center"/>
          </w:tcPr>
          <w:p w:rsidR="00466FA3" w:rsidRDefault="000E0F36">
            <w:pPr>
              <w:jc w:val="center"/>
              <w:rPr>
                <w:rFonts w:asciiTheme="minorHAnsi" w:hAnsiTheme="minorHAnsi" w:cstheme="minorHAnsi"/>
                <w:noProof/>
                <w:sz w:val="22"/>
                <w:szCs w:val="22"/>
              </w:rPr>
            </w:pPr>
            <w:r>
              <w:rPr>
                <w:rFonts w:asciiTheme="minorHAnsi" w:hAnsiTheme="minorHAnsi" w:cstheme="minorHAnsi"/>
                <w:noProof/>
                <w:sz w:val="22"/>
              </w:rPr>
              <w:t>Įvairios šalys</w:t>
            </w:r>
          </w:p>
        </w:tc>
        <w:tc>
          <w:tcPr>
            <w:tcW w:w="3226" w:type="dxa"/>
            <w:tcBorders>
              <w:top w:val="nil"/>
              <w:left w:val="nil"/>
              <w:bottom w:val="single" w:sz="4" w:space="0" w:color="auto"/>
              <w:right w:val="single" w:sz="4" w:space="0" w:color="auto"/>
            </w:tcBorders>
            <w:shd w:val="clear" w:color="auto" w:fill="auto"/>
            <w:noWrap/>
            <w:vAlign w:val="center"/>
          </w:tcPr>
          <w:p w:rsidR="00466FA3" w:rsidRDefault="000E0F36">
            <w:pPr>
              <w:jc w:val="center"/>
              <w:rPr>
                <w:rFonts w:asciiTheme="minorHAnsi" w:hAnsiTheme="minorHAnsi" w:cstheme="minorHAnsi"/>
                <w:noProof/>
                <w:sz w:val="22"/>
                <w:szCs w:val="22"/>
              </w:rPr>
            </w:pPr>
            <w:r>
              <w:rPr>
                <w:rFonts w:asciiTheme="minorHAnsi" w:hAnsiTheme="minorHAnsi" w:cstheme="minorHAnsi"/>
                <w:noProof/>
                <w:sz w:val="22"/>
              </w:rPr>
              <w:t>−89 %</w:t>
            </w:r>
          </w:p>
        </w:tc>
      </w:tr>
      <w:tr w:rsidR="00466FA3">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hideMark/>
          </w:tcPr>
          <w:p w:rsidR="00466FA3" w:rsidRDefault="000E0F36">
            <w:pPr>
              <w:rPr>
                <w:rFonts w:asciiTheme="minorHAnsi" w:hAnsiTheme="minorHAnsi" w:cstheme="minorHAnsi"/>
                <w:noProof/>
                <w:sz w:val="22"/>
                <w:szCs w:val="22"/>
              </w:rPr>
            </w:pPr>
            <w:r>
              <w:rPr>
                <w:rFonts w:asciiTheme="minorHAnsi" w:hAnsiTheme="minorHAnsi" w:cstheme="minorHAnsi"/>
                <w:noProof/>
                <w:sz w:val="22"/>
              </w:rPr>
              <w:t>Cukriniai kukurūzai, turintys grūdų pavidalą</w:t>
            </w:r>
          </w:p>
        </w:tc>
        <w:tc>
          <w:tcPr>
            <w:tcW w:w="1788" w:type="dxa"/>
            <w:tcBorders>
              <w:top w:val="nil"/>
              <w:left w:val="nil"/>
              <w:bottom w:val="single" w:sz="4" w:space="0" w:color="auto"/>
              <w:right w:val="single" w:sz="4" w:space="0" w:color="auto"/>
            </w:tcBorders>
            <w:shd w:val="clear" w:color="auto" w:fill="auto"/>
            <w:noWrap/>
            <w:vAlign w:val="center"/>
            <w:hideMark/>
          </w:tcPr>
          <w:p w:rsidR="00466FA3" w:rsidRDefault="000E0F36">
            <w:pPr>
              <w:jc w:val="center"/>
              <w:rPr>
                <w:rFonts w:asciiTheme="minorHAnsi" w:hAnsiTheme="minorHAnsi" w:cstheme="minorHAnsi"/>
                <w:noProof/>
                <w:sz w:val="22"/>
                <w:szCs w:val="22"/>
              </w:rPr>
            </w:pPr>
            <w:r>
              <w:rPr>
                <w:rFonts w:asciiTheme="minorHAnsi" w:hAnsiTheme="minorHAnsi" w:cstheme="minorHAnsi"/>
                <w:noProof/>
                <w:sz w:val="22"/>
              </w:rPr>
              <w:t>Tailandas</w:t>
            </w:r>
          </w:p>
        </w:tc>
        <w:tc>
          <w:tcPr>
            <w:tcW w:w="3226" w:type="dxa"/>
            <w:tcBorders>
              <w:top w:val="nil"/>
              <w:left w:val="nil"/>
              <w:bottom w:val="single" w:sz="4" w:space="0" w:color="auto"/>
              <w:right w:val="single" w:sz="4" w:space="0" w:color="auto"/>
            </w:tcBorders>
            <w:shd w:val="clear" w:color="auto" w:fill="auto"/>
            <w:noWrap/>
            <w:vAlign w:val="center"/>
            <w:hideMark/>
          </w:tcPr>
          <w:p w:rsidR="00466FA3" w:rsidRDefault="000E0F36">
            <w:pPr>
              <w:jc w:val="center"/>
              <w:rPr>
                <w:rFonts w:asciiTheme="minorHAnsi" w:hAnsiTheme="minorHAnsi" w:cstheme="minorHAnsi"/>
                <w:noProof/>
                <w:sz w:val="22"/>
                <w:szCs w:val="22"/>
              </w:rPr>
            </w:pPr>
            <w:r>
              <w:rPr>
                <w:rFonts w:asciiTheme="minorHAnsi" w:hAnsiTheme="minorHAnsi" w:cstheme="minorHAnsi"/>
                <w:noProof/>
                <w:sz w:val="22"/>
              </w:rPr>
              <w:t>−62 %</w:t>
            </w:r>
          </w:p>
        </w:tc>
      </w:tr>
      <w:tr w:rsidR="00466FA3">
        <w:trPr>
          <w:trHeight w:val="407"/>
          <w:jc w:val="center"/>
        </w:trPr>
        <w:tc>
          <w:tcPr>
            <w:tcW w:w="3599" w:type="dxa"/>
            <w:tcBorders>
              <w:top w:val="nil"/>
              <w:left w:val="single" w:sz="4" w:space="0" w:color="auto"/>
              <w:bottom w:val="single" w:sz="4" w:space="0" w:color="auto"/>
              <w:right w:val="single" w:sz="4" w:space="0" w:color="auto"/>
            </w:tcBorders>
            <w:shd w:val="clear" w:color="auto" w:fill="auto"/>
            <w:vAlign w:val="center"/>
            <w:hideMark/>
          </w:tcPr>
          <w:p w:rsidR="00466FA3" w:rsidRDefault="000E0F36">
            <w:pPr>
              <w:rPr>
                <w:rFonts w:asciiTheme="minorHAnsi" w:hAnsiTheme="minorHAnsi" w:cstheme="minorHAnsi"/>
                <w:noProof/>
                <w:sz w:val="22"/>
                <w:szCs w:val="22"/>
              </w:rPr>
            </w:pPr>
            <w:r>
              <w:rPr>
                <w:rFonts w:asciiTheme="minorHAnsi" w:hAnsiTheme="minorHAnsi" w:cstheme="minorHAnsi"/>
                <w:noProof/>
                <w:sz w:val="22"/>
              </w:rPr>
              <w:t>Terminis popierius</w:t>
            </w:r>
          </w:p>
        </w:tc>
        <w:tc>
          <w:tcPr>
            <w:tcW w:w="1788" w:type="dxa"/>
            <w:tcBorders>
              <w:top w:val="nil"/>
              <w:left w:val="nil"/>
              <w:bottom w:val="single" w:sz="4" w:space="0" w:color="auto"/>
              <w:right w:val="single" w:sz="4" w:space="0" w:color="auto"/>
            </w:tcBorders>
            <w:shd w:val="clear" w:color="auto" w:fill="auto"/>
            <w:noWrap/>
            <w:vAlign w:val="center"/>
            <w:hideMark/>
          </w:tcPr>
          <w:p w:rsidR="00466FA3" w:rsidRDefault="000E0F36">
            <w:pPr>
              <w:jc w:val="center"/>
              <w:rPr>
                <w:rFonts w:asciiTheme="minorHAnsi" w:hAnsiTheme="minorHAnsi" w:cstheme="minorHAnsi"/>
                <w:noProof/>
                <w:sz w:val="22"/>
                <w:szCs w:val="22"/>
              </w:rPr>
            </w:pPr>
            <w:r>
              <w:rPr>
                <w:rFonts w:asciiTheme="minorHAnsi" w:hAnsiTheme="minorHAnsi" w:cstheme="minorHAnsi"/>
                <w:noProof/>
                <w:sz w:val="22"/>
              </w:rPr>
              <w:t>Korėjos Respublika</w:t>
            </w:r>
          </w:p>
        </w:tc>
        <w:tc>
          <w:tcPr>
            <w:tcW w:w="3226" w:type="dxa"/>
            <w:tcBorders>
              <w:top w:val="nil"/>
              <w:left w:val="nil"/>
              <w:bottom w:val="single" w:sz="4" w:space="0" w:color="auto"/>
              <w:right w:val="single" w:sz="4" w:space="0" w:color="auto"/>
            </w:tcBorders>
            <w:shd w:val="clear" w:color="auto" w:fill="auto"/>
            <w:noWrap/>
            <w:vAlign w:val="center"/>
            <w:hideMark/>
          </w:tcPr>
          <w:p w:rsidR="00466FA3" w:rsidRDefault="000E0F36">
            <w:pPr>
              <w:jc w:val="center"/>
              <w:rPr>
                <w:rFonts w:asciiTheme="minorHAnsi" w:hAnsiTheme="minorHAnsi" w:cstheme="minorHAnsi"/>
                <w:noProof/>
                <w:sz w:val="22"/>
                <w:szCs w:val="22"/>
              </w:rPr>
            </w:pPr>
            <w:r>
              <w:rPr>
                <w:rFonts w:asciiTheme="minorHAnsi" w:hAnsiTheme="minorHAnsi" w:cstheme="minorHAnsi"/>
                <w:noProof/>
                <w:sz w:val="22"/>
              </w:rPr>
              <w:t>−91 %</w:t>
            </w:r>
          </w:p>
        </w:tc>
      </w:tr>
    </w:tbl>
    <w:p w:rsidR="00466FA3" w:rsidRDefault="000E0F36">
      <w:pPr>
        <w:pStyle w:val="ListParagraph"/>
        <w:spacing w:after="120"/>
        <w:ind w:left="0"/>
        <w:jc w:val="both"/>
        <w:rPr>
          <w:noProof/>
          <w:sz w:val="20"/>
          <w:szCs w:val="20"/>
        </w:rPr>
      </w:pPr>
      <w:r>
        <w:rPr>
          <w:noProof/>
        </w:rPr>
        <w:t xml:space="preserve">     </w:t>
      </w:r>
      <w:r>
        <w:rPr>
          <w:noProof/>
          <w:sz w:val="20"/>
        </w:rPr>
        <w:t xml:space="preserve">Šaltinis: </w:t>
      </w:r>
      <w:r>
        <w:rPr>
          <w:i/>
          <w:noProof/>
          <w:sz w:val="20"/>
        </w:rPr>
        <w:t>Comext</w:t>
      </w:r>
      <w:r>
        <w:rPr>
          <w:noProof/>
          <w:sz w:val="20"/>
        </w:rPr>
        <w:t>, ES reglamentai.</w:t>
      </w:r>
    </w:p>
    <w:p w:rsidR="00466FA3" w:rsidRDefault="000E0F36">
      <w:pPr>
        <w:pStyle w:val="ListParagraph"/>
        <w:spacing w:before="240" w:after="240"/>
        <w:ind w:left="0"/>
        <w:jc w:val="both"/>
        <w:rPr>
          <w:noProof/>
        </w:rPr>
      </w:pPr>
      <w:r>
        <w:rPr>
          <w:noProof/>
        </w:rPr>
        <w:t xml:space="preserve">Dar vienas ES prekybos apsaugos priemonių veiksmingumo pavyzdys – Sąjungos atsakas į plieno krizę, kaip toliau išsamiai išdėstyta I.3 skirsnyje. </w:t>
      </w:r>
    </w:p>
    <w:p w:rsidR="00466FA3" w:rsidRDefault="000E0F36">
      <w:pPr>
        <w:pStyle w:val="ListParagraph"/>
        <w:spacing w:after="240"/>
        <w:ind w:left="0"/>
        <w:jc w:val="both"/>
        <w:rPr>
          <w:noProof/>
        </w:rPr>
      </w:pPr>
      <w:r>
        <w:rPr>
          <w:noProof/>
        </w:rPr>
        <w:t>2014 m. lapkričio mėn. – 2018 m. lapkričio mėn. laikotarpiu dėl nustatytų priemonių ES surinko daugiau kaip 1,</w:t>
      </w:r>
      <w:r>
        <w:rPr>
          <w:noProof/>
        </w:rPr>
        <w:t>5 mlrd. EUR antidempingo arba kompensacinių muitų ir visos šios sumos buvo pervestos į ES biudžetą.</w:t>
      </w:r>
    </w:p>
    <w:p w:rsidR="00466FA3" w:rsidRDefault="000E0F36">
      <w:pPr>
        <w:pStyle w:val="ListParagraph"/>
        <w:spacing w:after="160"/>
        <w:ind w:left="0"/>
        <w:jc w:val="both"/>
        <w:rPr>
          <w:noProof/>
        </w:rPr>
      </w:pPr>
      <w:r>
        <w:rPr>
          <w:noProof/>
        </w:rPr>
        <w:t>Antidempingo ir kompensacinės priemonės turi būti peržiūrimos po penkerių metų nuo jų įsigaliojimo, jeigu ES pramonė nori palikti jas galioti pasibaigus tam</w:t>
      </w:r>
      <w:r>
        <w:rPr>
          <w:noProof/>
        </w:rPr>
        <w:t xml:space="preserve"> laikotarpiui. 2014 m. lapkričio mėn. – 2018 m. gruodžio mėn. Komisija inicijavo 52 ES priemonių </w:t>
      </w:r>
      <w:r>
        <w:rPr>
          <w:b/>
          <w:noProof/>
        </w:rPr>
        <w:t>galiojimo termino peržiūras</w:t>
      </w:r>
      <w:r>
        <w:rPr>
          <w:noProof/>
        </w:rPr>
        <w:t>. Tokiomis priemonių galiojimo termino peržiūromis sudaromos sąlygos palyginti ES pramonės padėtį priemonių nustatymo metu su jos bū</w:t>
      </w:r>
      <w:r>
        <w:rPr>
          <w:noProof/>
        </w:rPr>
        <w:t>kle po penkerių metų.  Komisija gali palikti galioti priemones, jeigu atlikusi priemonių galiojimo termino peržiūrą nustato, kad panaikinus priemones dempingas arba subsidijavimas ir žala veikiausiai tęstųsi arba pasikartotų. ES pramonė prašo atlikti priem</w:t>
      </w:r>
      <w:r>
        <w:rPr>
          <w:noProof/>
        </w:rPr>
        <w:t>onių galiojimo termino peržiūras maždaug 75 % atvejų</w:t>
      </w:r>
      <w:r>
        <w:rPr>
          <w:rStyle w:val="FootnoteReference"/>
          <w:noProof/>
        </w:rPr>
        <w:footnoteReference w:id="11"/>
      </w:r>
      <w:r>
        <w:rPr>
          <w:noProof/>
        </w:rPr>
        <w:t xml:space="preserve">. </w:t>
      </w:r>
    </w:p>
    <w:p w:rsidR="00466FA3" w:rsidRDefault="000E0F36">
      <w:pPr>
        <w:pStyle w:val="ListParagraph"/>
        <w:spacing w:after="60"/>
        <w:ind w:left="0"/>
        <w:jc w:val="both"/>
        <w:rPr>
          <w:noProof/>
        </w:rPr>
      </w:pPr>
      <w:r>
        <w:rPr>
          <w:noProof/>
        </w:rPr>
        <w:t xml:space="preserve">    </w:t>
      </w:r>
    </w:p>
    <w:p w:rsidR="00466FA3" w:rsidRDefault="00466FA3">
      <w:pPr>
        <w:pStyle w:val="ListParagraph"/>
        <w:spacing w:after="60"/>
        <w:ind w:left="0"/>
        <w:jc w:val="both"/>
        <w:rPr>
          <w:noProof/>
        </w:rPr>
      </w:pPr>
    </w:p>
    <w:p w:rsidR="00466FA3" w:rsidRDefault="00466FA3">
      <w:pPr>
        <w:pStyle w:val="ListParagraph"/>
        <w:spacing w:after="60"/>
        <w:ind w:left="0"/>
        <w:jc w:val="both"/>
        <w:rPr>
          <w:noProof/>
        </w:rPr>
      </w:pPr>
    </w:p>
    <w:p w:rsidR="00466FA3" w:rsidRDefault="00466FA3">
      <w:pPr>
        <w:pStyle w:val="ListParagraph"/>
        <w:spacing w:after="60"/>
        <w:ind w:left="0"/>
        <w:jc w:val="both"/>
        <w:rPr>
          <w:noProof/>
        </w:rPr>
      </w:pPr>
    </w:p>
    <w:p w:rsidR="00466FA3" w:rsidRDefault="000E0F36">
      <w:pPr>
        <w:pStyle w:val="ListParagraph"/>
        <w:spacing w:after="60"/>
        <w:ind w:left="0" w:firstLine="284"/>
        <w:jc w:val="both"/>
        <w:rPr>
          <w:b/>
          <w:noProof/>
          <w:sz w:val="21"/>
          <w:szCs w:val="21"/>
        </w:rPr>
      </w:pPr>
      <w:r>
        <w:rPr>
          <w:b/>
          <w:noProof/>
          <w:sz w:val="21"/>
        </w:rPr>
        <w:t>Pasirinkti priemonių galiojimo termino peržiūrų, kaip prekybos apsaugos priemonių efektyvumo vertinimo priemonių, pavyzdžiai</w:t>
      </w:r>
    </w:p>
    <w:p w:rsidR="00466FA3" w:rsidRDefault="000E0F36">
      <w:pPr>
        <w:pStyle w:val="ListParagraph"/>
        <w:pBdr>
          <w:top w:val="single" w:sz="4" w:space="1" w:color="auto"/>
          <w:left w:val="single" w:sz="4" w:space="4" w:color="auto"/>
          <w:bottom w:val="single" w:sz="4" w:space="1" w:color="auto"/>
          <w:right w:val="single" w:sz="4" w:space="4" w:color="auto"/>
        </w:pBdr>
        <w:spacing w:after="120"/>
        <w:ind w:left="284" w:right="283"/>
        <w:jc w:val="both"/>
        <w:rPr>
          <w:noProof/>
          <w:sz w:val="21"/>
          <w:szCs w:val="21"/>
        </w:rPr>
      </w:pPr>
      <w:r>
        <w:rPr>
          <w:b/>
          <w:i/>
          <w:noProof/>
          <w:sz w:val="21"/>
        </w:rPr>
        <w:t>Keraminėms plytelėms</w:t>
      </w:r>
      <w:r>
        <w:rPr>
          <w:rStyle w:val="FootnoteReference"/>
          <w:noProof/>
          <w:sz w:val="21"/>
        </w:rPr>
        <w:footnoteReference w:id="12"/>
      </w:r>
      <w:r>
        <w:rPr>
          <w:noProof/>
          <w:sz w:val="21"/>
        </w:rPr>
        <w:t xml:space="preserve"> taikoma priemonių galiojimo termino peržiūra yra vienas iš daugelio atvejų, parodančių, kad ES priemonėmis pavyko veiksmingai užtikrinti ilgalaikį ES pramonės gyvybingumą. Kol nebuvo nustatytos priemonės Kinijos vykdomam dempingui nutraukti, Kinijos impor</w:t>
      </w:r>
      <w:r>
        <w:rPr>
          <w:noProof/>
          <w:sz w:val="21"/>
        </w:rPr>
        <w:t>tas kėlė grėsmę pačiam ES keramikos pramonės išlikimui: pelnas sumažėjo iki pat nenuostolingumo ribos, o investicijos ir užimtumas taip pat gerokai sumažėjo. Nustačius priemones padėtis pagerėjo: ES pramonė vėl tapo pelninga; gerokai padidėjo našumas ir in</w:t>
      </w:r>
      <w:r>
        <w:rPr>
          <w:noProof/>
          <w:sz w:val="21"/>
        </w:rPr>
        <w:t xml:space="preserve">vesticijos. Šiame sektoriuje, kurio daugumą dalyvių sudaro MVĮ, tokios investicijų tendencijos yra itin svarbios, kad ES verslo subjektams būtų sudarytos sąlygos klestėti, nes siekdami neatsilikti nuo rinkos tendencijų jie turi nuolat modernizuoti įrangą. </w:t>
      </w:r>
      <w:r>
        <w:rPr>
          <w:noProof/>
          <w:sz w:val="21"/>
        </w:rPr>
        <w:t xml:space="preserve">Nustačius priemones užimtumas taip pat stabilizavosi – darbuotojų skaičius siekė maždaug 60 000 (nors tai ir mažiau negu prieš prasidedant dempingui). Vis dėlto, nepaisant šių teigiamų tendencijų, priemones teko palikti galioti, nes Kinijos eksportuotojai </w:t>
      </w:r>
      <w:r>
        <w:rPr>
          <w:noProof/>
          <w:sz w:val="21"/>
        </w:rPr>
        <w:t xml:space="preserve">turi didžiulių nepanaudotų pajėgumų ir taiko agresyvią kainodarą. Atlikus peržiūrą nustatyta, jog netaikant priemonių būtų kilusi nemaža rizika, kad vėl prasidės nesąžininga Kinijos eksporto praktika, turėsianti atitinkamą neigiamą poveikį ES pramonei. </w:t>
      </w:r>
    </w:p>
    <w:p w:rsidR="00466FA3" w:rsidRDefault="000E0F36">
      <w:pPr>
        <w:pStyle w:val="ListParagraph"/>
        <w:pBdr>
          <w:top w:val="single" w:sz="4" w:space="1" w:color="auto"/>
          <w:left w:val="single" w:sz="4" w:space="4" w:color="auto"/>
          <w:bottom w:val="single" w:sz="4" w:space="1" w:color="auto"/>
          <w:right w:val="single" w:sz="4" w:space="4" w:color="auto"/>
        </w:pBdr>
        <w:spacing w:after="120"/>
        <w:ind w:left="284" w:right="283"/>
        <w:jc w:val="both"/>
        <w:rPr>
          <w:noProof/>
          <w:sz w:val="21"/>
          <w:szCs w:val="21"/>
        </w:rPr>
      </w:pPr>
      <w:r>
        <w:rPr>
          <w:b/>
          <w:i/>
          <w:noProof/>
          <w:sz w:val="21"/>
        </w:rPr>
        <w:t>Dv</w:t>
      </w:r>
      <w:r>
        <w:rPr>
          <w:b/>
          <w:i/>
          <w:noProof/>
          <w:sz w:val="21"/>
        </w:rPr>
        <w:t>iračiams</w:t>
      </w:r>
      <w:r>
        <w:rPr>
          <w:b/>
          <w:noProof/>
          <w:sz w:val="21"/>
        </w:rPr>
        <w:t xml:space="preserve"> </w:t>
      </w:r>
      <w:r>
        <w:rPr>
          <w:noProof/>
          <w:sz w:val="21"/>
        </w:rPr>
        <w:t>iš Kinijos nustatytos priemonės yra dar vienas svarbus prekybos apsaugos priemonių veiksmingumo pavyzdys. Pirmą kartą šios priemonės nustatytos 1993 m. ir vėliau atliekant kelias priemonių galiojimo termino peržiūras ir tarpines peržiūras kiekvien</w:t>
      </w:r>
      <w:r>
        <w:rPr>
          <w:noProof/>
          <w:sz w:val="21"/>
        </w:rPr>
        <w:t>ą kartą nustatyta, kad siekiant apsisaugoti nuo kenksmingo Kinijos dempingo šios priemonės vis dar būtinos. Galima pagrįstai teigti, kad nesant antidempingo priemonių šiandien ES dviračių pramonės nebūtų. Kitose šalyse, kuriose priemonių nebuvo imtasi arba</w:t>
      </w:r>
      <w:r>
        <w:rPr>
          <w:noProof/>
          <w:sz w:val="21"/>
        </w:rPr>
        <w:t xml:space="preserve"> jų galiojimas pasibaigė, Kinijos eksportuotojai perėmė beveik visą vidaus rinką. Atliekant tyrimus buvo ne kartą įsitikinta, kad Kinijos pertekliniai pajėgumai yra labai dideli, – per naujausią tyrimą nustatyta, kad nepanaudoti pajėgumai yra 25 proc. dide</w:t>
      </w:r>
      <w:r>
        <w:rPr>
          <w:noProof/>
          <w:sz w:val="21"/>
        </w:rPr>
        <w:t>sni negu visas ES suvartojimas ir kad panašu, jog Kinija bando visus šiuos pajėgumus išnaudoti. Todėl 2013 m. ES teko stabdyti didelio masto antidempingo muitų, nustatytų importuojamiems Kinijos kilmės dviračiams, vengimo schemą, pagal kurią jų importas bu</w:t>
      </w:r>
      <w:r>
        <w:rPr>
          <w:noProof/>
          <w:sz w:val="21"/>
        </w:rPr>
        <w:t xml:space="preserve">vo nukreipiamas per Indoneziją, Malaiziją, Šri Lanką ir Tunisą. Taip ES pramonės atstovams buvo sudarytos sąlygos susigrąžinti nedidelį, bet tvarų pelną, kaip nurodyta jų prašyme atlikti priemonių galiojimo termino peržiūrą, kuri šiuo metu atliekama. </w:t>
      </w:r>
    </w:p>
    <w:p w:rsidR="00466FA3" w:rsidRDefault="000E0F36">
      <w:pPr>
        <w:pStyle w:val="ListParagraph"/>
        <w:pBdr>
          <w:top w:val="single" w:sz="4" w:space="1" w:color="auto"/>
          <w:left w:val="single" w:sz="4" w:space="4" w:color="auto"/>
          <w:bottom w:val="single" w:sz="4" w:space="1" w:color="auto"/>
          <w:right w:val="single" w:sz="4" w:space="4" w:color="auto"/>
        </w:pBdr>
        <w:spacing w:after="120"/>
        <w:ind w:left="284" w:right="283"/>
        <w:jc w:val="both"/>
        <w:rPr>
          <w:noProof/>
          <w:sz w:val="21"/>
          <w:szCs w:val="21"/>
        </w:rPr>
      </w:pPr>
      <w:r>
        <w:rPr>
          <w:noProof/>
          <w:sz w:val="21"/>
        </w:rPr>
        <w:t>ES d</w:t>
      </w:r>
      <w:r>
        <w:rPr>
          <w:noProof/>
          <w:sz w:val="21"/>
        </w:rPr>
        <w:t xml:space="preserve">viračių pramonės tęstinumas turi struktūrinį poveikį ES ekonomikai. Be veikiančios ES dviračių pramonės nebūtų ES dviračių detalių pramonės. Europa taip pat nebūtų galėjusi išvystyti svarbios naujos rinkos, t. y. elektrinių dviračių pramonės, kuri vis dar </w:t>
      </w:r>
      <w:r>
        <w:rPr>
          <w:noProof/>
          <w:sz w:val="21"/>
        </w:rPr>
        <w:t>turi nemažą potencialą augti. Europos Sąjungoje 11 000 darbo vietų yra tiesiogiai susijusios su dviračių gamyba, 16 000 darbo vietų – su dviračių detalių gamyba, o 3 600 darbo vietų – su elektriniais dviračiais. 2019 m. sausio mėn. Komisija skyrė galutines</w:t>
      </w:r>
      <w:r>
        <w:rPr>
          <w:noProof/>
          <w:sz w:val="21"/>
        </w:rPr>
        <w:t xml:space="preserve"> antidempingo ir antisubsidijų priemones iš Kinijos importuojamiems elektriniams dviračiams. Buvo nustatyta, kad Kinijos elektrinių dviračių eksportuotojai naudojosi didžiulėmis subsidijomis.</w:t>
      </w:r>
    </w:p>
    <w:p w:rsidR="00466FA3" w:rsidRDefault="000E0F36">
      <w:pPr>
        <w:pBdr>
          <w:top w:val="single" w:sz="4" w:space="1" w:color="auto"/>
          <w:left w:val="single" w:sz="4" w:space="4" w:color="auto"/>
          <w:bottom w:val="single" w:sz="4" w:space="1" w:color="auto"/>
          <w:right w:val="single" w:sz="4" w:space="4" w:color="auto"/>
        </w:pBdr>
        <w:ind w:left="284" w:right="283"/>
        <w:jc w:val="both"/>
        <w:rPr>
          <w:noProof/>
          <w:sz w:val="21"/>
          <w:szCs w:val="21"/>
        </w:rPr>
      </w:pPr>
      <w:r>
        <w:rPr>
          <w:noProof/>
          <w:sz w:val="21"/>
        </w:rPr>
        <w:t xml:space="preserve">Iki prekybos apsaugos priemonių taikymo Kinijos kilmės </w:t>
      </w:r>
      <w:r>
        <w:rPr>
          <w:b/>
          <w:i/>
          <w:noProof/>
          <w:sz w:val="21"/>
        </w:rPr>
        <w:t>ratams su</w:t>
      </w:r>
      <w:r>
        <w:rPr>
          <w:b/>
          <w:i/>
          <w:noProof/>
          <w:sz w:val="21"/>
        </w:rPr>
        <w:t xml:space="preserve"> ratlankiais iš aliuminio</w:t>
      </w:r>
      <w:r>
        <w:rPr>
          <w:rStyle w:val="FootnoteReference"/>
          <w:noProof/>
          <w:sz w:val="21"/>
        </w:rPr>
        <w:footnoteReference w:id="13"/>
      </w:r>
      <w:r>
        <w:rPr>
          <w:noProof/>
          <w:sz w:val="21"/>
        </w:rPr>
        <w:t xml:space="preserve"> ES pramonės padėtis blogėjo dėl Kinijos importo dempingo kaina, kaip rodė, pvz., sumažėjusi gamybos ir pardavimo apimtis ir didelis nuostolingumas. Per penkerius metus nuo antidempingo muitų nustatymo padėtis gerokai pagerėjo. ES</w:t>
      </w:r>
      <w:r>
        <w:rPr>
          <w:noProof/>
          <w:sz w:val="21"/>
        </w:rPr>
        <w:t xml:space="preserve"> pramonei pavyko atsigauti ir uždirbti nemažai pelno, augant kartu su rinka. Kinijos importas sumažėjo, o Kinijos importo rinkos dalis sumenko beveik 75 proc. Minėtomis priemonėmis buvo išlaikyta sveika konkurencija ES rinkoje, nes vėl padidėjo tiekėjų iš </w:t>
      </w:r>
      <w:r>
        <w:rPr>
          <w:noProof/>
          <w:sz w:val="21"/>
        </w:rPr>
        <w:t>trečiųjų šalių rinkos dalis, taigi, gaminių pasiūla tapo platesnė, be nesąžiningos kainodaros. ES pramonės pardavimo apimtis ir gamyba padidėjo atitinkamai 28 proc. ir 25 proc. ir joje sukurta 1 200 naujų darbo vietų (10 proc. daugiau). Pramonė padidino sa</w:t>
      </w:r>
      <w:r>
        <w:rPr>
          <w:noProof/>
          <w:sz w:val="21"/>
        </w:rPr>
        <w:t>vo gamybos pajėgumus reaguodama į didėjančią paklausą ir atnaujindama gaminių asortimentą. Tačiau priemones dar teko palikti galioti, nes priešingu atveju Kinijos eksportuotojai būtų į Sąjungos rinką sugrąžinę didelius gaminių kiekius mažomis dempingo kain</w:t>
      </w:r>
      <w:r>
        <w:rPr>
          <w:noProof/>
          <w:sz w:val="21"/>
        </w:rPr>
        <w:t>omis: būtų vėl prasidėjęs ES pramonės smukimo ciklas.</w:t>
      </w:r>
    </w:p>
    <w:p w:rsidR="00466FA3" w:rsidRDefault="00466FA3">
      <w:pPr>
        <w:pBdr>
          <w:top w:val="single" w:sz="4" w:space="1" w:color="auto"/>
          <w:left w:val="single" w:sz="4" w:space="4" w:color="auto"/>
          <w:bottom w:val="single" w:sz="4" w:space="1" w:color="auto"/>
          <w:right w:val="single" w:sz="4" w:space="4" w:color="auto"/>
        </w:pBdr>
        <w:ind w:left="284" w:right="283"/>
        <w:jc w:val="both"/>
        <w:rPr>
          <w:noProof/>
          <w:sz w:val="6"/>
          <w:szCs w:val="6"/>
        </w:rPr>
      </w:pPr>
    </w:p>
    <w:p w:rsidR="00466FA3" w:rsidRDefault="00466FA3">
      <w:pPr>
        <w:rPr>
          <w:noProof/>
        </w:rPr>
      </w:pPr>
    </w:p>
    <w:p w:rsidR="00466FA3" w:rsidRDefault="000E0F36">
      <w:pPr>
        <w:pStyle w:val="ListParagraph"/>
        <w:spacing w:after="240"/>
        <w:ind w:left="0"/>
        <w:jc w:val="both"/>
        <w:rPr>
          <w:noProof/>
        </w:rPr>
      </w:pPr>
      <w:r>
        <w:rPr>
          <w:noProof/>
        </w:rPr>
        <w:t xml:space="preserve">Dėl prekybos globalizacijos atsirado daugiau galimybių </w:t>
      </w:r>
      <w:r>
        <w:rPr>
          <w:b/>
          <w:noProof/>
        </w:rPr>
        <w:t>vengti</w:t>
      </w:r>
      <w:r>
        <w:rPr>
          <w:noProof/>
        </w:rPr>
        <w:t xml:space="preserve"> prekybos apsaugos priemonių arba kitaip sumažinti jų veiksmingumą. Dėl šios priežasties Komisija nuolat stebi importo statistinius duomeni</w:t>
      </w:r>
      <w:r>
        <w:rPr>
          <w:noProof/>
        </w:rPr>
        <w:t>s siekdama aptikti galimus priemonių vengimo</w:t>
      </w:r>
      <w:r>
        <w:rPr>
          <w:rStyle w:val="FootnoteReference"/>
          <w:noProof/>
        </w:rPr>
        <w:footnoteReference w:id="14"/>
      </w:r>
      <w:r>
        <w:rPr>
          <w:noProof/>
        </w:rPr>
        <w:t xml:space="preserve"> ar muitų absorbcijos</w:t>
      </w:r>
      <w:r>
        <w:rPr>
          <w:rStyle w:val="FootnoteReference"/>
          <w:noProof/>
        </w:rPr>
        <w:footnoteReference w:id="15"/>
      </w:r>
      <w:r>
        <w:rPr>
          <w:noProof/>
        </w:rPr>
        <w:t xml:space="preserve"> atvejus. Norėdama ištaisyti padėtį tokiais atvejais, 2014 m. lapkričio mėn. – 2018 m. gruodžio mėn. Komisija inicijavo 14 vengimo arba absorbcijos tyrimų ir atitinkamai 14 atvejų išplėtė g</w:t>
      </w:r>
      <w:r>
        <w:rPr>
          <w:noProof/>
        </w:rPr>
        <w:t>aliojančių priemonių taikymą skirdama jas kitoms šalims ar produktams, kad būtų išsaugotas pageidaujamas priemonių poveikis.</w:t>
      </w:r>
    </w:p>
    <w:p w:rsidR="00466FA3" w:rsidRDefault="000E0F36">
      <w:pPr>
        <w:adjustRightInd w:val="0"/>
        <w:jc w:val="both"/>
        <w:rPr>
          <w:noProof/>
        </w:rPr>
      </w:pPr>
      <w:r>
        <w:rPr>
          <w:noProof/>
        </w:rPr>
        <w:t>Galiausiai svarbu tai, jog siekdama įvertinti, kaip prekybos apsaugos priemonėmis įgyvendinami tų priemonių tikslai, Komisija palai</w:t>
      </w:r>
      <w:r>
        <w:rPr>
          <w:noProof/>
        </w:rPr>
        <w:t xml:space="preserve">kė nuolatinį ryšį su </w:t>
      </w:r>
      <w:r>
        <w:rPr>
          <w:b/>
          <w:noProof/>
        </w:rPr>
        <w:t>visomis svarbiausiomis suinteresuotųjų subjektų</w:t>
      </w:r>
      <w:r>
        <w:rPr>
          <w:noProof/>
        </w:rPr>
        <w:t xml:space="preserve"> </w:t>
      </w:r>
      <w:r>
        <w:rPr>
          <w:b/>
          <w:noProof/>
        </w:rPr>
        <w:t>organizacijomis</w:t>
      </w:r>
      <w:r>
        <w:rPr>
          <w:noProof/>
        </w:rPr>
        <w:t>, kurioms prekybos apsaugos priemonės darė poveikį, kad galėtų tą poveikį įvertinti. Buvo nuolat rengiami susitikimai su verslo atstovais ir kitais suinteresuotaisiais subj</w:t>
      </w:r>
      <w:r>
        <w:rPr>
          <w:noProof/>
        </w:rPr>
        <w:t>ektais, be kita ko, siekiant gauti informacijos, reikalingos prekybos apsaugos priemonių teisės aktų reformoms, ir tas reformas aptarti, kuo labiau atsižvelgiant į įvairius suinteresuotiesiems subjektams rūpimus aspektus.</w:t>
      </w:r>
    </w:p>
    <w:p w:rsidR="00466FA3" w:rsidRDefault="000E0F36">
      <w:pPr>
        <w:pStyle w:val="Heading1"/>
        <w:numPr>
          <w:ilvl w:val="0"/>
          <w:numId w:val="0"/>
        </w:numPr>
        <w:spacing w:before="480"/>
        <w:ind w:left="851" w:hanging="851"/>
        <w:rPr>
          <w:noProof/>
        </w:rPr>
      </w:pPr>
      <w:r>
        <w:rPr>
          <w:noProof/>
        </w:rPr>
        <w:t>I.2.</w:t>
      </w:r>
      <w:r>
        <w:rPr>
          <w:noProof/>
        </w:rPr>
        <w:tab/>
        <w:t xml:space="preserve">Sistema pertvarkyta siekiant </w:t>
      </w:r>
      <w:r>
        <w:rPr>
          <w:noProof/>
        </w:rPr>
        <w:t>dar didesnio veiksmingumo ir tikrumo</w:t>
      </w:r>
    </w:p>
    <w:p w:rsidR="00466FA3" w:rsidRDefault="000E0F36">
      <w:pPr>
        <w:autoSpaceDE w:val="0"/>
        <w:autoSpaceDN w:val="0"/>
        <w:adjustRightInd w:val="0"/>
        <w:spacing w:before="120" w:after="240"/>
        <w:jc w:val="both"/>
        <w:rPr>
          <w:b/>
          <w:bCs/>
          <w:i/>
          <w:noProof/>
          <w:szCs w:val="22"/>
        </w:rPr>
      </w:pPr>
      <w:r>
        <w:rPr>
          <w:b/>
          <w:i/>
          <w:noProof/>
        </w:rPr>
        <w:t>Modernizavimas</w:t>
      </w:r>
    </w:p>
    <w:p w:rsidR="00466FA3" w:rsidRDefault="000E0F36">
      <w:pPr>
        <w:autoSpaceDE w:val="0"/>
        <w:autoSpaceDN w:val="0"/>
        <w:adjustRightInd w:val="0"/>
        <w:spacing w:before="120" w:after="240"/>
        <w:jc w:val="both"/>
        <w:rPr>
          <w:noProof/>
        </w:rPr>
      </w:pPr>
      <w:r>
        <w:rPr>
          <w:noProof/>
        </w:rPr>
        <w:t>Pagrindinės ES prekybos apsaugos priemonių taisyklių vadovo nuostatos buvo priimtos pasibaigus Urugvajaus derybų ratui. Modernizuoti pagrindinius reglamentus buvo bandoma dar 2008 m. Tačiau būtent per dab</w:t>
      </w:r>
      <w:r>
        <w:rPr>
          <w:noProof/>
        </w:rPr>
        <w:t>artinės sudėties Komisijos kadenciją buvo galiausiai atlikti reikiami modernizavimo pakeitimai. Tam įtakos turėjo ir tai, kad naujos pasaulinės rinkos realijos ir kylanti nesąžiningos prekybos praktikos banga aiškiai parodė, kad būtinas kuo didesnis veiksm</w:t>
      </w:r>
      <w:r>
        <w:rPr>
          <w:noProof/>
        </w:rPr>
        <w:t>ingumas ir tikrumas. Po to, kai 2017 m. gruodžio 5 d. Taryba ir Europos Parlamentas pasiekė susitarimą dėl Komisijos pasiūlymo, 2018 m. birželio 8 d. įsigaliojo modernizuotos taisyklės. Šis didelis žingsnis pirmyn padidino ES prekybos apsaugos priemonių ve</w:t>
      </w:r>
      <w:r>
        <w:rPr>
          <w:noProof/>
        </w:rPr>
        <w:t xml:space="preserve">iksmingumą, skaidrumą, jos tapo labiau pritaikytos, kad būtų galima spręsti pasaulinės ekonomikos problemas, ir kartu jomis buvo atsižvelgta į visų suinteresuotųjų subjektų poreikius, t. y. į ES gamintojų, importuotojų ir tolesnių naudotojų interesus. </w:t>
      </w:r>
    </w:p>
    <w:p w:rsidR="00466FA3" w:rsidRDefault="000E0F36">
      <w:pPr>
        <w:tabs>
          <w:tab w:val="num" w:pos="426"/>
        </w:tabs>
        <w:spacing w:before="120" w:after="240"/>
        <w:jc w:val="both"/>
        <w:rPr>
          <w:noProof/>
          <w:szCs w:val="20"/>
        </w:rPr>
      </w:pPr>
      <w:r>
        <w:rPr>
          <w:noProof/>
        </w:rPr>
        <w:t>Mod</w:t>
      </w:r>
      <w:r>
        <w:rPr>
          <w:noProof/>
        </w:rPr>
        <w:t>ernizuotais ES teisės aktais nustatyta daug pakeitimų. Juose nustatytas tobulesnis žalos skirtumo apskaičiavimas, kuris yra labai svarbus taikant mažesnio muito taisyklę – vieną pagrindinių Sąjungos prekybos apsaugos priemonių ypatybių. Siekiant geriau ats</w:t>
      </w:r>
      <w:r>
        <w:rPr>
          <w:noProof/>
        </w:rPr>
        <w:t>pindėti dabartines ekonomikos realijas, buvo atnaujintas nežalingos kainos apskaičiavimas. Tai apima minimalų 6 proc. pelną ir galimybę skaičiuojant žalos skirtumą atsižvelgti į Sąjungos pramonės investicijas ir mokslinių tyrimų bei technologinės plėtros r</w:t>
      </w:r>
      <w:r>
        <w:rPr>
          <w:noProof/>
        </w:rPr>
        <w:t xml:space="preserve">eikmes. Be to, pagal naująsias taisykles gali būti atsižvelgiama į žaliavų rinkos iškraipymus, kurie tampa vis būdingesni šiandienos komerciniams sandoriams. </w:t>
      </w:r>
    </w:p>
    <w:p w:rsidR="00466FA3" w:rsidRDefault="000E0F36">
      <w:pPr>
        <w:tabs>
          <w:tab w:val="num" w:pos="426"/>
        </w:tabs>
        <w:spacing w:before="120" w:after="240"/>
        <w:jc w:val="both"/>
        <w:rPr>
          <w:noProof/>
        </w:rPr>
      </w:pPr>
      <w:r>
        <w:rPr>
          <w:noProof/>
        </w:rPr>
        <w:t>Siekiant didesnio efektyvumo, buvo patvirtintas trumpesnis laikinųjų priemonių nustatymo laikotar</w:t>
      </w:r>
      <w:r>
        <w:rPr>
          <w:noProof/>
        </w:rPr>
        <w:t>pis – šios priemonės dabar paprastai turi būti patvirtinamos per septynis mėnesius, tačiau ne vėliau kaip per aštuonis mėnesius, o anksčiau tai truko devynis mėnesius. Taigi, Europos pramonė bus greičiau apsaugoma nuo nesąžiningos konkurencijos. Be to, sie</w:t>
      </w:r>
      <w:r>
        <w:rPr>
          <w:noProof/>
        </w:rPr>
        <w:t>kiant dar labiau užtikrinti proceso skaidrumą ir sudaryti ekonominės veiklos vykdytojams sąlygas anksčiau prisitaikyti prie priemonių, ES nustatė išankstinio perspėjimo apie laikinųjų antidempingo ir antisubsidijų priemonių skyrimą mechanizmą. Tokia sistem</w:t>
      </w:r>
      <w:r>
        <w:rPr>
          <w:noProof/>
        </w:rPr>
        <w:t xml:space="preserve">a netaikoma jokioje kitoje prekybos apsaugos priemonių jurisdikcijoje. </w:t>
      </w:r>
    </w:p>
    <w:p w:rsidR="00466FA3" w:rsidRDefault="000E0F36">
      <w:pPr>
        <w:tabs>
          <w:tab w:val="num" w:pos="426"/>
        </w:tabs>
        <w:spacing w:before="120" w:after="240"/>
        <w:jc w:val="both"/>
        <w:rPr>
          <w:noProof/>
        </w:rPr>
      </w:pPr>
      <w:r>
        <w:rPr>
          <w:noProof/>
        </w:rPr>
        <w:t>Dar vienas svarbus elementas, kurį Komisija stengėsi pasiekti, – priartinti prekybos apsaugos priemones prie mažesnių įmonių poreikių: atitinkamai ES MVĮ bus papildomai remiamos, kai b</w:t>
      </w:r>
      <w:r>
        <w:rPr>
          <w:noProof/>
        </w:rPr>
        <w:t xml:space="preserve">us svarstomos prekybos apsaugos priemonės arba šios priemonės turės poveikio MVĮ. </w:t>
      </w:r>
    </w:p>
    <w:p w:rsidR="00466FA3" w:rsidRDefault="000E0F36">
      <w:pPr>
        <w:tabs>
          <w:tab w:val="num" w:pos="426"/>
        </w:tabs>
        <w:spacing w:before="120" w:after="240"/>
        <w:jc w:val="both"/>
        <w:rPr>
          <w:noProof/>
        </w:rPr>
      </w:pPr>
      <w:r>
        <w:rPr>
          <w:noProof/>
        </w:rPr>
        <w:t>Galiausiai pirmą kartą prekybos apsaugos teise Komisijai suteikiama galimybė tam tikromis tiksliai apibrėžtomis aplinkybėmis atsižvelgti į socialinius ir aplinkosaugos aspek</w:t>
      </w:r>
      <w:r>
        <w:rPr>
          <w:noProof/>
        </w:rPr>
        <w:t>tus nagrinėjamose šalyse. Tai visų pirma pasakytina apie mažesnio muito taisyklę, kai nustatomas žalos skirtumas. Šiuo nauju požiūriu reaguojama į plačiai paplitusį institucinių suinteresuotųjų subjektų ir didelės dalies visuomenės susirūpinimą, kad atviro</w:t>
      </w:r>
      <w:r>
        <w:rPr>
          <w:noProof/>
        </w:rPr>
        <w:t>s prekybos politika gali būti grindžiama tik tvaria prekyba, kuria laikomasi tam tikro minimalaus bendrų vertybių skaičiaus.</w:t>
      </w:r>
    </w:p>
    <w:p w:rsidR="00466FA3" w:rsidRDefault="000E0F36">
      <w:pPr>
        <w:pStyle w:val="ListParagraph"/>
        <w:spacing w:before="240" w:after="240"/>
        <w:ind w:left="0"/>
        <w:jc w:val="both"/>
        <w:rPr>
          <w:b/>
          <w:i/>
          <w:noProof/>
        </w:rPr>
      </w:pPr>
      <w:r>
        <w:rPr>
          <w:b/>
          <w:i/>
          <w:noProof/>
        </w:rPr>
        <w:t>Nauja dempingo skaičiavimo metodika ir sugriežtinta antisubsidijų priemonė</w:t>
      </w:r>
    </w:p>
    <w:p w:rsidR="00466FA3" w:rsidRDefault="000E0F36">
      <w:pPr>
        <w:autoSpaceDE w:val="0"/>
        <w:autoSpaceDN w:val="0"/>
        <w:adjustRightInd w:val="0"/>
        <w:spacing w:before="120" w:after="240"/>
        <w:jc w:val="both"/>
        <w:rPr>
          <w:bCs/>
          <w:noProof/>
        </w:rPr>
      </w:pPr>
      <w:r>
        <w:rPr>
          <w:noProof/>
        </w:rPr>
        <w:t>Siekiant geriau atsižvelgti į naujas ekonomikos realijas</w:t>
      </w:r>
      <w:r>
        <w:rPr>
          <w:noProof/>
        </w:rPr>
        <w:t>, Komisijos pasiūlymu 2017 m. gruodžio 20 d. buvo iš dalies pakeisti ES pagrindiniai reglamentai. Šis teisės aktų pakeitimas yra svarbi ES prekybos apsaugos priemonių reforma. Visų pirma šiuo pakeitimu buvo nustatyta nauja metodika tiriamųjų prekių normali</w:t>
      </w:r>
      <w:r>
        <w:rPr>
          <w:noProof/>
        </w:rPr>
        <w:t xml:space="preserve">ajai vertei apskaičiuoti, kai eksportuojančiosios šalies valdžios institucijos sukelia didelius iškraipymus. Tokių iškraipymų gali būti visos šalies mastu arba tam tikrame sektoriuje: naujosiomis taisyklėmis nedaromas poveikis nė vienos šalies priskyrimui </w:t>
      </w:r>
      <w:r>
        <w:rPr>
          <w:noProof/>
        </w:rPr>
        <w:t>prie rinkos ar ne rinkos ekonomikos šalių. Kad suinteresuotieji subjektai galėtų pateikti argumentus dėl šalių, kuriose esama iškraipymų, Komisija gali skelbti ataskaitas dėl tam tikrose šalyse ar sektoriuose nustatytų iškraipymų. Pirma tokia ataskaita buv</w:t>
      </w:r>
      <w:r>
        <w:rPr>
          <w:noProof/>
        </w:rPr>
        <w:t>o susijusi su Kinija</w:t>
      </w:r>
      <w:r>
        <w:rPr>
          <w:rStyle w:val="FootnoteReference"/>
          <w:noProof/>
        </w:rPr>
        <w:footnoteReference w:id="16"/>
      </w:r>
      <w:r>
        <w:rPr>
          <w:noProof/>
        </w:rPr>
        <w:t>, nes iki šiol į šią šalį buvo orientuota didžiausia ES prekybos apsaugos veiklos dalis. Komisija taip pat paskelbė, kad kita šalies vertinimo ataskaita bus skirta Rusijai</w:t>
      </w:r>
      <w:r>
        <w:rPr>
          <w:rStyle w:val="FootnoteReference"/>
          <w:noProof/>
        </w:rPr>
        <w:footnoteReference w:id="17"/>
      </w:r>
      <w:r>
        <w:rPr>
          <w:noProof/>
        </w:rPr>
        <w:t>.</w:t>
      </w:r>
    </w:p>
    <w:p w:rsidR="00466FA3" w:rsidRDefault="000E0F36">
      <w:pPr>
        <w:autoSpaceDE w:val="0"/>
        <w:autoSpaceDN w:val="0"/>
        <w:adjustRightInd w:val="0"/>
        <w:spacing w:before="120" w:after="240"/>
        <w:jc w:val="both"/>
        <w:rPr>
          <w:noProof/>
          <w:szCs w:val="20"/>
        </w:rPr>
      </w:pPr>
      <w:r>
        <w:rPr>
          <w:noProof/>
        </w:rPr>
        <w:t>Antra, dėl naujų pakeitimų taip pat sustiprinta antisubsidijų</w:t>
      </w:r>
      <w:r>
        <w:rPr>
          <w:noProof/>
        </w:rPr>
        <w:t xml:space="preserve"> priemonė. Komisijai sudarytos sąlygos geriau išsiaiškinti visą subsidijavimo mastą: dabar ji gali atsižvelgti ir į subsidijas, nustatytas tik per tyrimą. Šis pakeitimas svarbus, nes užsienio šalių vyriausybės teikia vis daugiau neskaidrių subsidijų, pažei</w:t>
      </w:r>
      <w:r>
        <w:rPr>
          <w:noProof/>
        </w:rPr>
        <w:t>sdamos Pasaulio prekybos organizacijos (PPO) taisykles dėl pranešimo apie subsidijas.</w:t>
      </w:r>
    </w:p>
    <w:p w:rsidR="00466FA3" w:rsidRDefault="000E0F36">
      <w:pPr>
        <w:pStyle w:val="Heading1"/>
        <w:numPr>
          <w:ilvl w:val="0"/>
          <w:numId w:val="0"/>
        </w:numPr>
        <w:spacing w:before="480"/>
        <w:ind w:left="851" w:hanging="851"/>
        <w:rPr>
          <w:noProof/>
        </w:rPr>
      </w:pPr>
      <w:r>
        <w:rPr>
          <w:noProof/>
        </w:rPr>
        <w:t>I.3.</w:t>
      </w:r>
      <w:r>
        <w:rPr>
          <w:noProof/>
        </w:rPr>
        <w:tab/>
        <w:t>Sistema, kuria veiksmingai kovojama su besiformuojančiais pasauliniais iššūkiais</w:t>
      </w:r>
    </w:p>
    <w:p w:rsidR="00466FA3" w:rsidRDefault="000E0F36">
      <w:pPr>
        <w:pStyle w:val="ListParagraph"/>
        <w:spacing w:after="240"/>
        <w:ind w:left="0"/>
        <w:jc w:val="both"/>
        <w:rPr>
          <w:noProof/>
        </w:rPr>
      </w:pPr>
      <w:r>
        <w:rPr>
          <w:noProof/>
        </w:rPr>
        <w:t>Per pastaruosius keletą metų prekybos apsaugos priemonių svarba didėjo, nes šios pri</w:t>
      </w:r>
      <w:r>
        <w:rPr>
          <w:noProof/>
        </w:rPr>
        <w:t>emonės pasirodė esančios labai svarbios pasaulio prekybos iššūkiams įveikti.</w:t>
      </w:r>
    </w:p>
    <w:p w:rsidR="00466FA3" w:rsidRDefault="000E0F36">
      <w:pPr>
        <w:pStyle w:val="ListParagraph"/>
        <w:spacing w:after="240"/>
        <w:ind w:left="0"/>
        <w:jc w:val="both"/>
        <w:rPr>
          <w:noProof/>
        </w:rPr>
      </w:pPr>
      <w:r>
        <w:rPr>
          <w:noProof/>
        </w:rPr>
        <w:t xml:space="preserve">Dėl įvairaus perteklinių Kinijos pajėgumų šalutinio poveikio prekybai 2013–2016 m. </w:t>
      </w:r>
      <w:r>
        <w:rPr>
          <w:b/>
          <w:noProof/>
        </w:rPr>
        <w:t>Europos plieno pramonė</w:t>
      </w:r>
      <w:r>
        <w:rPr>
          <w:noProof/>
        </w:rPr>
        <w:t xml:space="preserve"> patyrė didžiulių nuostolių. Politinis atsakas buvo greitas ir visapusiška</w:t>
      </w:r>
      <w:r>
        <w:rPr>
          <w:noProof/>
        </w:rPr>
        <w:t>s – 2016 m. kovo mėn. buvo priimtas komunikatas</w:t>
      </w:r>
      <w:r>
        <w:rPr>
          <w:rStyle w:val="FootnoteReference"/>
          <w:noProof/>
        </w:rPr>
        <w:footnoteReference w:id="18"/>
      </w:r>
      <w:r>
        <w:rPr>
          <w:noProof/>
        </w:rPr>
        <w:t xml:space="preserve">, kuriame išdėstytas platus priemonių spektras, apimantis esminę – prekybos – politiką. </w:t>
      </w:r>
    </w:p>
    <w:p w:rsidR="00466FA3" w:rsidRDefault="000E0F36">
      <w:pPr>
        <w:pStyle w:val="ListParagraph"/>
        <w:spacing w:after="240"/>
        <w:ind w:left="0"/>
        <w:jc w:val="both"/>
        <w:rPr>
          <w:noProof/>
        </w:rPr>
      </w:pPr>
      <w:r>
        <w:rPr>
          <w:noProof/>
        </w:rPr>
        <w:t>Prekybos apsaugos priemonių požiūriu atsakas buvo dvejopas. 2014–2018 m. ES nustatė 25 naujas priemones, skirtas plieno</w:t>
      </w:r>
      <w:r>
        <w:rPr>
          <w:noProof/>
        </w:rPr>
        <w:t xml:space="preserve"> gaminiams (iš visų 35 naujų prekybos apsaugos priemonių), siekdama panaikinti importo dempingo kaina ir subsidijuojamo importo žalingą poveikį, atkurti sąžiningas prekybos sąlygas ir kartu prisidėti prie sektoriaus atsigavimo. Be to, ES ėmėsi tam tikrų pr</w:t>
      </w:r>
      <w:r>
        <w:rPr>
          <w:noProof/>
        </w:rPr>
        <w:t xml:space="preserve">ekybos apsaugos veiksmų, kad geriau apsaugotų plieno pramonę – vykdė importo stebėseną, paspartino tyrimus, inicijavo žalos grėsme pagrįstus tyrimus (tais atvejais, kai tai buvo pagrįsta) arba atgaline data taikė galutinius muitus, kai tai buvo tikslinga. </w:t>
      </w:r>
    </w:p>
    <w:p w:rsidR="00466FA3" w:rsidRDefault="000E0F36">
      <w:pPr>
        <w:pStyle w:val="ListParagraph"/>
        <w:spacing w:after="240"/>
        <w:ind w:left="0"/>
        <w:jc w:val="both"/>
        <w:rPr>
          <w:rFonts w:ascii="Arial" w:hAnsi="Arial" w:cs="Arial"/>
          <w:noProof/>
          <w:sz w:val="22"/>
          <w:szCs w:val="22"/>
        </w:rPr>
      </w:pPr>
      <w:r>
        <w:rPr>
          <w:noProof/>
        </w:rPr>
        <w:t>Šie veiksmai turėjo reikšmingą poveikį: gaminių, kuriems buvo taikomos 2014–2017 m. patvirtintos priemonės, importas vidutiniškai sumažėjo daugiau kaip 95 proc., palyginti su importo apimtimi, buvusia iki priemonių nustatymo. Kai prekybos apsaugos priemon</w:t>
      </w:r>
      <w:r>
        <w:rPr>
          <w:noProof/>
        </w:rPr>
        <w:t>ėmis buvo neutralizuotas nesąžiningas šio importo elementas, t. y. dempingo arba subsidijuojama kaina, importas tapo nebekonkurencingas. Esminių plieno gaminių, kurių naudotojų pramonė Europos Sąjungoje priklauso nuo importo, pvz., karštai valcuotų ritinių</w:t>
      </w:r>
      <w:r>
        <w:rPr>
          <w:noProof/>
        </w:rPr>
        <w:t>, importas dempingo kaina arba subsidijuojamas importas buvo pakeistas importu iš kitų šaltinių, kurių atžvilgiu nesąžiningos kainodaros įrodymų tuo metu nebuvo. Neutralizavus importą dempingo kaina arba subsidijuojamą importą, prekybos apsaugos priemonėmi</w:t>
      </w:r>
      <w:r>
        <w:rPr>
          <w:noProof/>
        </w:rPr>
        <w:t>s buvo atkurtos vienodos sąlygos ne tik ES gamybos pramonei, bet ir kitiems trečiųjų šalių tiekėjams, taip sudarant ES naudotojams sąlygas toliau naudotis diversifikuotais tiekimo šaltiniais.</w:t>
      </w:r>
    </w:p>
    <w:p w:rsidR="00466FA3" w:rsidRDefault="000E0F36">
      <w:pPr>
        <w:pStyle w:val="ListParagraph"/>
        <w:spacing w:after="240"/>
        <w:ind w:left="0"/>
        <w:jc w:val="both"/>
        <w:rPr>
          <w:noProof/>
        </w:rPr>
      </w:pPr>
      <w:r>
        <w:rPr>
          <w:noProof/>
        </w:rPr>
        <w:t>2017 m. buvo pastebėti pirmieji apčiuopiami plieno pramonės atsi</w:t>
      </w:r>
      <w:r>
        <w:rPr>
          <w:noProof/>
        </w:rPr>
        <w:t>gavimo ženklai, iš dalies dėl Komisijos nustatytų prekybos apsaugos priemonių. Tačiau ES plieno pramonė ir toliau liko pažeidžiama, jai ir toliau žalą darė importas dempingo kaina ir (arba) subsidijuojamas importas. Ši padėtis susidarė dėl perteklinių plie</w:t>
      </w:r>
      <w:r>
        <w:rPr>
          <w:noProof/>
        </w:rPr>
        <w:t xml:space="preserve">no gamybos pajėgumų visame pasaulyje.  </w:t>
      </w:r>
    </w:p>
    <w:p w:rsidR="00466FA3" w:rsidRDefault="000E0F36">
      <w:pPr>
        <w:spacing w:after="240"/>
        <w:jc w:val="both"/>
        <w:rPr>
          <w:noProof/>
        </w:rPr>
      </w:pPr>
      <w:r>
        <w:rPr>
          <w:noProof/>
        </w:rPr>
        <w:t xml:space="preserve">Minėtomis aplinkybėmis 2018 m. </w:t>
      </w:r>
      <w:r>
        <w:rPr>
          <w:b/>
          <w:noProof/>
        </w:rPr>
        <w:t>prekybos srityje kilo daugiau iššūkių</w:t>
      </w:r>
      <w:r>
        <w:rPr>
          <w:noProof/>
        </w:rPr>
        <w:t>, todėl Komisija turėjo pateikti greitą, tačiau pasvertą atsaką. 2018 m. kovo 23 d. JAV nustatė 25 proc. importo muitą plieno gaminiams. ES šias pri</w:t>
      </w:r>
      <w:r>
        <w:rPr>
          <w:noProof/>
        </w:rPr>
        <w:t>emones pripažino teisiškai nepagrįstomis ir ryžtingai reagavo į šiuos prekybos trikdymo veiksmus. Komisija ėmėsi veiksmų trimis kryptimis – ji ne tik apskundė JAV priemones pagal PPO ginčų sprendimo sistemą ir nustatė išlyginamąsias priemones, bet ir ėmėsi</w:t>
      </w:r>
      <w:r>
        <w:rPr>
          <w:noProof/>
        </w:rPr>
        <w:t xml:space="preserve"> prekybos apsaugos veiksmų – inicijavo pirmą nuo 2002 m. apsaugos priemonių tyrimą. Dėl JAV muitų pasauliniai tiekėjai nukreipė tam tikrą savo eksporto dalį iš JAV į ES. Siekdama išvengti tolesnio spartaus importo didėjimo, dėl kurio galėjo pablogėti jau i</w:t>
      </w:r>
      <w:r>
        <w:rPr>
          <w:noProof/>
        </w:rPr>
        <w:t xml:space="preserve">r taip pažeidžiama (dėl perteklinių pajėgumų visame pasaulyje) ES plieno gamintojų ekonominė padėtis, Komisija nustatė </w:t>
      </w:r>
      <w:r>
        <w:rPr>
          <w:i/>
          <w:noProof/>
        </w:rPr>
        <w:t>erga omnes</w:t>
      </w:r>
      <w:r>
        <w:rPr>
          <w:noProof/>
        </w:rPr>
        <w:t xml:space="preserve"> galutines apsaugos priemones</w:t>
      </w:r>
      <w:r>
        <w:rPr>
          <w:rStyle w:val="FootnoteReference"/>
          <w:noProof/>
        </w:rPr>
        <w:footnoteReference w:id="19"/>
      </w:r>
      <w:r>
        <w:rPr>
          <w:noProof/>
        </w:rPr>
        <w:t>. Tarifinių kvotų forma taikomomis priemonėmis bus išlaikyti tradiciniai prekybos srautai ir tiek</w:t>
      </w:r>
      <w:r>
        <w:rPr>
          <w:noProof/>
        </w:rPr>
        <w:t>imo šaltinių, reikalingų ES naudotojų pramonei, įvairovė, o kartu ES gamintojų pramonė bus apsaugota nuo prekybos srautų nukreipimo į kitas šalis.</w:t>
      </w:r>
    </w:p>
    <w:p w:rsidR="00466FA3" w:rsidRDefault="000E0F36">
      <w:pPr>
        <w:jc w:val="both"/>
        <w:rPr>
          <w:noProof/>
        </w:rPr>
      </w:pPr>
      <w:r>
        <w:rPr>
          <w:noProof/>
        </w:rPr>
        <w:t xml:space="preserve">Komisija taip pat sustiprino kovą su trečiųjų šalių teikiamomis </w:t>
      </w:r>
      <w:r>
        <w:rPr>
          <w:b/>
          <w:noProof/>
        </w:rPr>
        <w:t>prekybą iškraipančiomis subsidijomis</w:t>
      </w:r>
      <w:r>
        <w:rPr>
          <w:noProof/>
        </w:rPr>
        <w:t>. Konkreč</w:t>
      </w:r>
      <w:r>
        <w:rPr>
          <w:noProof/>
        </w:rPr>
        <w:t xml:space="preserve">iai – subsidijos, kuriomis prisidedama prie perteklinių pajėgumų susidarymo, gali turėti stiprų iškraipomąjį poveikį, o dėl jų vykdoma perteklinė gamyba dažnai turi šalutinį poveikį eksporto rinkoms. Toks subsidijavimas dažnai daro </w:t>
      </w:r>
      <w:r>
        <w:rPr>
          <w:i/>
          <w:noProof/>
        </w:rPr>
        <w:t>de facto</w:t>
      </w:r>
      <w:r>
        <w:rPr>
          <w:noProof/>
        </w:rPr>
        <w:t xml:space="preserve"> poveikį, kuris </w:t>
      </w:r>
      <w:r>
        <w:rPr>
          <w:noProof/>
        </w:rPr>
        <w:t>yra panašus į eksporto subsidijų poveikį, o pastarosios pagal PPO taisykles yra draudžiamos. 2014 m. lapkričio mėn. – 2018 m. gruodžio mėn. Komisija pradėjo 25 antisubsidijų tyrimus ir nustatė 12 naujų, išplėstų arba pratęsto galiojimo antisubsidijų priemo</w:t>
      </w:r>
      <w:r>
        <w:rPr>
          <w:noProof/>
        </w:rPr>
        <w:t>nių. Daugeliu atvejų tyrimo išvados rodo gana didelį subsidijavimo lygį, o ankstesniais laikotarpiais tai buvo gana retas atvejis. Pavyzdžiui, nemaži kompensaciniai muitai buvo nustatyti Kinijos plokštiems karštojo valcavimo produktams iš plieno (iki 35,9 </w:t>
      </w:r>
      <w:r>
        <w:rPr>
          <w:noProof/>
        </w:rPr>
        <w:t xml:space="preserve">proc. siekiantis kompensacinis muitas) arba padangoms iš Kinijos (iki 51,08 proc. siekiantis kompensacinis muitas). Kadangi tampa vis svarbiau spręsti trečiųjų šalių vykdomo subsidijavimo problemą, Komisija paskelbė specialią subsidijų </w:t>
      </w:r>
      <w:r>
        <w:rPr>
          <w:b/>
          <w:noProof/>
        </w:rPr>
        <w:t>duomenų bazę</w:t>
      </w:r>
      <w:r>
        <w:rPr>
          <w:noProof/>
        </w:rPr>
        <w:t xml:space="preserve">, kuria </w:t>
      </w:r>
      <w:r>
        <w:rPr>
          <w:noProof/>
        </w:rPr>
        <w:t>siekiama suteikti daugiau skaidrios informacijos apie užsienio valstybių subsidijavimo schemas. Duomenų bazė dabar yra paskelbta Komisijos interneto svetainėje</w:t>
      </w:r>
      <w:r>
        <w:rPr>
          <w:rStyle w:val="FootnoteReference"/>
          <w:noProof/>
        </w:rPr>
        <w:footnoteReference w:id="20"/>
      </w:r>
      <w:r>
        <w:rPr>
          <w:noProof/>
        </w:rPr>
        <w:t xml:space="preserve"> ir reguliariai atnaujinama. Pažymėtina, kad PPO šalys narės teisiškai privalo pranešti apie sav</w:t>
      </w:r>
      <w:r>
        <w:rPr>
          <w:noProof/>
        </w:rPr>
        <w:t>o subsidijas PPO. Tačiau daugelis PPO narių šios prievolės nevykdo arba ją vykdo tik iš dalies. Šiuos prievolių nevykdymo atvejus ES sistemingai aptaria PPO antisubsidijų komitete. Be to, ES užsakė tyrimus, kuriais nagrinėjamas užsienio šalių, pirmiausia K</w:t>
      </w:r>
      <w:r>
        <w:rPr>
          <w:noProof/>
        </w:rPr>
        <w:t>inijos, vyriausybių vykdomas subsidijavimas. Šie tyrimai bus skelbiami viešai, siekiant kompensuoti užsienio subsidijų schemų skaidrumo trūkumą.</w:t>
      </w:r>
    </w:p>
    <w:p w:rsidR="00466FA3" w:rsidRDefault="000E0F36">
      <w:pPr>
        <w:pStyle w:val="Heading1"/>
        <w:numPr>
          <w:ilvl w:val="0"/>
          <w:numId w:val="0"/>
        </w:numPr>
        <w:spacing w:before="480"/>
        <w:ind w:left="851" w:hanging="851"/>
        <w:rPr>
          <w:noProof/>
          <w:highlight w:val="yellow"/>
        </w:rPr>
      </w:pPr>
      <w:r>
        <w:rPr>
          <w:noProof/>
        </w:rPr>
        <w:t>I.4.</w:t>
      </w:r>
      <w:r>
        <w:rPr>
          <w:noProof/>
        </w:rPr>
        <w:tab/>
        <w:t>Aktyvios iniciatyvos trečiųjų šalių veiksmams neutralizuoti</w:t>
      </w:r>
    </w:p>
    <w:p w:rsidR="00466FA3" w:rsidRDefault="000E0F36">
      <w:pPr>
        <w:spacing w:before="120" w:after="240"/>
        <w:jc w:val="both"/>
        <w:rPr>
          <w:noProof/>
        </w:rPr>
      </w:pPr>
      <w:r>
        <w:rPr>
          <w:noProof/>
        </w:rPr>
        <w:t xml:space="preserve">Stengdamasi Europos pramonei </w:t>
      </w:r>
      <w:r>
        <w:rPr>
          <w:b/>
          <w:noProof/>
        </w:rPr>
        <w:t xml:space="preserve">užtikrinti </w:t>
      </w:r>
      <w:r>
        <w:rPr>
          <w:b/>
          <w:noProof/>
        </w:rPr>
        <w:t>sąžiningas prekybos sąlygas</w:t>
      </w:r>
      <w:r>
        <w:rPr>
          <w:noProof/>
        </w:rPr>
        <w:t>, Komisija taip pat ėmėsi intervencinių veiksmų, kai trečiosios šalys ketino ES eksporto atžvilgiu nustatyti nepagrįstas prekybos apsaugos priemones. Nuo 2014 m. nuolat intensyvėja prekybos apsaugos veikla, o 2018 m. ji pasiekė v</w:t>
      </w:r>
      <w:r>
        <w:rPr>
          <w:noProof/>
        </w:rPr>
        <w:t>isų laikų rekordą, kai Komisijos tarnybos ėmėsi intervencinių veiksmų, susijusių su maždaug 70 užsienio prekybos apsaugos tyrimų. Šie intervenciniai veiksmai – tai rašytinių pareiškimų rengimas ir dalyvavimas vykdomų tyrimų techninio lygio klausymuose. Pri</w:t>
      </w:r>
      <w:r>
        <w:rPr>
          <w:noProof/>
        </w:rPr>
        <w:t xml:space="preserve">reikus Komisija ėmėsi intervencinių veiksmų ir politiniu lygmeniu. </w:t>
      </w:r>
    </w:p>
    <w:p w:rsidR="00466FA3" w:rsidRDefault="000E0F36">
      <w:pPr>
        <w:pStyle w:val="ListParagraph"/>
        <w:spacing w:before="120" w:after="240"/>
        <w:ind w:left="0"/>
        <w:jc w:val="both"/>
        <w:rPr>
          <w:noProof/>
        </w:rPr>
      </w:pPr>
      <w:r>
        <w:rPr>
          <w:noProof/>
        </w:rPr>
        <w:t>Tokių veiksmų tikslas – užtikrinti, kad būtų laikomasi taisyklių ir nebūtų piktnaudžiaujama prekybos apsaugos priemonėmis. Tokiu būdu Komisijos veiksmai padėjo išvengti daugelio nepagrįstų</w:t>
      </w:r>
      <w:r>
        <w:rPr>
          <w:noProof/>
        </w:rPr>
        <w:t xml:space="preserve"> priemonių. Paminėtini šie pavyzdžiai: </w:t>
      </w:r>
    </w:p>
    <w:p w:rsidR="00466FA3" w:rsidRDefault="000E0F36">
      <w:pPr>
        <w:pStyle w:val="ListParagraph"/>
        <w:spacing w:before="120" w:after="120"/>
        <w:ind w:left="284"/>
        <w:jc w:val="both"/>
        <w:rPr>
          <w:noProof/>
        </w:rPr>
      </w:pPr>
      <w:r>
        <w:rPr>
          <w:noProof/>
        </w:rPr>
        <w:t>1) JAV pradėjo tyrimus dėl didelių civilinių orlaivių importo iš Kanados. Šis atvejis turėjo netiesioginį poveikį Europos Sąjungai, nes buvo susijęs su ES įmone, gaminančia sparnus Kanados orlaiviams. Bet kurios prie</w:t>
      </w:r>
      <w:r>
        <w:rPr>
          <w:noProof/>
        </w:rPr>
        <w:t>monės galėjo sukelti tiesioginį pavojų maždaug 4 000 darbo vietų Europos Sąjungoje. Komisija JAV tyrimo laikotarpiu pateikė kelis pareiškimus, nurodydama aiškų atvejo neatitikimą PPO taisyklėms. Visų pirma ji pažymėjo, kad JAV pramonei žalos nėra padaryta.</w:t>
      </w:r>
      <w:r>
        <w:rPr>
          <w:noProof/>
        </w:rPr>
        <w:t xml:space="preserve"> Dėl šio argumento 2018 m. sausio mėn. JAV tyrimas buvo nutrauktas. </w:t>
      </w:r>
    </w:p>
    <w:p w:rsidR="00466FA3" w:rsidRDefault="000E0F36">
      <w:pPr>
        <w:pStyle w:val="ListParagraph"/>
        <w:spacing w:before="120" w:after="120"/>
        <w:ind w:left="284"/>
        <w:jc w:val="both"/>
        <w:rPr>
          <w:noProof/>
        </w:rPr>
      </w:pPr>
      <w:r>
        <w:rPr>
          <w:noProof/>
        </w:rPr>
        <w:t>2) Komisija sėkmingai ėmėsi intervencinių veiksmų Turkijai atliekant apsaugos priemonių tyrimą dėl padangų, galėjusį daryti poveikį ES eksportui, siekiančiam 450 mln. EUR per metus: Komis</w:t>
      </w:r>
      <w:r>
        <w:rPr>
          <w:noProof/>
        </w:rPr>
        <w:t xml:space="preserve">ija ryžtingai ėmėsi intervencinių veiksmų ir priemonių buvo išvengta. </w:t>
      </w:r>
    </w:p>
    <w:p w:rsidR="00466FA3" w:rsidRDefault="000E0F36">
      <w:pPr>
        <w:spacing w:after="120"/>
        <w:ind w:left="284"/>
        <w:jc w:val="both"/>
        <w:rPr>
          <w:noProof/>
        </w:rPr>
      </w:pPr>
      <w:r>
        <w:rPr>
          <w:noProof/>
        </w:rPr>
        <w:t>3) Komisijos veiksmai taip pat buvo sėkmingi Indijai vykdant antidempingo tyrimą dėl kreidinio popieriaus importo (eksporto vertė – maždaug 110 mln. EUR). Komisija, dalyvaujant ES deleg</w:t>
      </w:r>
      <w:r>
        <w:rPr>
          <w:noProof/>
        </w:rPr>
        <w:t>acijai, įsikišo daug kartų, o galiausiai Komisijos narė C. Malmström tiesiogiai kreipėsi į Indijos vyriausybę. Byla buvo baigta nenustačius priemonių.</w:t>
      </w:r>
    </w:p>
    <w:p w:rsidR="00466FA3" w:rsidRDefault="000E0F36">
      <w:pPr>
        <w:spacing w:after="120"/>
        <w:ind w:left="284"/>
        <w:jc w:val="both"/>
        <w:rPr>
          <w:noProof/>
        </w:rPr>
      </w:pPr>
      <w:r>
        <w:rPr>
          <w:noProof/>
        </w:rPr>
        <w:t>4) Australijos vykdomas antidempingo tyrimas dėl konservuotų pomidorų importo iš Italijos, kuriame Komisi</w:t>
      </w:r>
      <w:r>
        <w:rPr>
          <w:noProof/>
        </w:rPr>
        <w:t>ja dalyvavo keletą metų (pradinės priemonės tuometinės 60 mln. EUR vertės eksportui buvo skirtos 2014 ir 2016 m.), 2018 m. pakrypo teigiama linkme. Australijos peržiūros komisija patvirtino, kad Italijos pomidorų augintojams teiktos tiesioginės paramos pri</w:t>
      </w:r>
      <w:r>
        <w:rPr>
          <w:noProof/>
        </w:rPr>
        <w:t xml:space="preserve">emonės neturėjo iškreipiamojo poveikio ir kad Italijos pomidorų rinkoje nebuvo „ypatingos padėties rinkoje“, todėl byla buvo galutinai nutraukta. </w:t>
      </w:r>
    </w:p>
    <w:p w:rsidR="00466FA3" w:rsidRDefault="000E0F36">
      <w:pPr>
        <w:kinsoku w:val="0"/>
        <w:overflowPunct w:val="0"/>
        <w:spacing w:after="120"/>
        <w:ind w:left="284"/>
        <w:jc w:val="both"/>
        <w:textAlignment w:val="baseline"/>
        <w:rPr>
          <w:noProof/>
        </w:rPr>
      </w:pPr>
      <w:r>
        <w:rPr>
          <w:noProof/>
        </w:rPr>
        <w:t>5) Komisija ėmėsi intervencinių veiksmų JAV vykdant antidempingo peržiūros tyrimą dėl nepadengto popieriaus i</w:t>
      </w:r>
      <w:r>
        <w:rPr>
          <w:noProof/>
        </w:rPr>
        <w:t>mporto iš Portugalijos (eksporto vertė – maždaug 140 mln. EUR). Po Komisijos įsikišimo galutinis 37 proc. muitas buvo sumažintas iki 1,75 proc. (panašiai kaip ir 2016 m. intervencinių veiksmų atveju, kai muitas buvo sumažintas nuo 29 proc. iki 7 proc.).</w:t>
      </w:r>
    </w:p>
    <w:p w:rsidR="00466FA3" w:rsidRDefault="000E0F36">
      <w:pPr>
        <w:kinsoku w:val="0"/>
        <w:overflowPunct w:val="0"/>
        <w:spacing w:after="120"/>
        <w:ind w:left="284"/>
        <w:jc w:val="both"/>
        <w:textAlignment w:val="baseline"/>
        <w:rPr>
          <w:noProof/>
        </w:rPr>
      </w:pPr>
      <w:r>
        <w:rPr>
          <w:noProof/>
        </w:rPr>
        <w:t>6)</w:t>
      </w:r>
      <w:r>
        <w:rPr>
          <w:noProof/>
        </w:rPr>
        <w:t xml:space="preserve"> Komisija ėmėsi intervencinių veiksmų Kolumbijai vykdant tyrimą dėl užšaldytų gruzdintų bulvyčių iš ES. Dėl intervencinių veiksmų įmonių, kurioms buvo taikomas muitas, skaičius sumažėjo, sumažėjo ir muito lygis. Tačiau dėl minėtų priemonių tebekyla problem</w:t>
      </w:r>
      <w:r>
        <w:rPr>
          <w:noProof/>
        </w:rPr>
        <w:t>ų ir Komisija svarsto tolesnius veiksmus šioms priemonėms panaikinti, pvz., imtis papildomų dvišalių intervencinių veiksmų arba galbūt veiksmų PPO lygmeniu.</w:t>
      </w:r>
    </w:p>
    <w:p w:rsidR="00466FA3" w:rsidRDefault="000E0F36">
      <w:pPr>
        <w:spacing w:before="240" w:after="240"/>
        <w:jc w:val="both"/>
        <w:rPr>
          <w:noProof/>
        </w:rPr>
      </w:pPr>
      <w:r>
        <w:rPr>
          <w:noProof/>
        </w:rPr>
        <w:t xml:space="preserve">Komisija daugeliu atvejų taip pat inicijavo </w:t>
      </w:r>
      <w:r>
        <w:rPr>
          <w:b/>
          <w:noProof/>
        </w:rPr>
        <w:t>PPO ginčų sprendimo procedūras</w:t>
      </w:r>
      <w:r>
        <w:rPr>
          <w:noProof/>
        </w:rPr>
        <w:t>, taip siekdama, kad nepa</w:t>
      </w:r>
      <w:r>
        <w:rPr>
          <w:noProof/>
        </w:rPr>
        <w:t>grįstos priemonės būtų panaikintos. Taip buvo, kai Rusija taikė antidempingo muitus lengvosioms komercinėms transporto priemonėms iš Vokietijos ir Italijos, – galiausiai buvo nustatyta, kad Rusija pažeidžia savo prievoles pagal PPO taisykles, ir ji priemon</w:t>
      </w:r>
      <w:r>
        <w:rPr>
          <w:noProof/>
        </w:rPr>
        <w:t xml:space="preserve">ių galiojimo atitinkamai nepratęsė. </w:t>
      </w:r>
    </w:p>
    <w:p w:rsidR="00466FA3" w:rsidRDefault="000E0F36">
      <w:pPr>
        <w:spacing w:before="120" w:after="120"/>
        <w:jc w:val="both"/>
        <w:rPr>
          <w:noProof/>
        </w:rPr>
      </w:pPr>
      <w:r>
        <w:rPr>
          <w:noProof/>
        </w:rPr>
        <w:t xml:space="preserve">Komisijos įgaliojimų laikotarpiu derybos dėl </w:t>
      </w:r>
      <w:r>
        <w:rPr>
          <w:b/>
          <w:noProof/>
        </w:rPr>
        <w:t>laisvosios prekybos susitarimų</w:t>
      </w:r>
      <w:r>
        <w:rPr>
          <w:noProof/>
        </w:rPr>
        <w:t xml:space="preserve"> suteikė galimybę susitarti su partneriais dėl bendros tvarkos vykdant prekybos apsaugos tyrimus. Šia bendra tvarka buvo užtikrintas didesnis sk</w:t>
      </w:r>
      <w:r>
        <w:rPr>
          <w:noProof/>
        </w:rPr>
        <w:t>aidrumas vykdant tyrimus ir subalansuotas požiūris taikant muitus. Tai buvo pasiekta, pavyzdžiui, skatinant, kai įmanoma, taikyti mažesnio muito taisyklę ir atsižvelgiant į importuotojų ir tolesnių naudotojų interesus. Tokios nuostatos dabar įtvirtintos mū</w:t>
      </w:r>
      <w:r>
        <w:rPr>
          <w:noProof/>
        </w:rPr>
        <w:t>sų susitarimuose su Korėja ir Japonija, dėl jų deramasi su kitais partneriais.</w:t>
      </w:r>
    </w:p>
    <w:p w:rsidR="00466FA3" w:rsidRDefault="000E0F36">
      <w:pPr>
        <w:pStyle w:val="Heading1"/>
        <w:numPr>
          <w:ilvl w:val="0"/>
          <w:numId w:val="0"/>
        </w:numPr>
        <w:spacing w:before="480"/>
        <w:ind w:left="851" w:hanging="851"/>
        <w:rPr>
          <w:noProof/>
        </w:rPr>
      </w:pPr>
      <w:r>
        <w:rPr>
          <w:noProof/>
        </w:rPr>
        <w:t>I.5.</w:t>
      </w:r>
      <w:r>
        <w:rPr>
          <w:noProof/>
        </w:rPr>
        <w:tab/>
        <w:t>Skaidresnė sistema</w:t>
      </w:r>
    </w:p>
    <w:p w:rsidR="00466FA3" w:rsidRDefault="000E0F36">
      <w:pPr>
        <w:pStyle w:val="ListParagraph"/>
        <w:spacing w:after="240"/>
        <w:ind w:left="0"/>
        <w:jc w:val="both"/>
        <w:rPr>
          <w:rFonts w:ascii="Arial" w:hAnsi="Arial" w:cs="Arial"/>
          <w:noProof/>
          <w:sz w:val="22"/>
          <w:szCs w:val="22"/>
        </w:rPr>
      </w:pPr>
      <w:r>
        <w:rPr>
          <w:noProof/>
        </w:rPr>
        <w:t>PPO taisyklėmis nustatyti tik būtinieji reikalavimai, o šios sudėties Komisija ėmėsi įvairių skaidrumo iniciatyvų, kad prekybos apsaugos sistema suintere</w:t>
      </w:r>
      <w:r>
        <w:rPr>
          <w:noProof/>
        </w:rPr>
        <w:t>suotiesiems subjektams taptų veiksmingesnė, įtraukesnė ir informatyvesnė. Rezultatas – Komisija dabar naudoja specialią internetinę platformą (TRON), kuria sudaromos sąlygos geriau ir lengviau keistis informacija su suinteresuotosiomis šalimis. Per šią pla</w:t>
      </w:r>
      <w:r>
        <w:rPr>
          <w:noProof/>
        </w:rPr>
        <w:t>tformą suinteresuotosioms šalims suteikiama nuolatinė prieiga prie nekonfidencialių tyrimo rinkmenų, kad jos galėtų veiksmingai ginti savo teises. Kalbant apie skaidrumą plačiosios visuomenės atžvilgiu, nuo 2016 m. gegužės mėn. Komisija savo interneto svet</w:t>
      </w:r>
      <w:r>
        <w:rPr>
          <w:noProof/>
        </w:rPr>
        <w:t>ainėje sistemingai skelbia visų skundų arba prašymų atlikti peržiūras nekonfidencialias santraukas. Be to, Komisija vykdo ne tik savo įsipareigojimus, išdėstytus komunikate „Prekyba visiems“, – nuo 2017 m. rugpjūčio 1 d. kiekvienai suinteresuotajai šaliai,</w:t>
      </w:r>
      <w:r>
        <w:rPr>
          <w:noProof/>
        </w:rPr>
        <w:t xml:space="preserve"> kurios tikrinamasis vizitas atliekamas, prekybos apsaugos priemonių tarnybos pateikia vizito ataskaitą. Nekonfidenciali tokios ataskaitos redakcija taip pat įtraukiama į bylą ir su ja gali susipažinti kitos suinteresuotosios šalys. Tikrinamųjų vizitų rezu</w:t>
      </w:r>
      <w:r>
        <w:rPr>
          <w:noProof/>
        </w:rPr>
        <w:t xml:space="preserve">ltatai gali būti labai svarbūs formuluojant išvadas dėl tam tikrų įmonių ir tokie veiksmai gali padėti išvengti nereikalingo bylinėjimosi. </w:t>
      </w:r>
    </w:p>
    <w:p w:rsidR="00466FA3" w:rsidRDefault="000E0F36">
      <w:pPr>
        <w:pStyle w:val="ListParagraph"/>
        <w:spacing w:after="240"/>
        <w:ind w:left="0"/>
        <w:jc w:val="both"/>
        <w:rPr>
          <w:bCs/>
          <w:noProof/>
        </w:rPr>
      </w:pPr>
      <w:r>
        <w:rPr>
          <w:noProof/>
        </w:rPr>
        <w:t xml:space="preserve">Komisija taip pat baigia įgyvendinti dar vieną elementą, padėsiantį visuomenei daugiau sužinoti apie prekybos </w:t>
      </w:r>
      <w:r>
        <w:rPr>
          <w:noProof/>
        </w:rPr>
        <w:t>apsaugos procesus, – ji sudarys sąlygas savo interneto svetainėje skelbti informaciją apie įmonių prašymus sugrąžinti muitus, taip pat informaciją apie atitinkamus tyrimus.</w:t>
      </w:r>
    </w:p>
    <w:p w:rsidR="00466FA3" w:rsidRDefault="000E0F36">
      <w:pPr>
        <w:pStyle w:val="ListParagraph"/>
        <w:spacing w:after="120"/>
        <w:ind w:left="0"/>
        <w:jc w:val="both"/>
        <w:rPr>
          <w:b/>
          <w:bCs/>
          <w:smallCaps/>
          <w:noProof/>
          <w:sz w:val="26"/>
          <w:szCs w:val="26"/>
        </w:rPr>
      </w:pPr>
      <w:r>
        <w:rPr>
          <w:noProof/>
        </w:rPr>
        <w:br w:type="page"/>
      </w:r>
      <w:r>
        <w:rPr>
          <w:b/>
          <w:smallCaps/>
          <w:noProof/>
          <w:sz w:val="26"/>
        </w:rPr>
        <w:t>II.</w:t>
      </w:r>
      <w:r>
        <w:rPr>
          <w:noProof/>
        </w:rPr>
        <w:tab/>
      </w:r>
      <w:r>
        <w:rPr>
          <w:b/>
          <w:smallCaps/>
          <w:noProof/>
          <w:sz w:val="26"/>
        </w:rPr>
        <w:t>Prekybos apsaugos priemonių taikymas 2018 m.</w:t>
      </w:r>
    </w:p>
    <w:p w:rsidR="00466FA3" w:rsidRDefault="000E0F36">
      <w:pPr>
        <w:pStyle w:val="ManualNumPar1"/>
        <w:spacing w:before="480" w:after="240"/>
        <w:ind w:left="851" w:hanging="851"/>
        <w:rPr>
          <w:b/>
          <w:bCs/>
          <w:smallCaps/>
          <w:noProof/>
        </w:rPr>
      </w:pPr>
      <w:r>
        <w:rPr>
          <w:b/>
          <w:noProof/>
        </w:rPr>
        <w:t>II.1.</w:t>
      </w:r>
      <w:r>
        <w:rPr>
          <w:noProof/>
        </w:rPr>
        <w:tab/>
      </w:r>
      <w:r>
        <w:rPr>
          <w:rStyle w:val="Heading1Char"/>
          <w:noProof/>
        </w:rPr>
        <w:t>Tyrimų</w:t>
      </w:r>
      <w:r>
        <w:rPr>
          <w:noProof/>
        </w:rPr>
        <w:t xml:space="preserve"> </w:t>
      </w:r>
      <w:r>
        <w:rPr>
          <w:b/>
          <w:smallCaps/>
          <w:noProof/>
        </w:rPr>
        <w:t xml:space="preserve">vykdymas </w:t>
      </w:r>
    </w:p>
    <w:p w:rsidR="00466FA3" w:rsidRDefault="000E0F36">
      <w:pPr>
        <w:pStyle w:val="ManualHeading2"/>
        <w:spacing w:before="240"/>
        <w:ind w:left="851" w:hanging="851"/>
        <w:rPr>
          <w:noProof/>
        </w:rPr>
      </w:pPr>
      <w:r>
        <w:rPr>
          <w:noProof/>
        </w:rPr>
        <w:t>II.1.1.</w:t>
      </w:r>
      <w:r>
        <w:rPr>
          <w:noProof/>
        </w:rPr>
        <w:tab/>
      </w:r>
      <w:r>
        <w:rPr>
          <w:noProof/>
        </w:rPr>
        <w:t>Bendroji apžvalga</w:t>
      </w:r>
    </w:p>
    <w:p w:rsidR="00466FA3" w:rsidRDefault="000E0F36">
      <w:pPr>
        <w:spacing w:after="240"/>
        <w:jc w:val="both"/>
        <w:rPr>
          <w:noProof/>
        </w:rPr>
      </w:pPr>
      <w:r>
        <w:rPr>
          <w:noProof/>
        </w:rPr>
        <w:t xml:space="preserve">2018 m. pabaigoje ES taikė 93 galiojančias </w:t>
      </w:r>
      <w:r>
        <w:rPr>
          <w:noProof/>
          <w:u w:val="single"/>
        </w:rPr>
        <w:t>galutines</w:t>
      </w:r>
      <w:r>
        <w:rPr>
          <w:noProof/>
        </w:rPr>
        <w:t xml:space="preserve"> antidempingo priemones ir 12 </w:t>
      </w:r>
      <w:r>
        <w:rPr>
          <w:noProof/>
          <w:u w:val="single"/>
        </w:rPr>
        <w:t>kompensacinių</w:t>
      </w:r>
      <w:r>
        <w:rPr>
          <w:noProof/>
        </w:rPr>
        <w:t xml:space="preserve"> priemonių</w:t>
      </w:r>
      <w:r>
        <w:rPr>
          <w:rStyle w:val="FootnoteReference"/>
          <w:noProof/>
        </w:rPr>
        <w:footnoteReference w:id="21"/>
      </w:r>
      <w:r>
        <w:rPr>
          <w:noProof/>
        </w:rPr>
        <w:t xml:space="preserve">. </w:t>
      </w:r>
      <w:r>
        <w:rPr>
          <w:noProof/>
          <w:color w:val="000000" w:themeColor="text1"/>
        </w:rPr>
        <w:t>Palyginti su praėjusiais metais, priemonių skaičius šiek tiek sumažėjo.</w:t>
      </w:r>
    </w:p>
    <w:p w:rsidR="00466FA3" w:rsidRDefault="000E0F36">
      <w:pPr>
        <w:pStyle w:val="Text2"/>
        <w:spacing w:after="240"/>
        <w:ind w:left="0"/>
        <w:rPr>
          <w:noProof/>
          <w:color w:val="000000" w:themeColor="text1"/>
        </w:rPr>
      </w:pPr>
      <w:r>
        <w:rPr>
          <w:noProof/>
          <w:color w:val="000000" w:themeColor="text1"/>
        </w:rPr>
        <w:t>Tiriamasis darbas išliko intensyvus ir beveik pasiekė 2017</w:t>
      </w:r>
      <w:r>
        <w:rPr>
          <w:noProof/>
          <w:color w:val="000000" w:themeColor="text1"/>
        </w:rPr>
        <w:t> m. lygį. Daugiausia tai buvo nauji tyrimai, vykdyti pagal naująsias prekybos apsaugos priemonių taisykles, taip pat dar buvo vykdoma nemažai peržiūrų. 2018 m. pabaigoje buvo vykdomi 45 tyrimai ir šeši muitų grąžinimo tyrimai dėl 99 prašymų grąžinti muitus</w:t>
      </w:r>
      <w:r>
        <w:rPr>
          <w:noProof/>
          <w:color w:val="000000" w:themeColor="text1"/>
        </w:rPr>
        <w:t>.</w:t>
      </w:r>
    </w:p>
    <w:p w:rsidR="00466FA3" w:rsidRDefault="000E0F36">
      <w:pPr>
        <w:pStyle w:val="Text2"/>
        <w:spacing w:after="240"/>
        <w:ind w:left="0"/>
        <w:rPr>
          <w:noProof/>
        </w:rPr>
      </w:pPr>
      <w:r>
        <w:rPr>
          <w:noProof/>
        </w:rPr>
        <w:t>Išsamesnė prekybos apsaugos priemonių teisės aktų apžvalga ir informacija apie per metus vykdytą veiklą pateikta prie šios ataskaitos pridedamame Komisijos tarnybų darbiniame dokumente ir atitinkamuose jo prieduose.</w:t>
      </w:r>
    </w:p>
    <w:p w:rsidR="00466FA3" w:rsidRDefault="000E0F36">
      <w:pPr>
        <w:pStyle w:val="ManualHeading2"/>
        <w:spacing w:before="240"/>
        <w:ind w:left="851" w:hanging="851"/>
        <w:rPr>
          <w:noProof/>
        </w:rPr>
      </w:pPr>
      <w:r>
        <w:rPr>
          <w:noProof/>
        </w:rPr>
        <w:t>II.1.2.</w:t>
      </w:r>
      <w:r>
        <w:rPr>
          <w:noProof/>
        </w:rPr>
        <w:tab/>
        <w:t xml:space="preserve">Antidempingo ir antisubsidijų </w:t>
      </w:r>
      <w:r>
        <w:rPr>
          <w:noProof/>
        </w:rPr>
        <w:t xml:space="preserve">tyrimai </w:t>
      </w:r>
      <w:r>
        <w:rPr>
          <w:b w:val="0"/>
          <w:noProof/>
        </w:rPr>
        <w:t>(žr. A–I priedus)</w:t>
      </w:r>
    </w:p>
    <w:p w:rsidR="00466FA3" w:rsidRDefault="000E0F36">
      <w:pPr>
        <w:pStyle w:val="Text2"/>
        <w:spacing w:after="240"/>
        <w:ind w:left="0"/>
        <w:rPr>
          <w:noProof/>
        </w:rPr>
      </w:pPr>
      <w:r>
        <w:rPr>
          <w:noProof/>
        </w:rPr>
        <w:t xml:space="preserve">2018 m. inicijuota 10 </w:t>
      </w:r>
      <w:r>
        <w:rPr>
          <w:noProof/>
          <w:u w:val="single"/>
        </w:rPr>
        <w:t>naujų tyrimų</w:t>
      </w:r>
      <w:r>
        <w:rPr>
          <w:noProof/>
        </w:rPr>
        <w:t xml:space="preserve">. Atlikus du tyrimus nustatyti </w:t>
      </w:r>
      <w:r>
        <w:rPr>
          <w:noProof/>
          <w:u w:val="single"/>
        </w:rPr>
        <w:t>laikinieji muitai</w:t>
      </w:r>
      <w:r>
        <w:rPr>
          <w:noProof/>
        </w:rPr>
        <w:t xml:space="preserve">. </w:t>
      </w:r>
      <w:r>
        <w:rPr>
          <w:noProof/>
          <w:u w:val="single"/>
        </w:rPr>
        <w:t>Galutiniai muitai</w:t>
      </w:r>
      <w:r>
        <w:rPr>
          <w:noProof/>
        </w:rPr>
        <w:t xml:space="preserve"> nustatyti baigus keturis tyrimus, o atlikus aštuonis tyrimus nuspręsta </w:t>
      </w:r>
      <w:r>
        <w:rPr>
          <w:noProof/>
          <w:u w:val="single"/>
        </w:rPr>
        <w:t>priemonių netaikyti</w:t>
      </w:r>
      <w:r>
        <w:rPr>
          <w:noProof/>
        </w:rPr>
        <w:t xml:space="preserve">. </w:t>
      </w:r>
    </w:p>
    <w:p w:rsidR="00466FA3" w:rsidRDefault="000E0F36">
      <w:pPr>
        <w:pStyle w:val="Text2"/>
        <w:spacing w:after="240"/>
        <w:ind w:left="0"/>
        <w:rPr>
          <w:noProof/>
        </w:rPr>
      </w:pPr>
      <w:r>
        <w:rPr>
          <w:noProof/>
        </w:rPr>
        <w:t xml:space="preserve">Peržiūros tyrimai ir toliau sudarė </w:t>
      </w:r>
      <w:r>
        <w:rPr>
          <w:noProof/>
        </w:rPr>
        <w:t xml:space="preserve">nemažą darbo su bylomis dalį. 2018 m. buvo inicijuota 17 </w:t>
      </w:r>
      <w:r>
        <w:rPr>
          <w:noProof/>
          <w:u w:val="single"/>
        </w:rPr>
        <w:t>priemonių galiojimo termino peržiūros</w:t>
      </w:r>
      <w:r>
        <w:rPr>
          <w:noProof/>
        </w:rPr>
        <w:t xml:space="preserve"> tyrimų, atlikus septynias tokias peržiūras muitai </w:t>
      </w:r>
      <w:r>
        <w:rPr>
          <w:noProof/>
          <w:u w:val="single"/>
        </w:rPr>
        <w:t>buvo patvirtinti</w:t>
      </w:r>
      <w:r>
        <w:rPr>
          <w:noProof/>
        </w:rPr>
        <w:t xml:space="preserve">. Sprendimo panaikinti priemones nepriimta nei per vieną priemonių galiojimo termino peržiūrą. </w:t>
      </w:r>
      <w:r>
        <w:rPr>
          <w:noProof/>
        </w:rPr>
        <w:t>2018 m. keturios priemonės baigė galioti savaime.</w:t>
      </w:r>
    </w:p>
    <w:p w:rsidR="00466FA3" w:rsidRDefault="000E0F36">
      <w:pPr>
        <w:pStyle w:val="Text3"/>
        <w:spacing w:after="240"/>
        <w:ind w:left="0"/>
        <w:rPr>
          <w:noProof/>
        </w:rPr>
      </w:pPr>
      <w:r>
        <w:rPr>
          <w:noProof/>
        </w:rPr>
        <w:t xml:space="preserve">Buvo inicijuotos trys </w:t>
      </w:r>
      <w:r>
        <w:rPr>
          <w:noProof/>
          <w:u w:val="single"/>
        </w:rPr>
        <w:t>tarpinės peržiūros</w:t>
      </w:r>
      <w:r>
        <w:rPr>
          <w:noProof/>
        </w:rPr>
        <w:t xml:space="preserve">. Keturios tarpinės peržiūros užbaigtos priemonių nepakeičiant, dvi – pakeičiant. </w:t>
      </w:r>
    </w:p>
    <w:p w:rsidR="00466FA3" w:rsidRDefault="000E0F36">
      <w:pPr>
        <w:pStyle w:val="Text3"/>
        <w:spacing w:after="240"/>
        <w:ind w:left="0"/>
        <w:rPr>
          <w:noProof/>
        </w:rPr>
      </w:pPr>
      <w:r>
        <w:rPr>
          <w:noProof/>
        </w:rPr>
        <w:t xml:space="preserve">Galiausiai 2018 m. buvo inicijuoti trys </w:t>
      </w:r>
      <w:r>
        <w:rPr>
          <w:noProof/>
          <w:u w:val="single"/>
        </w:rPr>
        <w:t>pakartotiniai tyrimai</w:t>
      </w:r>
      <w:r>
        <w:rPr>
          <w:noProof/>
        </w:rPr>
        <w:t>, kurie paprastai būna</w:t>
      </w:r>
      <w:r>
        <w:rPr>
          <w:noProof/>
        </w:rPr>
        <w:t xml:space="preserve"> susiję su teismų sprendimų vykdymu. Buvo baigtos penkios tokios peržiūros.</w:t>
      </w:r>
    </w:p>
    <w:p w:rsidR="00466FA3" w:rsidRDefault="000E0F36">
      <w:pPr>
        <w:pStyle w:val="ManualHeading2"/>
        <w:spacing w:before="240"/>
        <w:ind w:left="0" w:firstLine="0"/>
        <w:rPr>
          <w:noProof/>
        </w:rPr>
      </w:pPr>
      <w:r>
        <w:rPr>
          <w:noProof/>
        </w:rPr>
        <w:t>II.1.3.</w:t>
      </w:r>
      <w:r>
        <w:rPr>
          <w:noProof/>
        </w:rPr>
        <w:tab/>
        <w:t xml:space="preserve">Apsaugos priemonių tyrimai </w:t>
      </w:r>
      <w:r>
        <w:rPr>
          <w:b w:val="0"/>
          <w:noProof/>
        </w:rPr>
        <w:t>(žr. L priedą)</w:t>
      </w:r>
    </w:p>
    <w:p w:rsidR="00466FA3" w:rsidRDefault="000E0F36">
      <w:pPr>
        <w:spacing w:after="240"/>
        <w:jc w:val="both"/>
        <w:rPr>
          <w:noProof/>
          <w:szCs w:val="22"/>
        </w:rPr>
      </w:pPr>
      <w:r>
        <w:rPr>
          <w:noProof/>
        </w:rPr>
        <w:t xml:space="preserve">2018 m. ES inicijavo tris </w:t>
      </w:r>
      <w:r>
        <w:rPr>
          <w:noProof/>
          <w:u w:val="single"/>
        </w:rPr>
        <w:t>apsaugos priemonių tyrimus</w:t>
      </w:r>
      <w:r>
        <w:rPr>
          <w:noProof/>
        </w:rPr>
        <w:t xml:space="preserve"> – vieną </w:t>
      </w:r>
      <w:r>
        <w:rPr>
          <w:i/>
          <w:noProof/>
        </w:rPr>
        <w:t>erga omnes</w:t>
      </w:r>
      <w:r>
        <w:rPr>
          <w:noProof/>
        </w:rPr>
        <w:t xml:space="preserve"> dėl plieno gaminių ir du dvišalius prieš Kambodžą ir Mianmarą dėl </w:t>
      </w:r>
      <w:r>
        <w:rPr>
          <w:i/>
          <w:noProof/>
        </w:rPr>
        <w:t>Indica</w:t>
      </w:r>
      <w:r>
        <w:rPr>
          <w:noProof/>
        </w:rPr>
        <w:t xml:space="preserve"> ryžių, pagal ES bendrųjų muitų tarifų lengvatų sistemos taisykles. </w:t>
      </w:r>
    </w:p>
    <w:p w:rsidR="00466FA3" w:rsidRDefault="000E0F36">
      <w:pPr>
        <w:pStyle w:val="ManualHeading1"/>
        <w:tabs>
          <w:tab w:val="clear" w:pos="850"/>
        </w:tabs>
        <w:spacing w:before="240"/>
        <w:ind w:left="851" w:hanging="851"/>
        <w:rPr>
          <w:noProof/>
        </w:rPr>
      </w:pPr>
      <w:r>
        <w:rPr>
          <w:noProof/>
        </w:rPr>
        <w:t>II.1.4.</w:t>
      </w:r>
      <w:r>
        <w:rPr>
          <w:noProof/>
        </w:rPr>
        <w:tab/>
      </w:r>
      <w:r>
        <w:rPr>
          <w:rStyle w:val="Heading1Char"/>
          <w:b/>
          <w:noProof/>
        </w:rPr>
        <w:t>Tikrinimo veikla</w:t>
      </w:r>
      <w:r>
        <w:rPr>
          <w:noProof/>
        </w:rPr>
        <w:t xml:space="preserve"> </w:t>
      </w:r>
    </w:p>
    <w:p w:rsidR="00466FA3" w:rsidRDefault="000E0F36">
      <w:pPr>
        <w:pStyle w:val="Text1"/>
        <w:spacing w:after="240"/>
        <w:ind w:left="0"/>
        <w:rPr>
          <w:noProof/>
        </w:rPr>
      </w:pPr>
      <w:r>
        <w:rPr>
          <w:noProof/>
        </w:rPr>
        <w:t>Vykdydama tyrimus, Komisija rengia vizitus, siekdama patikrinti įmonių ar asociacijų aps</w:t>
      </w:r>
      <w:r>
        <w:rPr>
          <w:noProof/>
        </w:rPr>
        <w:t xml:space="preserve">kaitos registrus, kad galėtų įsitikinti tyrimui pateiktos informacijos teisingumu. 2018 m. ES prekybos apsaugos priemonių tarnybos surengė 167 tokius vizitus, per juos buvo atliktas 1978 žmogaus darbo dienas atitinkantis tikrinimo darbas. </w:t>
      </w:r>
    </w:p>
    <w:p w:rsidR="00466FA3" w:rsidRDefault="000E0F36">
      <w:pPr>
        <w:pStyle w:val="ManualHeading2"/>
        <w:spacing w:before="480" w:after="240"/>
        <w:ind w:left="851" w:hanging="851"/>
        <w:rPr>
          <w:noProof/>
        </w:rPr>
      </w:pPr>
      <w:r>
        <w:rPr>
          <w:noProof/>
        </w:rPr>
        <w:t>II.2.</w:t>
      </w:r>
      <w:r>
        <w:rPr>
          <w:noProof/>
        </w:rPr>
        <w:tab/>
      </w:r>
      <w:r>
        <w:rPr>
          <w:rStyle w:val="Heading1Char"/>
          <w:b/>
          <w:noProof/>
        </w:rPr>
        <w:t xml:space="preserve">Priemonių </w:t>
      </w:r>
      <w:r>
        <w:rPr>
          <w:rStyle w:val="Heading1Char"/>
          <w:b/>
          <w:noProof/>
        </w:rPr>
        <w:t xml:space="preserve">vykdymo užtikrinimas </w:t>
      </w:r>
      <w:r>
        <w:rPr>
          <w:b w:val="0"/>
          <w:noProof/>
        </w:rPr>
        <w:t>(žr. J, K, M, Q priedus)</w:t>
      </w:r>
    </w:p>
    <w:p w:rsidR="00466FA3" w:rsidRDefault="000E0F36">
      <w:pPr>
        <w:pStyle w:val="Text1"/>
        <w:spacing w:after="240"/>
        <w:ind w:left="0"/>
        <w:rPr>
          <w:noProof/>
        </w:rPr>
      </w:pPr>
      <w:r>
        <w:rPr>
          <w:noProof/>
        </w:rPr>
        <w:t>Kaip minėta, itin svarbu užtikrinti, kad nustatytos priemonės būtų veiksmingai vykdomos. Labai svarbu užtikrinti, kad priemonių nebūtų išvengiama absorbuojant muitus arba jų vengiant. 2018 m. buvo inicijuota vi</w:t>
      </w:r>
      <w:r>
        <w:rPr>
          <w:noProof/>
        </w:rPr>
        <w:t xml:space="preserve">ena </w:t>
      </w:r>
      <w:r>
        <w:rPr>
          <w:noProof/>
          <w:u w:val="single"/>
        </w:rPr>
        <w:t>absorbcijos</w:t>
      </w:r>
      <w:r>
        <w:rPr>
          <w:noProof/>
        </w:rPr>
        <w:t xml:space="preserve"> peržiūra, tačiau metų pabaigoje ji tebebuvo vykdoma. Kitų absorbcijos peržiūrų nevyko. Be to, nors nebuvo inicijuota nė vieno </w:t>
      </w:r>
      <w:r>
        <w:rPr>
          <w:noProof/>
          <w:u w:val="single"/>
        </w:rPr>
        <w:t>vengimo tyrimo</w:t>
      </w:r>
      <w:r>
        <w:rPr>
          <w:noProof/>
        </w:rPr>
        <w:t>, du 2017 m. pradėti tokie tyrimai 2018 m. buvo baigti nepratęsiant muito galiojimo.</w:t>
      </w:r>
    </w:p>
    <w:p w:rsidR="00466FA3" w:rsidRDefault="000E0F36">
      <w:pPr>
        <w:pStyle w:val="Text1"/>
        <w:spacing w:after="240"/>
        <w:ind w:left="0"/>
        <w:rPr>
          <w:noProof/>
        </w:rPr>
      </w:pPr>
      <w:r>
        <w:rPr>
          <w:noProof/>
        </w:rPr>
        <w:t xml:space="preserve">Įsipareigojimų </w:t>
      </w:r>
      <w:r>
        <w:rPr>
          <w:noProof/>
        </w:rPr>
        <w:t xml:space="preserve">stebėsena taip pat sudaro vykdymo užtikrinimo veiklos dalį. 2018 m. pradžioje galiojo trys bendrovių įsipareigojimai. Per metus nepriimtas nė vienas naujas įsipareigojimas. Taigi, 2018 m. pabaigoje tebegaliojo trys įsipareigojimai. </w:t>
      </w:r>
    </w:p>
    <w:p w:rsidR="00466FA3" w:rsidRDefault="000E0F36">
      <w:pPr>
        <w:autoSpaceDE w:val="0"/>
        <w:autoSpaceDN w:val="0"/>
        <w:spacing w:before="120" w:after="240"/>
        <w:jc w:val="both"/>
        <w:rPr>
          <w:noProof/>
          <w:color w:val="000000"/>
        </w:rPr>
      </w:pPr>
      <w:r>
        <w:rPr>
          <w:noProof/>
        </w:rPr>
        <w:t xml:space="preserve">Galiausiai priemonių </w:t>
      </w:r>
      <w:r>
        <w:rPr>
          <w:noProof/>
        </w:rPr>
        <w:t>įgyvendinimo klausimu Komisija glaudžiai bendradarbiauja su OLAF.</w:t>
      </w:r>
      <w:r>
        <w:rPr>
          <w:noProof/>
          <w:color w:val="000000"/>
        </w:rPr>
        <w:t xml:space="preserve"> Kaip įprasta, 2018 m. Komisija suteikė OLAF visą informaciją ir įrodymus dėl neteisėtos veiklos, susijusios su prekybos apsaugos priemonėmis. </w:t>
      </w:r>
    </w:p>
    <w:p w:rsidR="00466FA3" w:rsidRDefault="000E0F36">
      <w:pPr>
        <w:pStyle w:val="ManualHeading1"/>
        <w:spacing w:before="480" w:after="240"/>
        <w:ind w:left="851" w:hanging="851"/>
        <w:rPr>
          <w:noProof/>
        </w:rPr>
      </w:pPr>
      <w:r>
        <w:rPr>
          <w:noProof/>
        </w:rPr>
        <w:t>II.3.</w:t>
      </w:r>
      <w:r>
        <w:rPr>
          <w:noProof/>
        </w:rPr>
        <w:tab/>
        <w:t xml:space="preserve">Mažosios ir vidutinės įmonės (MVĮ) </w:t>
      </w:r>
    </w:p>
    <w:p w:rsidR="00466FA3" w:rsidRDefault="000E0F36">
      <w:pPr>
        <w:autoSpaceDE w:val="0"/>
        <w:autoSpaceDN w:val="0"/>
        <w:adjustRightInd w:val="0"/>
        <w:jc w:val="both"/>
        <w:rPr>
          <w:noProof/>
        </w:rPr>
      </w:pPr>
      <w:r>
        <w:rPr>
          <w:noProof/>
        </w:rPr>
        <w:t>2018 </w:t>
      </w:r>
      <w:r>
        <w:rPr>
          <w:noProof/>
        </w:rPr>
        <w:t>m., modernizavus prekybos apsaugos priemones, Komisija ėmėsi iniciatyvos padėti ES ir trečiųjų šalių MVĮ, kurioms poveikį daro prekybos apsaugos priemonės. Buvo sukurtas specialus interneto tinklalapis. Tinklalapyje vienoje vietoje buvo išdėstyti patarimai</w:t>
      </w:r>
      <w:r>
        <w:rPr>
          <w:noProof/>
        </w:rPr>
        <w:t xml:space="preserve"> įmonėms, atrankos klausimynai ir išsamus vadovas, kaip administruoti tyrimų procesą. Taip papildyta MVĮ pagalbos tarnybos, kuri ir toliau siekia padėti MVĮ, ieškančioms informacijos apie prekybos apsaugos priemones, veikla. Per metus pagalbos tarnybai buv</w:t>
      </w:r>
      <w:r>
        <w:rPr>
          <w:noProof/>
        </w:rPr>
        <w:t>o teikiami įvairūs informacijos prašymai, pradedant užklausomis apie prekybos apsaugos priemonių pobūdį ir baigiant labiau tikslinėmis užklausomis dėl konkrečių bylų.</w:t>
      </w:r>
    </w:p>
    <w:p w:rsidR="00466FA3" w:rsidRDefault="000E0F36">
      <w:pPr>
        <w:adjustRightInd w:val="0"/>
        <w:spacing w:before="480" w:after="240"/>
        <w:jc w:val="both"/>
        <w:rPr>
          <w:rStyle w:val="Heading1Char"/>
          <w:noProof/>
        </w:rPr>
      </w:pPr>
      <w:r>
        <w:rPr>
          <w:b/>
          <w:noProof/>
        </w:rPr>
        <w:t>II.4.</w:t>
      </w:r>
      <w:r>
        <w:rPr>
          <w:noProof/>
        </w:rPr>
        <w:tab/>
        <w:t xml:space="preserve"> </w:t>
      </w:r>
      <w:r>
        <w:rPr>
          <w:rStyle w:val="Heading1Char"/>
          <w:noProof/>
        </w:rPr>
        <w:t>Socialiniai ir aplinkosaugos standartai</w:t>
      </w:r>
    </w:p>
    <w:p w:rsidR="00466FA3" w:rsidRDefault="000E0F36">
      <w:pPr>
        <w:spacing w:before="120" w:after="240"/>
        <w:jc w:val="both"/>
        <w:rPr>
          <w:noProof/>
        </w:rPr>
      </w:pPr>
      <w:r>
        <w:rPr>
          <w:noProof/>
          <w:color w:val="000000"/>
        </w:rPr>
        <w:t>Kai taikoma nauja normaliosios vertės apsk</w:t>
      </w:r>
      <w:r>
        <w:rPr>
          <w:noProof/>
          <w:color w:val="000000"/>
        </w:rPr>
        <w:t>aičiavimo metodika, Komisija pasirenka tinkamą tipišką šalį produkto normaliajai vertei nustatyti. Jeigu tokių šalių yra daugiau negu viena, tuomet Komisija turėtų savo pasirinkimą grįsti tinkamu socialinės apsaugos ir aplinkosaugos lygiu atitinkamose šaly</w:t>
      </w:r>
      <w:r>
        <w:rPr>
          <w:noProof/>
          <w:color w:val="000000"/>
        </w:rPr>
        <w:t xml:space="preserve">se. </w:t>
      </w:r>
      <w:r>
        <w:rPr>
          <w:noProof/>
        </w:rPr>
        <w:t>Taigi, Komisija, atlikdama po 2017 m. gruodžio 20 d. inicijuotus naujus tyrimus ir priemonių galiojimo termino peržiūras, visų pirma patikrina, ar yra ratifikuotos atitinkamos tarptautinės konvencijos.</w:t>
      </w:r>
    </w:p>
    <w:p w:rsidR="00466FA3" w:rsidRDefault="000E0F36">
      <w:pPr>
        <w:pStyle w:val="PlainText"/>
        <w:spacing w:before="120" w:after="240"/>
        <w:jc w:val="both"/>
        <w:rPr>
          <w:rFonts w:ascii="Times New Roman" w:hAnsi="Times New Roman" w:cs="Times New Roman"/>
          <w:i/>
          <w:noProof/>
          <w:sz w:val="24"/>
          <w:szCs w:val="24"/>
        </w:rPr>
      </w:pPr>
      <w:r>
        <w:rPr>
          <w:rFonts w:ascii="Times New Roman" w:hAnsi="Times New Roman"/>
          <w:noProof/>
          <w:sz w:val="24"/>
        </w:rPr>
        <w:t xml:space="preserve">Aprašymu, kaip </w:t>
      </w:r>
      <w:r>
        <w:rPr>
          <w:rFonts w:ascii="Times New Roman" w:hAnsi="Times New Roman"/>
          <w:noProof/>
          <w:color w:val="000000"/>
          <w:sz w:val="24"/>
        </w:rPr>
        <w:t>atliekant prekybos apsaugos priemon</w:t>
      </w:r>
      <w:r>
        <w:rPr>
          <w:rFonts w:ascii="Times New Roman" w:hAnsi="Times New Roman"/>
          <w:noProof/>
          <w:color w:val="000000"/>
          <w:sz w:val="24"/>
        </w:rPr>
        <w:t>ių tyrimus atsižvelgiama į socialinius ir aplinkosaugos standartus</w:t>
      </w:r>
      <w:r>
        <w:rPr>
          <w:rFonts w:ascii="Times New Roman" w:hAnsi="Times New Roman"/>
          <w:noProof/>
          <w:sz w:val="24"/>
        </w:rPr>
        <w:t>, bus galima remtis tik būsimose metinėse ataskaitose, po to, kai tyrimuose bus padarytos laikinosios ar galutinės išvados. Tokio etapo dar nepasiekė nė vienas iš tyrimų, vykdomų pagal naują</w:t>
      </w:r>
      <w:r>
        <w:rPr>
          <w:rFonts w:ascii="Times New Roman" w:hAnsi="Times New Roman"/>
          <w:noProof/>
          <w:sz w:val="24"/>
        </w:rPr>
        <w:t>ją metodiką, – rezultatai bus pateikti tik kitoje metinėje ataskaitoje.</w:t>
      </w:r>
    </w:p>
    <w:p w:rsidR="00466FA3" w:rsidRDefault="000E0F36">
      <w:pPr>
        <w:spacing w:before="120" w:after="240"/>
        <w:jc w:val="both"/>
        <w:rPr>
          <w:b/>
          <w:noProof/>
        </w:rPr>
      </w:pPr>
      <w:r>
        <w:rPr>
          <w:noProof/>
        </w:rPr>
        <w:t>Be to, nuo modernizuotų prekybos apsaugos priemonių taisyklių įsigaliojimo, kai Komisija skaičiuoja produkto tikslinę kainą, pastaroji taip pat atspindi faktines ar būsimas ES bendrovi</w:t>
      </w:r>
      <w:r>
        <w:rPr>
          <w:noProof/>
        </w:rPr>
        <w:t xml:space="preserve">ų gamybos išlaidas, kurios susidaro arba susidarytų taikant daugiašalius aplinkosaugos susitarimus (ir jų protokolus), taip pat tam tikras Tarptautinės darbo organizacijos konvencijas. Taigi, nuo 2018 m. birželio 8 d. </w:t>
      </w:r>
      <w:r>
        <w:rPr>
          <w:noProof/>
          <w:color w:val="000000"/>
        </w:rPr>
        <w:t>Komisija, atlikdama tyrimus, pradėjo t</w:t>
      </w:r>
      <w:r>
        <w:rPr>
          <w:noProof/>
          <w:color w:val="000000"/>
        </w:rPr>
        <w:t>aikyti</w:t>
      </w:r>
      <w:r>
        <w:rPr>
          <w:noProof/>
        </w:rPr>
        <w:t xml:space="preserve"> pastarąją taisyklę. Šiuo atveju nė vienas iš vykdomų tyrimų, kuriame tai būtų aktualu, taip pat dar nepasiekė laikinųjų ar galutinių išvadų etapo, todėl prie tokių atvejų bus atitinkamai grįžta kitoje metinėje ataskaitoje.</w:t>
      </w:r>
    </w:p>
    <w:p w:rsidR="00466FA3" w:rsidRDefault="000E0F36">
      <w:pPr>
        <w:spacing w:before="480" w:after="240"/>
        <w:rPr>
          <w:noProof/>
        </w:rPr>
      </w:pPr>
      <w:r>
        <w:rPr>
          <w:rStyle w:val="Heading1Char"/>
          <w:noProof/>
        </w:rPr>
        <w:t>II.5.</w:t>
      </w:r>
      <w:r>
        <w:rPr>
          <w:noProof/>
        </w:rPr>
        <w:tab/>
      </w:r>
      <w:r>
        <w:rPr>
          <w:rStyle w:val="Heading1Char"/>
          <w:noProof/>
        </w:rPr>
        <w:t>Teisminė peržiūra ES</w:t>
      </w:r>
      <w:r>
        <w:rPr>
          <w:rStyle w:val="Heading1Char"/>
          <w:noProof/>
        </w:rPr>
        <w:t xml:space="preserve"> teismuose</w:t>
      </w:r>
      <w:r>
        <w:rPr>
          <w:noProof/>
        </w:rPr>
        <w:t xml:space="preserve"> </w:t>
      </w:r>
    </w:p>
    <w:p w:rsidR="00466FA3" w:rsidRDefault="000E0F36">
      <w:pPr>
        <w:spacing w:after="240"/>
        <w:jc w:val="both"/>
        <w:rPr>
          <w:noProof/>
        </w:rPr>
      </w:pPr>
      <w:r>
        <w:rPr>
          <w:noProof/>
        </w:rPr>
        <w:t>2018 m. Bendrasis Teismas ir Teisingumo Teismas prekybos apsaugos priemonių srityje priėmė 26 sprendimus: Bendrasis Teismas priėmė dešimt sprendimų, o Teisingumo Teismas išnagrinėjo 12 apeliacinių skundų ir priėmė keturis prejudicinius sprendim</w:t>
      </w:r>
      <w:r>
        <w:rPr>
          <w:noProof/>
        </w:rPr>
        <w:t xml:space="preserve">us. Aktualūs sprendimai aprašyti </w:t>
      </w:r>
      <w:r>
        <w:rPr>
          <w:rStyle w:val="Heading4Char"/>
          <w:noProof/>
        </w:rPr>
        <w:t>S priede.</w:t>
      </w:r>
    </w:p>
    <w:p w:rsidR="00466FA3" w:rsidRDefault="000E0F36">
      <w:pPr>
        <w:spacing w:after="240"/>
        <w:jc w:val="both"/>
        <w:rPr>
          <w:noProof/>
        </w:rPr>
      </w:pPr>
      <w:r>
        <w:rPr>
          <w:noProof/>
        </w:rPr>
        <w:t xml:space="preserve">2018 m. prekybos apsaugos priemonių srityje buvo pradėta 15 naujų bylų (2017 m. – 20). </w:t>
      </w:r>
    </w:p>
    <w:p w:rsidR="00466FA3" w:rsidRDefault="000E0F36">
      <w:pPr>
        <w:spacing w:before="480" w:after="240"/>
        <w:rPr>
          <w:b/>
          <w:smallCaps/>
          <w:noProof/>
        </w:rPr>
      </w:pPr>
      <w:r>
        <w:rPr>
          <w:rStyle w:val="Heading1Char"/>
          <w:noProof/>
        </w:rPr>
        <w:t>II.6.</w:t>
      </w:r>
      <w:r>
        <w:rPr>
          <w:noProof/>
        </w:rPr>
        <w:tab/>
      </w:r>
      <w:r>
        <w:rPr>
          <w:rStyle w:val="Heading1Char"/>
          <w:noProof/>
        </w:rPr>
        <w:t xml:space="preserve"> Prieš ES nukreipta trečiųjų šalių veikla</w:t>
      </w:r>
    </w:p>
    <w:p w:rsidR="00466FA3" w:rsidRDefault="000E0F36">
      <w:pPr>
        <w:spacing w:after="240"/>
        <w:jc w:val="both"/>
        <w:rPr>
          <w:noProof/>
        </w:rPr>
      </w:pPr>
      <w:r>
        <w:rPr>
          <w:noProof/>
        </w:rPr>
        <w:t>2018 m. iš viso galiojo 174 prekybos apsaugos priemonės, darančios poveikį ES</w:t>
      </w:r>
      <w:r>
        <w:rPr>
          <w:noProof/>
        </w:rPr>
        <w:t xml:space="preserve"> eksportui (2017 m. – 162). Manoma, kad ši tendencija ateinančius kelerius metus tęsis, be kita ko, atsižvelgiant į didelį naujų ir tebevykdomų tyrimų skaičių 2018 m. (35, o 2017 m. – 31), po kurių priemonės gali būti nustatytos 2019 m. </w:t>
      </w:r>
    </w:p>
    <w:p w:rsidR="00466FA3" w:rsidRDefault="000E0F36">
      <w:pPr>
        <w:spacing w:after="240"/>
        <w:jc w:val="both"/>
        <w:rPr>
          <w:noProof/>
        </w:rPr>
      </w:pPr>
      <w:r>
        <w:rPr>
          <w:noProof/>
        </w:rPr>
        <w:t>Didžiausią dalį pr</w:t>
      </w:r>
      <w:r>
        <w:rPr>
          <w:noProof/>
        </w:rPr>
        <w:t>ekybos apsaugos priemonių, nukreiptų prieš ES eksportą, taikė JAV – galiojo 33 priemonės (2017 m. – 26). Palyginti su 2015 m. (18 priemonių), jų skaičius padidėjo 89 proc. Tai netiesiogiai prisidėjo ir prie didesnio priemonių skaičiaus visame pasaulyje, ne</w:t>
      </w:r>
      <w:r>
        <w:rPr>
          <w:noProof/>
        </w:rPr>
        <w:t xml:space="preserve">s tokios šalys kaip Turkija ar Kanada inicijavo apsaugos priemonių tyrimus dėl tam tikrų plieno gaminių, atsakydamos į JAV 232 straipsnio priemones dėl plieno. Vis dėlto labiausiai naudojama priemonė visame pasaulyje tebėra antidempingo priemonės – iš 174 </w:t>
      </w:r>
      <w:r>
        <w:rPr>
          <w:noProof/>
        </w:rPr>
        <w:t xml:space="preserve">galiojančių priemonių 133 priskiriamos antidempingo priemonėms. </w:t>
      </w:r>
    </w:p>
    <w:p w:rsidR="00466FA3" w:rsidRDefault="000E0F36">
      <w:pPr>
        <w:spacing w:after="240"/>
        <w:jc w:val="both"/>
        <w:rPr>
          <w:noProof/>
        </w:rPr>
      </w:pPr>
      <w:r>
        <w:rPr>
          <w:noProof/>
        </w:rPr>
        <w:t>Indija yra antroji pagal dydį prieš ES nukreiptų prekybos apsaugos priemonių taikytoja – galiojo 21 priemonė (2017 m. – 21), po jos rikiuojasi Kinija, kuri 2018 m. taikė 18 priemonių (2017 m.</w:t>
      </w:r>
      <w:r>
        <w:rPr>
          <w:noProof/>
        </w:rPr>
        <w:t> – 20).</w:t>
      </w:r>
    </w:p>
    <w:p w:rsidR="00466FA3" w:rsidRDefault="000E0F36">
      <w:pPr>
        <w:spacing w:after="240"/>
        <w:jc w:val="both"/>
        <w:rPr>
          <w:noProof/>
        </w:rPr>
      </w:pPr>
      <w:r>
        <w:rPr>
          <w:noProof/>
        </w:rPr>
        <w:t>Kalbant apie 2018 m. vykdytus naujus tyrimus, JAV jų inicijavo tris, Indija – keturis, o Kinija – du. Be šių įprastinių prekybos apsaugos priemonių taikytojų, prie didėjančios tendencijos prisidėjo ir kai kurios prekybos apsaugos priemones rečiau t</w:t>
      </w:r>
      <w:r>
        <w:rPr>
          <w:noProof/>
        </w:rPr>
        <w:t>aikiusios šalys. Tai visų pirma buvo Australija ir Argentina, kurių kiekviena 2018 m. inicijavo po tris naujus tyrimus. Be to, priemonių ėmėsi ir kiti jų taikytojai, pvz., Persijos įlankos bendradarbiavimo taryba (GCC) vykdė tris tyrimus, Madagaskaras vykd</w:t>
      </w:r>
      <w:r>
        <w:rPr>
          <w:noProof/>
        </w:rPr>
        <w:t>ė du naujus apsaugos priemonių tyrimus, o Kolumbija 2018 m. inicijavo tyrimą dėl užšaldytų gruzdintų bulvyčių, pirmąjį per penkerius metus.</w:t>
      </w:r>
    </w:p>
    <w:p w:rsidR="00466FA3" w:rsidRDefault="000E0F36">
      <w:pPr>
        <w:spacing w:after="240"/>
        <w:jc w:val="both"/>
        <w:rPr>
          <w:noProof/>
        </w:rPr>
      </w:pPr>
      <w:r>
        <w:rPr>
          <w:noProof/>
        </w:rPr>
        <w:t>Kalbant apie nustatytas priemones, daugiausia – dešimt – naujų priemonių 2018 m. nustatė JAV, po jos rikiuojasi ketu</w:t>
      </w:r>
      <w:r>
        <w:rPr>
          <w:noProof/>
        </w:rPr>
        <w:t xml:space="preserve">rias naujas priemones nustačiusi Australija, o Indija ir Turkija kiekviena nustatė po tris naujas priemones. Kinija 2018 m. nustatė vieną naują priemonę. </w:t>
      </w:r>
    </w:p>
    <w:p w:rsidR="00466FA3" w:rsidRDefault="000E0F36">
      <w:pPr>
        <w:spacing w:after="240"/>
        <w:jc w:val="both"/>
        <w:rPr>
          <w:noProof/>
        </w:rPr>
      </w:pPr>
      <w:r>
        <w:rPr>
          <w:noProof/>
        </w:rPr>
        <w:t>Vertinant pagal sektorius, daugiausia priemonių buvo nukreipta prieš plieno sektorių – iš 37 tyrimų d</w:t>
      </w:r>
      <w:r>
        <w:rPr>
          <w:noProof/>
        </w:rPr>
        <w:t>ėl jo inicijuota 12, o iš 32 priemonių jam nustatyta 13 naujų priemonių. Plieno gaminiams taip pat skirta didžiausia dalis visų 2018 m. galiojusių priemonių – 67 iš 174. Cheminėms medžiagoms ir toliau teko svarbi dalis – buvo inicijuoti aštuoni nauji tyrim</w:t>
      </w:r>
      <w:r>
        <w:rPr>
          <w:noProof/>
        </w:rPr>
        <w:t>ai.</w:t>
      </w:r>
    </w:p>
    <w:p w:rsidR="00466FA3" w:rsidRDefault="000E0F36">
      <w:pPr>
        <w:spacing w:after="240"/>
        <w:jc w:val="both"/>
        <w:rPr>
          <w:noProof/>
        </w:rPr>
      </w:pPr>
      <w:r>
        <w:rPr>
          <w:noProof/>
        </w:rPr>
        <w:t>Nors Komisija intervencinių veiksmų imasi visais prieš ES nukreiptų priemonių atvejais, didžiausią dėmesį ji skiria sisteminėms problemoms ir atvejams, dėl kurių pramonės atstovai konkrečiai prašo pagalbos. 2018 m. Komisija, pavyzdžiui, įsikišo į Čilės</w:t>
      </w:r>
      <w:r>
        <w:rPr>
          <w:noProof/>
        </w:rPr>
        <w:t xml:space="preserve"> vykdytą apsaugos priemonių tyrimą dėl pieno miltelių ir sūrio importo ir į Australijos vykdytą antidempingo peržiūros tyrimą dėl konservuotų pomidorų. Užšaldytų gruzdintų bulvyčių importui Kolumbijos nustatyti muitai itin trikdo prekybą, nes panašu, kad d</w:t>
      </w:r>
      <w:r>
        <w:rPr>
          <w:noProof/>
        </w:rPr>
        <w:t xml:space="preserve">empingo skirtumai buvo dirbtinai išpūsti naudojant klaidingas metodikas. </w:t>
      </w:r>
    </w:p>
    <w:p w:rsidR="00466FA3" w:rsidRDefault="000E0F36">
      <w:pPr>
        <w:spacing w:after="240"/>
        <w:jc w:val="both"/>
        <w:rPr>
          <w:noProof/>
        </w:rPr>
      </w:pPr>
      <w:r>
        <w:rPr>
          <w:noProof/>
        </w:rPr>
        <w:t>2018 m. Indijos, GCC ir Australijos vykdyti tyrimai visų pirma buvo nukreipti prieš popieriaus pramonę. Komisija, bendradarbiaudama su pramonės atstovais, ėmėsi intervencinių veiksmų</w:t>
      </w:r>
      <w:r>
        <w:rPr>
          <w:noProof/>
        </w:rPr>
        <w:t xml:space="preserve"> ir toliau atidžiai stebi šiuos tyrimus.</w:t>
      </w:r>
    </w:p>
    <w:p w:rsidR="00466FA3" w:rsidRDefault="000E0F36">
      <w:pPr>
        <w:pStyle w:val="ManualHeading1"/>
        <w:spacing w:before="480" w:after="240"/>
        <w:ind w:left="851" w:hanging="851"/>
        <w:rPr>
          <w:noProof/>
        </w:rPr>
      </w:pPr>
      <w:r>
        <w:rPr>
          <w:noProof/>
        </w:rPr>
        <w:t>II.7.</w:t>
      </w:r>
      <w:r>
        <w:rPr>
          <w:noProof/>
        </w:rPr>
        <w:tab/>
        <w:t>PPO lygmeniu vykdoma veikla</w:t>
      </w:r>
    </w:p>
    <w:p w:rsidR="00466FA3" w:rsidRDefault="000E0F36">
      <w:pPr>
        <w:spacing w:after="240"/>
        <w:jc w:val="both"/>
        <w:rPr>
          <w:iCs/>
          <w:noProof/>
          <w:sz w:val="22"/>
          <w:szCs w:val="22"/>
        </w:rPr>
      </w:pPr>
      <w:r>
        <w:rPr>
          <w:noProof/>
        </w:rPr>
        <w:t>ES tebėra visapusiškai įsipareigojusi ir aktyviai vykdo su subsidijomis susijusią darbotvarkę Pasaulio prekybos organizacijoje. 2018 m. Ženevoje toliau vyko intensyvios derybos dėl žuvininkystės sektoriaus subsidijų. Nors buvo pasiekta tik nedidelė pažanga</w:t>
      </w:r>
      <w:r>
        <w:rPr>
          <w:noProof/>
        </w:rPr>
        <w:t xml:space="preserve">, buvo patvirtinta plataus užmojo darbo programa 2019 metams, – ji turėtų sudaryti sąlygas PPO šalims narėms iki 2019 m. pabaigos baigti derybas. </w:t>
      </w:r>
    </w:p>
    <w:p w:rsidR="00466FA3" w:rsidRDefault="000E0F36">
      <w:pPr>
        <w:pStyle w:val="Text2"/>
        <w:spacing w:after="240"/>
        <w:ind w:left="0"/>
        <w:rPr>
          <w:noProof/>
        </w:rPr>
      </w:pPr>
      <w:r>
        <w:rPr>
          <w:noProof/>
        </w:rPr>
        <w:t>2018 m. ES dalyvavo atitinkamų PPO komitetų darbe prekybos apsaugos priemonių klausimais, kurių posėdžiai vyk</w:t>
      </w:r>
      <w:r>
        <w:rPr>
          <w:noProof/>
        </w:rPr>
        <w:t>sta balandžio ir spalio mėn. PPO antidempingo komitete ES visų pirma atsakė į daugelį klausimų dėl ES prekybos apsaugos priemonių teisės aktų reformos. Be to, ES iškėlė rūpimus klausimus dėl tyrimų, kuriuos trečiosios šalys buvo inicijavusios prieš ES arba</w:t>
      </w:r>
      <w:r>
        <w:rPr>
          <w:noProof/>
        </w:rPr>
        <w:t xml:space="preserve"> valstybes nares.  </w:t>
      </w:r>
    </w:p>
    <w:p w:rsidR="00466FA3" w:rsidRDefault="000E0F36">
      <w:pPr>
        <w:pStyle w:val="Text2"/>
        <w:spacing w:after="240"/>
        <w:ind w:left="0"/>
        <w:rPr>
          <w:noProof/>
        </w:rPr>
      </w:pPr>
      <w:r>
        <w:rPr>
          <w:noProof/>
        </w:rPr>
        <w:t>ES taip pat dalyvavo abiejose PPO antidempingo darbo grupės įgyvendinimo klausimais sesijose. Aptariamos temos buvo, pvz., dempingo skirtumų skaičiavimas arba atliekant priemonių galiojimo termino peržiūras taikomos metodikos tikimybei,</w:t>
      </w:r>
      <w:r>
        <w:rPr>
          <w:noProof/>
        </w:rPr>
        <w:t xml:space="preserve"> kad dempingas ir jo daroma žala gali tęstis arba pasikartoti, nustatyti.</w:t>
      </w:r>
    </w:p>
    <w:p w:rsidR="00466FA3" w:rsidRDefault="000E0F36">
      <w:pPr>
        <w:pStyle w:val="Text2"/>
        <w:spacing w:after="240"/>
        <w:ind w:left="0"/>
        <w:rPr>
          <w:noProof/>
        </w:rPr>
      </w:pPr>
      <w:r>
        <w:rPr>
          <w:noProof/>
        </w:rPr>
        <w:t xml:space="preserve">PPO specialiajame subsidijų ir kompensacinių priemonių komitete buvo peržiūrimas 2017 m. ES pranešimas dėl subsidijų. Be to, bendrai remiant ES, JAV, Kanadai ir Japonijai, eiliniame </w:t>
      </w:r>
      <w:r>
        <w:rPr>
          <w:noProof/>
        </w:rPr>
        <w:t>Subsidijų ir kompensacinių priemonių komiteto posėdyje buvo tęsiamos diskusijos dėl subsidijų vaidmens, prisidedančio prie perteklinių pajėgumų didinimo įvairiuose ekonominės veiklos sektoriuose. ES taip pat ne kartą ragino kitas šalis nares didinti skaidr</w:t>
      </w:r>
      <w:r>
        <w:rPr>
          <w:noProof/>
        </w:rPr>
        <w:t>umą – pranešti apie savo subsidijas PPO.</w:t>
      </w:r>
    </w:p>
    <w:p w:rsidR="00466FA3" w:rsidRDefault="000E0F36">
      <w:pPr>
        <w:spacing w:after="240"/>
        <w:jc w:val="both"/>
        <w:rPr>
          <w:noProof/>
        </w:rPr>
      </w:pPr>
      <w:r>
        <w:rPr>
          <w:noProof/>
        </w:rPr>
        <w:t>Apsaugos priemonių klausimus nagrinėjančio PPO komiteto posėdyje ES išdėstė tam tikrus susirūpinimą keliančius klausimus, susijusius su kitų PPO narių apsaugos priemonių tyrimais (pvz., su Čilės tyrimu dėl pieno mil</w:t>
      </w:r>
      <w:r>
        <w:rPr>
          <w:noProof/>
        </w:rPr>
        <w:t xml:space="preserve">telių ir sūrio „Gouda“, JAV tyrimu dėl saulės baterijų plokščių, Turkijos tyrimu dėl tapetų). Be to, ES atsakė į kitų PPO narių klausimus dėl jos apsaugos priemonių tyrimo, susijusio su tam tikrais plieno gaminiais, inicijavimo. </w:t>
      </w:r>
    </w:p>
    <w:p w:rsidR="00466FA3" w:rsidRDefault="000E0F36">
      <w:pPr>
        <w:adjustRightInd w:val="0"/>
        <w:spacing w:before="480" w:after="240"/>
        <w:jc w:val="both"/>
        <w:rPr>
          <w:b/>
          <w:smallCaps/>
          <w:noProof/>
        </w:rPr>
      </w:pPr>
      <w:r>
        <w:rPr>
          <w:rStyle w:val="Heading1Char"/>
          <w:noProof/>
        </w:rPr>
        <w:t>II.8.</w:t>
      </w:r>
      <w:r>
        <w:rPr>
          <w:noProof/>
        </w:rPr>
        <w:tab/>
      </w:r>
      <w:r>
        <w:rPr>
          <w:rStyle w:val="Heading1Char"/>
          <w:noProof/>
        </w:rPr>
        <w:t xml:space="preserve">  Bylas nagrinėjanči</w:t>
      </w:r>
      <w:r>
        <w:rPr>
          <w:rStyle w:val="Heading1Char"/>
          <w:noProof/>
        </w:rPr>
        <w:t>o pareigūno veikla</w:t>
      </w:r>
    </w:p>
    <w:p w:rsidR="00466FA3" w:rsidRDefault="000E0F36">
      <w:pPr>
        <w:pStyle w:val="Text2"/>
        <w:spacing w:before="0" w:after="240"/>
        <w:ind w:left="0"/>
        <w:rPr>
          <w:noProof/>
        </w:rPr>
      </w:pPr>
      <w:r>
        <w:rPr>
          <w:noProof/>
        </w:rPr>
        <w:t xml:space="preserve">2018 m. bylas nagrinėjantis pareigūnas iš viso gavo 27 prašymus imtis intervencinių veiksmų ir surengė aštuonis klausymus. Kai kuriose bylose prašymas imtis intervencinių veiksmų buvo pateiktas tuo pačiu metu kaip ir prašymas išklausyti </w:t>
      </w:r>
      <w:r>
        <w:rPr>
          <w:noProof/>
        </w:rPr>
        <w:t>kartu su tarnybomis, atsakingomis už tyrimą. Bylas nagrinėjantis pareigūnas nusprendė laikytis pozicijos, kad suinteresuotoji šalis visų pirma jai susirūpinimą keliančius klausimus turėtų pateikti tarnyboms, o bylas nagrinėjantis pareigūnas turėtų įsikišti</w:t>
      </w:r>
      <w:r>
        <w:rPr>
          <w:noProof/>
        </w:rPr>
        <w:t xml:space="preserve"> tik tada, kai nepavyksta pasiekti sprendimo. Taigi, suinteresuotosios šalys, siekiančios, kad būtų imtasi intervencinių veiksmų, daugumoje bylų sugebėjo rasti sprendimą tiesiogiai su tyrimo grupėmis.</w:t>
      </w:r>
    </w:p>
    <w:p w:rsidR="00466FA3" w:rsidRDefault="000E0F36">
      <w:pPr>
        <w:pStyle w:val="Text2"/>
        <w:spacing w:after="240"/>
        <w:ind w:left="0"/>
        <w:rPr>
          <w:noProof/>
        </w:rPr>
      </w:pPr>
      <w:r>
        <w:rPr>
          <w:noProof/>
        </w:rPr>
        <w:t>2018 m. prašymai imtis intervencinių veiksmų buvo patei</w:t>
      </w:r>
      <w:r>
        <w:rPr>
          <w:noProof/>
        </w:rPr>
        <w:t>kti tik kelių tyrimų atveju. Tai buvo arba kelių suinteresuotųjų šalių prašymai, arba tos pačios suinteresuotosios šalies pateikti keli prašymai imtis intervencinių veiksmų. Suinteresuotosios šalys daugiausia ginčijo tyrimo metu nustatytus kiekybinius rodi</w:t>
      </w:r>
      <w:r>
        <w:rPr>
          <w:noProof/>
        </w:rPr>
        <w:t>klius, faktus ir išvadas ir visais atvejais tarnybos sutiko pateikti paaiškinimus ar atskleisti papildomą informaciją. Vienoje pažymėtinoje byloje suinteresuotoji šalis ginčijo Komisijos taikomą asmens duomenų, susijusių su tyrimu, apsaugos politiką – bylą</w:t>
      </w:r>
      <w:r>
        <w:rPr>
          <w:noProof/>
        </w:rPr>
        <w:t xml:space="preserve"> teko perduoti Europos duomenų apsaugos tarnybai. Bylas nagrinėjantis pareigūnas nustatė, kad per visus 2018 m. vykdytus intervencinius veiksmus buvo užtikrintos suinteresuotųjų šalių procesinės teisės.</w:t>
      </w:r>
    </w:p>
    <w:p w:rsidR="00466FA3" w:rsidRDefault="000E0F36">
      <w:pPr>
        <w:pStyle w:val="Text2"/>
        <w:spacing w:after="240"/>
        <w:ind w:left="0"/>
        <w:rPr>
          <w:noProof/>
        </w:rPr>
      </w:pPr>
      <w:r>
        <w:rPr>
          <w:noProof/>
        </w:rPr>
        <w:t>Atlikus teisės aktų pakeitimus, bylas nagrinėjančio p</w:t>
      </w:r>
      <w:r>
        <w:rPr>
          <w:noProof/>
        </w:rPr>
        <w:t>areigūno vaidmuo dabar yra aiškiai pripažintas pagrindiniuose antidempingo ir antisubsidijų reglamentuose. Taigi bylas nagrinėjantis pareigūnas atitinkamai taip pat prisidėjo prie Komisijos taikytų procedūrų skaidrumui padidinti ir suinteresuotųjų šalių pr</w:t>
      </w:r>
      <w:r>
        <w:rPr>
          <w:noProof/>
        </w:rPr>
        <w:t>ocesinėms teisėms užtikrinti.</w:t>
      </w:r>
    </w:p>
    <w:p w:rsidR="00466FA3" w:rsidRDefault="00466FA3">
      <w:pPr>
        <w:pStyle w:val="Text1"/>
        <w:ind w:left="851"/>
        <w:rPr>
          <w:noProof/>
        </w:rPr>
      </w:pPr>
    </w:p>
    <w:p w:rsidR="00466FA3" w:rsidRDefault="00466FA3">
      <w:pPr>
        <w:pStyle w:val="Text1"/>
        <w:rPr>
          <w:noProof/>
        </w:rPr>
      </w:pPr>
    </w:p>
    <w:sectPr w:rsidR="00466FA3" w:rsidSect="000E0F36">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FA3" w:rsidRDefault="000E0F36">
      <w:r>
        <w:separator/>
      </w:r>
    </w:p>
  </w:endnote>
  <w:endnote w:type="continuationSeparator" w:id="0">
    <w:p w:rsidR="00466FA3" w:rsidRDefault="000E0F36">
      <w:r>
        <w:continuationSeparator/>
      </w:r>
    </w:p>
  </w:endnote>
  <w:endnote w:type="continuationNotice" w:id="1">
    <w:p w:rsidR="00466FA3" w:rsidRDefault="00466F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FA3" w:rsidRDefault="00466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FA3" w:rsidRDefault="000E0F36">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FA3" w:rsidRDefault="00466FA3">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FA3" w:rsidRDefault="00466FA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FA3" w:rsidRDefault="000E0F36">
    <w:pPr>
      <w:pStyle w:val="Footer"/>
      <w:jc w:val="center"/>
    </w:pPr>
    <w:r>
      <w:fldChar w:fldCharType="begin"/>
    </w:r>
    <w:r>
      <w:instrText xml:space="preserve"> PAGE   \* MERGEFORMAT </w:instrText>
    </w:r>
    <w:r>
      <w:fldChar w:fldCharType="separate"/>
    </w:r>
    <w:r>
      <w:rPr>
        <w:noProof/>
      </w:rPr>
      <w:t>2</w:t>
    </w:r>
    <w:r>
      <w:fldChar w:fldCharType="end"/>
    </w:r>
  </w:p>
  <w:p w:rsidR="00466FA3" w:rsidRDefault="00466FA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51664"/>
      <w:docPartObj>
        <w:docPartGallery w:val="Page Numbers (Bottom of Page)"/>
        <w:docPartUnique/>
      </w:docPartObj>
    </w:sdtPr>
    <w:sdtEndPr>
      <w:rPr>
        <w:noProof/>
      </w:rPr>
    </w:sdtEndPr>
    <w:sdtContent>
      <w:bookmarkStart w:id="1" w:name="_GoBack" w:displacedByCustomXml="prev"/>
      <w:bookmarkEnd w:id="1" w:displacedByCustomXml="prev"/>
      <w:p w:rsidR="000E0F36" w:rsidRDefault="000E0F3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66FA3" w:rsidRDefault="00466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FA3" w:rsidRDefault="000E0F36">
      <w:r>
        <w:separator/>
      </w:r>
    </w:p>
  </w:footnote>
  <w:footnote w:type="continuationSeparator" w:id="0">
    <w:p w:rsidR="00466FA3" w:rsidRDefault="000E0F36">
      <w:r>
        <w:continuationSeparator/>
      </w:r>
    </w:p>
  </w:footnote>
  <w:footnote w:type="continuationNotice" w:id="1">
    <w:p w:rsidR="00466FA3" w:rsidRDefault="00466FA3"/>
  </w:footnote>
  <w:footnote w:id="2">
    <w:p w:rsidR="00466FA3" w:rsidRDefault="000E0F36">
      <w:pPr>
        <w:pStyle w:val="FootnoteText"/>
      </w:pPr>
      <w:r>
        <w:rPr>
          <w:rStyle w:val="FootnoteReference"/>
        </w:rPr>
        <w:footnoteRef/>
      </w:r>
      <w:r>
        <w:t xml:space="preserve"> </w:t>
      </w:r>
      <w:r>
        <w:tab/>
        <w:t>Europos Parlamento ir Tarybos reglamentas (ES) 2016/1036 dėl apsaugos nuo importo dempingo kaina iš Europos Sąjungos narėmis nesančių valstybių (OL L 176, 2016 6 30, p. 21).</w:t>
      </w:r>
    </w:p>
  </w:footnote>
  <w:footnote w:id="3">
    <w:p w:rsidR="00466FA3" w:rsidRDefault="000E0F36">
      <w:pPr>
        <w:pStyle w:val="FootnoteText"/>
      </w:pPr>
      <w:r>
        <w:rPr>
          <w:rStyle w:val="FootnoteReference"/>
        </w:rPr>
        <w:footnoteRef/>
      </w:r>
      <w:r>
        <w:t xml:space="preserve"> </w:t>
      </w:r>
      <w:r>
        <w:tab/>
      </w:r>
      <w:r>
        <w:t>Europos Parlamento ir Tarybos reglamentas (ES) 2016/1037 dėl apsaugos nuo subsidijuoto importo iš Europos Sąjungos narėmis nesančių valstybių (OL L 176, 2016 6 30, p. 55).</w:t>
      </w:r>
    </w:p>
  </w:footnote>
  <w:footnote w:id="4">
    <w:p w:rsidR="00466FA3" w:rsidRDefault="000E0F36">
      <w:pPr>
        <w:pStyle w:val="FootnoteText"/>
      </w:pPr>
      <w:r>
        <w:rPr>
          <w:rStyle w:val="FootnoteReference"/>
        </w:rPr>
        <w:footnoteRef/>
      </w:r>
      <w:r>
        <w:t xml:space="preserve"> </w:t>
      </w:r>
      <w:r>
        <w:tab/>
        <w:t>Europos Parlamento ir Tarybos reglamentas (ES) 2015/478 dėl bendrų importo taisyk</w:t>
      </w:r>
      <w:r>
        <w:t>lių (OL L 83, 2015 3 27, p. 16).</w:t>
      </w:r>
    </w:p>
  </w:footnote>
  <w:footnote w:id="5">
    <w:p w:rsidR="00466FA3" w:rsidRDefault="000E0F36">
      <w:pPr>
        <w:pStyle w:val="FootnoteText"/>
      </w:pPr>
      <w:r>
        <w:rPr>
          <w:rStyle w:val="FootnoteReference"/>
        </w:rPr>
        <w:footnoteRef/>
      </w:r>
      <w:r>
        <w:t xml:space="preserve"> </w:t>
      </w:r>
      <w:r>
        <w:tab/>
        <w:t>Nuo 2018 m. birželio 8 d. inicijuotose bylose taikomos taisyklės, susijusios ir su nauja skaičiavimo metodika, ir su modernizavimu (</w:t>
      </w:r>
      <w:r>
        <w:rPr>
          <w:i/>
        </w:rPr>
        <w:t>inter alia</w:t>
      </w:r>
      <w:r>
        <w:t>, taikomas trumpesnis tiriamasis laikotarpis). 2017 m. gruodžio 20 d. – 2018 m</w:t>
      </w:r>
      <w:r>
        <w:t>. birželio 7 d. inicijuotose naujose bylose ir priemonių galiojimo termino peržiūrose taikomos naujos skaičiavimo metodikos taisyklės. Visose kitose bylose taikytos „senosios“ taisyklės.</w:t>
      </w:r>
    </w:p>
  </w:footnote>
  <w:footnote w:id="6">
    <w:p w:rsidR="00466FA3" w:rsidRDefault="000E0F36">
      <w:pPr>
        <w:pStyle w:val="FootnoteText"/>
      </w:pPr>
      <w:r>
        <w:rPr>
          <w:rStyle w:val="FootnoteReference"/>
        </w:rPr>
        <w:footnoteRef/>
      </w:r>
      <w:r>
        <w:t xml:space="preserve"> </w:t>
      </w:r>
      <w:r>
        <w:tab/>
      </w:r>
      <w:r>
        <w:t xml:space="preserve">2015 m. spalio 14 d. Komisijos komunikatas Europos Parlamentui, Tarybai, Ekonomikos ir socialinių reikalų komitetui ir Regionų komitetui „Prekyba visiems. Atsakingesnės prekybos ir investicijų politikos kūrimas“ (COM/2015/0497 </w:t>
      </w:r>
      <w:r>
        <w:rPr>
          <w:i/>
        </w:rPr>
        <w:t>final</w:t>
      </w:r>
      <w:r>
        <w:t>).</w:t>
      </w:r>
    </w:p>
  </w:footnote>
  <w:footnote w:id="7">
    <w:p w:rsidR="00466FA3" w:rsidRDefault="000E0F36">
      <w:pPr>
        <w:pStyle w:val="FootnoteText"/>
      </w:pPr>
      <w:r>
        <w:rPr>
          <w:rStyle w:val="FootnoteReference"/>
        </w:rPr>
        <w:footnoteRef/>
      </w:r>
      <w:r>
        <w:t xml:space="preserve"> </w:t>
      </w:r>
      <w:r>
        <w:tab/>
        <w:t>Šaltinis: ES regla</w:t>
      </w:r>
      <w:r>
        <w:t>mentai ir oficialūs pramonės atstovų skundai arba prašymai atlikti peržiūrą.</w:t>
      </w:r>
    </w:p>
  </w:footnote>
  <w:footnote w:id="8">
    <w:p w:rsidR="00466FA3" w:rsidRDefault="000E0F36">
      <w:pPr>
        <w:pStyle w:val="FootnoteText"/>
      </w:pPr>
      <w:r>
        <w:rPr>
          <w:rStyle w:val="FootnoteReference"/>
        </w:rPr>
        <w:footnoteRef/>
      </w:r>
      <w:r>
        <w:t xml:space="preserve"> </w:t>
      </w:r>
      <w:r>
        <w:tab/>
        <w:t xml:space="preserve">Šaltinis: ES reglamentai ir PPO. </w:t>
      </w:r>
    </w:p>
  </w:footnote>
  <w:footnote w:id="9">
    <w:p w:rsidR="00466FA3" w:rsidRDefault="000E0F36">
      <w:pPr>
        <w:pStyle w:val="FootnoteText"/>
      </w:pPr>
      <w:r>
        <w:rPr>
          <w:rStyle w:val="FootnoteReference"/>
        </w:rPr>
        <w:footnoteRef/>
      </w:r>
      <w:r>
        <w:t xml:space="preserve"> </w:t>
      </w:r>
      <w:r>
        <w:tab/>
        <w:t>Žaliavų kainų, kurios sudaro bent 17 proc. prekės gamybos sąnaudų, iškraipymo atveju galioja specialios žalos skirtumo apskaičiavimo taisyk</w:t>
      </w:r>
      <w:r>
        <w:t>lės. Subsidijavimo atveju mažesnio muito taisyklė paprastai netaikoma.</w:t>
      </w:r>
    </w:p>
  </w:footnote>
  <w:footnote w:id="10">
    <w:p w:rsidR="00466FA3" w:rsidRDefault="000E0F36">
      <w:pPr>
        <w:pStyle w:val="ListParagraph"/>
        <w:ind w:left="709" w:hanging="709"/>
        <w:jc w:val="both"/>
        <w:rPr>
          <w:i/>
          <w:sz w:val="20"/>
          <w:szCs w:val="20"/>
        </w:rPr>
      </w:pPr>
      <w:r>
        <w:rPr>
          <w:rStyle w:val="FootnoteReference"/>
          <w:sz w:val="20"/>
        </w:rPr>
        <w:footnoteRef/>
      </w:r>
      <w:r>
        <w:rPr>
          <w:sz w:val="20"/>
        </w:rPr>
        <w:t xml:space="preserve"> </w:t>
      </w:r>
      <w:r>
        <w:tab/>
      </w:r>
      <w:r>
        <w:rPr>
          <w:sz w:val="20"/>
        </w:rPr>
        <w:t>Importo pradiniu TL duomenys lyginami su 2017 m. lapkričio mėn. – 2018 m. spalio mėn. duomenimis. Tyrimo dėl padangų atveju po priemonių nustatymo (šešių mėnesių) turimi duomenys pal</w:t>
      </w:r>
      <w:r>
        <w:rPr>
          <w:sz w:val="20"/>
        </w:rPr>
        <w:t xml:space="preserve">yginimo tikslu buvo ekstrapoliuoti. </w:t>
      </w:r>
      <w:r>
        <w:rPr>
          <w:i/>
          <w:sz w:val="20"/>
        </w:rPr>
        <w:t xml:space="preserve">Žr. </w:t>
      </w:r>
      <w:r>
        <w:rPr>
          <w:sz w:val="20"/>
        </w:rPr>
        <w:t>2018 m. spalio 18 d. Komisijos įgyvendinimo reglamentą (ES) 2018/1579 (OL L 263, 2018 10 22, p. 3).</w:t>
      </w:r>
    </w:p>
  </w:footnote>
  <w:footnote w:id="11">
    <w:p w:rsidR="00466FA3" w:rsidRDefault="000E0F36">
      <w:pPr>
        <w:pStyle w:val="FootnoteText"/>
      </w:pPr>
      <w:r>
        <w:rPr>
          <w:rStyle w:val="FootnoteReference"/>
        </w:rPr>
        <w:footnoteRef/>
      </w:r>
      <w:r>
        <w:t xml:space="preserve"> </w:t>
      </w:r>
      <w:r>
        <w:tab/>
        <w:t>Pačios Komisijos duomenys.</w:t>
      </w:r>
    </w:p>
  </w:footnote>
  <w:footnote w:id="12">
    <w:p w:rsidR="00466FA3" w:rsidRDefault="000E0F36">
      <w:pPr>
        <w:pStyle w:val="FootnoteText"/>
      </w:pPr>
      <w:r>
        <w:rPr>
          <w:rStyle w:val="FootnoteReference"/>
        </w:rPr>
        <w:footnoteRef/>
      </w:r>
      <w:r>
        <w:t xml:space="preserve"> </w:t>
      </w:r>
      <w:r>
        <w:tab/>
        <w:t>2017 m. lapkričio 22 d. Komisijos įgyvendinimo reglamentas (ES) 2017/2179 (OL L 307</w:t>
      </w:r>
      <w:r>
        <w:t>, 2017 11 23, p. 25).</w:t>
      </w:r>
    </w:p>
  </w:footnote>
  <w:footnote w:id="13">
    <w:p w:rsidR="00466FA3" w:rsidRDefault="000E0F36">
      <w:pPr>
        <w:pStyle w:val="FootnoteText"/>
      </w:pPr>
      <w:r>
        <w:rPr>
          <w:rStyle w:val="FootnoteReference"/>
        </w:rPr>
        <w:footnoteRef/>
      </w:r>
      <w:r>
        <w:t xml:space="preserve"> </w:t>
      </w:r>
      <w:r>
        <w:tab/>
        <w:t>2017 m. sausio 23 d. Komisijos įgyvendinimo reglamentas (ES) 2017/109 (OL L 18, 2017 1 24, p. 1).</w:t>
      </w:r>
    </w:p>
  </w:footnote>
  <w:footnote w:id="14">
    <w:p w:rsidR="00466FA3" w:rsidRDefault="000E0F36">
      <w:pPr>
        <w:pStyle w:val="FootnoteText"/>
      </w:pPr>
      <w:r>
        <w:rPr>
          <w:rStyle w:val="FootnoteReference"/>
        </w:rPr>
        <w:footnoteRef/>
      </w:r>
      <w:r>
        <w:t xml:space="preserve"> </w:t>
      </w:r>
      <w:r>
        <w:tab/>
        <w:t>Vengimas apibrėžiamas kaip trečiųjų šalių ir ES prekybos pobūdžio pasikeitimas, atsiradęs dėl praktikos, proceso ar veiksmų, kurie</w:t>
      </w:r>
      <w:r>
        <w:t>ms nėra pakankamai pagrįstos priežasties arba kurių negalima kitaip ekonomiškai pagrįsti, išskyrus tuo, kad buvo nustatytas antidempingo ar kompensacinis muitas.</w:t>
      </w:r>
    </w:p>
  </w:footnote>
  <w:footnote w:id="15">
    <w:p w:rsidR="00466FA3" w:rsidRDefault="000E0F36">
      <w:pPr>
        <w:pStyle w:val="FootnoteText"/>
      </w:pPr>
      <w:r>
        <w:rPr>
          <w:rStyle w:val="FootnoteReference"/>
        </w:rPr>
        <w:footnoteRef/>
      </w:r>
      <w:r>
        <w:t xml:space="preserve"> </w:t>
      </w:r>
      <w:r>
        <w:tab/>
        <w:t>Absorbcija gali būti nustatyta tada, kai po pradinio tiriamojo laikotarpio ir iki priemonių</w:t>
      </w:r>
      <w:r>
        <w:t xml:space="preserve"> nustatymo arba jas jau nustačius eksporto kainos sumažėjo arba į ES importuotų produktų perpardavimo kainos ar tolesnio pardavimo kainos nesikeitė arba pasikeitė nepakankamai.</w:t>
      </w:r>
    </w:p>
  </w:footnote>
  <w:footnote w:id="16">
    <w:p w:rsidR="00466FA3" w:rsidRDefault="000E0F36">
      <w:pPr>
        <w:pStyle w:val="FootnoteText"/>
      </w:pPr>
      <w:r>
        <w:rPr>
          <w:rStyle w:val="FootnoteReference"/>
        </w:rPr>
        <w:footnoteRef/>
      </w:r>
      <w:r>
        <w:t xml:space="preserve"> </w:t>
      </w:r>
      <w:r>
        <w:tab/>
        <w:t>Komisijos tarnybų darbinis dokumentas dėl didelių Kinijos Liaudies Respublik</w:t>
      </w:r>
      <w:r>
        <w:t xml:space="preserve">os ekonomikos iškraipymų prekybos gynimo tyrimų tikslais (2017 m. gruodžio 20 d., SWD(2017) 483 </w:t>
      </w:r>
      <w:r>
        <w:rPr>
          <w:i/>
        </w:rPr>
        <w:t>final</w:t>
      </w:r>
      <w:r>
        <w:t>/2).</w:t>
      </w:r>
    </w:p>
  </w:footnote>
  <w:footnote w:id="17">
    <w:p w:rsidR="00466FA3" w:rsidRDefault="000E0F36">
      <w:pPr>
        <w:pStyle w:val="FootnoteText"/>
      </w:pPr>
      <w:r>
        <w:rPr>
          <w:rStyle w:val="FootnoteReference"/>
        </w:rPr>
        <w:footnoteRef/>
      </w:r>
      <w:r>
        <w:t xml:space="preserve"> </w:t>
      </w:r>
      <w:r>
        <w:tab/>
        <w:t>Šios ataskaitos paskelbimo metu šalies ataskaita dėl Rusijos dar buvo rengiama.</w:t>
      </w:r>
    </w:p>
  </w:footnote>
  <w:footnote w:id="18">
    <w:p w:rsidR="00466FA3" w:rsidRDefault="000E0F36">
      <w:pPr>
        <w:pStyle w:val="FootnoteText"/>
      </w:pPr>
      <w:r>
        <w:rPr>
          <w:rStyle w:val="FootnoteReference"/>
        </w:rPr>
        <w:footnoteRef/>
      </w:r>
      <w:r>
        <w:t xml:space="preserve"> </w:t>
      </w:r>
      <w:r>
        <w:tab/>
        <w:t>2016 m. kovo 16 d. Komisijos komunikatas Europos Parlamentui, Eu</w:t>
      </w:r>
      <w:r>
        <w:t>ropos Vadovų Tarybai, Tarybai, Europos ekonomikos ir socialinių reikalų komitetui, Regionų komitetui ir Europos investicijų bankui „Plienas.</w:t>
      </w:r>
      <w:r>
        <w:rPr>
          <w:i/>
        </w:rPr>
        <w:t xml:space="preserve"> </w:t>
      </w:r>
      <w:r>
        <w:t xml:space="preserve">Tvarių darbo vietų ir ekonomikos augimo Europoje apsauga“ (COM(2016) 155 </w:t>
      </w:r>
      <w:r>
        <w:rPr>
          <w:i/>
        </w:rPr>
        <w:t>final</w:t>
      </w:r>
      <w:r>
        <w:t>).</w:t>
      </w:r>
    </w:p>
  </w:footnote>
  <w:footnote w:id="19">
    <w:p w:rsidR="00466FA3" w:rsidRDefault="000E0F36">
      <w:pPr>
        <w:pStyle w:val="FootnoteText"/>
      </w:pPr>
      <w:r>
        <w:rPr>
          <w:rStyle w:val="FootnoteReference"/>
        </w:rPr>
        <w:footnoteRef/>
      </w:r>
      <w:r>
        <w:t xml:space="preserve"> </w:t>
      </w:r>
      <w:r>
        <w:tab/>
        <w:t xml:space="preserve">2019 m. sausio 31 d. Komisijos </w:t>
      </w:r>
      <w:r>
        <w:t>įgyvendinimo reglamentas (ES) 2019/159 (OL L 31, 2019 2 1, p. 27).</w:t>
      </w:r>
    </w:p>
  </w:footnote>
  <w:footnote w:id="20">
    <w:p w:rsidR="00466FA3" w:rsidRDefault="000E0F36">
      <w:pPr>
        <w:pStyle w:val="FootnoteText"/>
      </w:pPr>
      <w:r>
        <w:rPr>
          <w:rStyle w:val="FootnoteReference"/>
        </w:rPr>
        <w:footnoteRef/>
      </w:r>
      <w:r>
        <w:t xml:space="preserve"> </w:t>
      </w:r>
      <w:r>
        <w:tab/>
      </w:r>
      <w:hyperlink r:id="rId1">
        <w:r>
          <w:rPr>
            <w:rStyle w:val="Hyperlink"/>
          </w:rPr>
          <w:t>http://trade.ec.europa.eu/doclib/html/157607.htm</w:t>
        </w:r>
      </w:hyperlink>
      <w:r>
        <w:t xml:space="preserve"> </w:t>
      </w:r>
    </w:p>
  </w:footnote>
  <w:footnote w:id="21">
    <w:p w:rsidR="00466FA3" w:rsidRDefault="000E0F36">
      <w:pPr>
        <w:pStyle w:val="FootnoteText"/>
      </w:pPr>
      <w:r>
        <w:rPr>
          <w:rStyle w:val="FootnoteReference"/>
        </w:rPr>
        <w:footnoteRef/>
      </w:r>
      <w:r>
        <w:tab/>
        <w:t>Priemonės skaičiuojamos kiekvienam atitinkamam produktui ir šaliai</w:t>
      </w:r>
      <w:r>
        <w:t>, neskaitant pratęsto galiojimo priemonių.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FA3" w:rsidRDefault="00466F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FA3" w:rsidRDefault="00466FA3">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FA3" w:rsidRDefault="00466FA3">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FA3" w:rsidRDefault="00466FA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FA3" w:rsidRDefault="00466FA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FA3" w:rsidRDefault="00466F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573"/>
    <w:multiLevelType w:val="hybridMultilevel"/>
    <w:tmpl w:val="74684B8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4153A"/>
    <w:multiLevelType w:val="hybridMultilevel"/>
    <w:tmpl w:val="2370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82357"/>
    <w:multiLevelType w:val="hybridMultilevel"/>
    <w:tmpl w:val="15940B8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1F734306"/>
    <w:multiLevelType w:val="multilevel"/>
    <w:tmpl w:val="03D8B9B8"/>
    <w:lvl w:ilvl="0">
      <w:start w:val="1"/>
      <w:numFmt w:val="decimal"/>
      <w:pStyle w:val="Heading1"/>
      <w:lvlText w:val="%1."/>
      <w:lvlJc w:val="left"/>
      <w:pPr>
        <w:tabs>
          <w:tab w:val="num" w:pos="480"/>
        </w:tabs>
        <w:ind w:left="480" w:hanging="480"/>
      </w:pPr>
      <w:rPr>
        <w:rFonts w:cs="Times New Roman" w:hint="default"/>
      </w:rPr>
    </w:lvl>
    <w:lvl w:ilvl="1">
      <w:start w:val="1"/>
      <w:numFmt w:val="decimal"/>
      <w:pStyle w:val="Heading2"/>
      <w:lvlText w:val="%1.%2."/>
      <w:lvlJc w:val="left"/>
      <w:pPr>
        <w:tabs>
          <w:tab w:val="num" w:pos="1200"/>
        </w:tabs>
        <w:ind w:left="1200" w:hanging="720"/>
      </w:pPr>
      <w:rPr>
        <w:rFonts w:cs="Times New Roman" w:hint="default"/>
      </w:rPr>
    </w:lvl>
    <w:lvl w:ilvl="2">
      <w:start w:val="1"/>
      <w:numFmt w:val="decimal"/>
      <w:pStyle w:val="Heading3"/>
      <w:lvlText w:val="%1.%2.%3."/>
      <w:lvlJc w:val="left"/>
      <w:pPr>
        <w:tabs>
          <w:tab w:val="num" w:pos="1920"/>
        </w:tabs>
        <w:ind w:left="1920" w:hanging="720"/>
      </w:pPr>
      <w:rPr>
        <w:rFonts w:cs="Times New Roman" w:hint="default"/>
      </w:rPr>
    </w:lvl>
    <w:lvl w:ilvl="3">
      <w:start w:val="1"/>
      <w:numFmt w:val="decimal"/>
      <w:pStyle w:val="Heading4"/>
      <w:lvlText w:val="%1.%2.%3.%4."/>
      <w:lvlJc w:val="left"/>
      <w:pPr>
        <w:tabs>
          <w:tab w:val="num" w:pos="1920"/>
        </w:tabs>
        <w:ind w:left="192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20B16090"/>
    <w:multiLevelType w:val="hybridMultilevel"/>
    <w:tmpl w:val="0F64C266"/>
    <w:lvl w:ilvl="0" w:tplc="93FCA1FE">
      <w:numFmt w:val="bullet"/>
      <w:lvlText w:val="-"/>
      <w:lvlJc w:val="left"/>
      <w:pPr>
        <w:ind w:left="720" w:hanging="360"/>
      </w:pPr>
      <w:rPr>
        <w:rFonts w:ascii="Calibri" w:eastAsia="Times New Roman" w:hAnsi="Calibri"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A009C"/>
    <w:multiLevelType w:val="hybridMultilevel"/>
    <w:tmpl w:val="3C5E65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947C92"/>
    <w:multiLevelType w:val="hybridMultilevel"/>
    <w:tmpl w:val="4B2EA1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D85B56"/>
    <w:multiLevelType w:val="hybridMultilevel"/>
    <w:tmpl w:val="407899D2"/>
    <w:lvl w:ilvl="0" w:tplc="1B86541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B53D59"/>
    <w:multiLevelType w:val="hybridMultilevel"/>
    <w:tmpl w:val="A5401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D662D89"/>
    <w:multiLevelType w:val="hybridMultilevel"/>
    <w:tmpl w:val="B460367E"/>
    <w:lvl w:ilvl="0" w:tplc="071AF48E">
      <w:start w:val="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A14A3D"/>
    <w:multiLevelType w:val="multilevel"/>
    <w:tmpl w:val="8BF6D0A2"/>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4A432656"/>
    <w:multiLevelType w:val="multilevel"/>
    <w:tmpl w:val="AC885D7A"/>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1080"/>
        </w:tabs>
        <w:ind w:left="1080" w:hanging="600"/>
      </w:pPr>
      <w:rPr>
        <w:rFonts w:cs="Times New Roman"/>
      </w:rPr>
    </w:lvl>
    <w:lvl w:ilvl="2">
      <w:start w:val="1"/>
      <w:numFmt w:val="decimal"/>
      <w:lvlText w:val="%1.%2.%3."/>
      <w:lvlJc w:val="left"/>
      <w:pPr>
        <w:tabs>
          <w:tab w:val="num" w:pos="1920"/>
        </w:tabs>
        <w:ind w:left="1920" w:hanging="840"/>
      </w:pPr>
      <w:rPr>
        <w:rFonts w:cs="Times New Roman"/>
      </w:rPr>
    </w:lvl>
    <w:lvl w:ilvl="3">
      <w:start w:val="1"/>
      <w:numFmt w:val="decimal"/>
      <w:lvlText w:val="%1.%2.%3.%4."/>
      <w:lvlJc w:val="left"/>
      <w:pPr>
        <w:tabs>
          <w:tab w:val="num" w:pos="2880"/>
        </w:tabs>
        <w:ind w:left="2880" w:hanging="9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4CBB62C2"/>
    <w:multiLevelType w:val="hybridMultilevel"/>
    <w:tmpl w:val="A58C6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5762CE"/>
    <w:multiLevelType w:val="hybridMultilevel"/>
    <w:tmpl w:val="669E4EEE"/>
    <w:lvl w:ilvl="0" w:tplc="1B86541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857D4A"/>
    <w:multiLevelType w:val="hybridMultilevel"/>
    <w:tmpl w:val="FB50B6D8"/>
    <w:lvl w:ilvl="0" w:tplc="08090001">
      <w:start w:val="1"/>
      <w:numFmt w:val="bullet"/>
      <w:lvlText w:val=""/>
      <w:lvlJc w:val="left"/>
      <w:pPr>
        <w:ind w:left="1210" w:hanging="360"/>
      </w:pPr>
      <w:rPr>
        <w:rFonts w:ascii="Symbol" w:hAnsi="Symbol" w:hint="default"/>
      </w:rPr>
    </w:lvl>
    <w:lvl w:ilvl="1" w:tplc="08090003">
      <w:start w:val="1"/>
      <w:numFmt w:val="bullet"/>
      <w:lvlText w:val="o"/>
      <w:lvlJc w:val="left"/>
      <w:pPr>
        <w:ind w:left="1930" w:hanging="360"/>
      </w:pPr>
      <w:rPr>
        <w:rFonts w:ascii="Courier New" w:hAnsi="Courier New" w:cs="Courier New" w:hint="default"/>
      </w:rPr>
    </w:lvl>
    <w:lvl w:ilvl="2" w:tplc="08090005">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5" w15:restartNumberingAfterBreak="0">
    <w:nsid w:val="542B3DF1"/>
    <w:multiLevelType w:val="hybridMultilevel"/>
    <w:tmpl w:val="2CF4F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940DF6"/>
    <w:multiLevelType w:val="hybridMultilevel"/>
    <w:tmpl w:val="04C43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4E28D2"/>
    <w:multiLevelType w:val="hybridMultilevel"/>
    <w:tmpl w:val="F9561F6A"/>
    <w:lvl w:ilvl="0" w:tplc="F33011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
  </w:num>
  <w:num w:numId="3">
    <w:abstractNumId w:val="8"/>
  </w:num>
  <w:num w:numId="4">
    <w:abstractNumId w:val="4"/>
  </w:num>
  <w:num w:numId="5">
    <w:abstractNumId w:val="13"/>
  </w:num>
  <w:num w:numId="6">
    <w:abstractNumId w:val="7"/>
  </w:num>
  <w:num w:numId="7">
    <w:abstractNumId w:val="0"/>
  </w:num>
  <w:num w:numId="8">
    <w:abstractNumId w:val="2"/>
  </w:num>
  <w:num w:numId="9">
    <w:abstractNumId w:val="14"/>
  </w:num>
  <w:num w:numId="10">
    <w:abstractNumId w:val="5"/>
  </w:num>
  <w:num w:numId="11">
    <w:abstractNumId w:val="16"/>
  </w:num>
  <w:num w:numId="12">
    <w:abstractNumId w:val="12"/>
  </w:num>
  <w:num w:numId="13">
    <w:abstractNumId w:val="15"/>
  </w:num>
  <w:num w:numId="14">
    <w:abstractNumId w:val="1"/>
  </w:num>
  <w:num w:numId="15">
    <w:abstractNumId w:val="10"/>
  </w:num>
  <w:num w:numId="16">
    <w:abstractNumId w:val="9"/>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GB"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hyphenationZone w:val="425"/>
  <w:drawingGridHorizontalSpacing w:val="12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DocStatus" w:val="Red"/>
    <w:docVar w:name="LW_CORRIGENDUM" w:val="&lt;UNUSED&gt;"/>
    <w:docVar w:name="LW_COVERPAGE_EXISTS" w:val="True"/>
    <w:docVar w:name="LW_COVERPAGE_GUID" w:val="65BCF362-3AB9-411C-A9FA-881BF4DE3763"/>
    <w:docVar w:name="LW_COVERPAGE_TYPE" w:val="1"/>
    <w:docVar w:name="LW_CROSSREFERENCE" w:val="{SWD(2019) 141 final}"/>
    <w:docVar w:name="LW_DocType" w:val="NORMAL"/>
    <w:docVar w:name="LW_EMISSION" w:val="2019 03 27"/>
    <w:docVar w:name="LW_EMISSION_ISODATE" w:val="2019-03-27"/>
    <w:docVar w:name="LW_EMISSION_LOCATION" w:val="BRX"/>
    <w:docVar w:name="LW_EMISSION_PREFIX" w:val="Briuselis, "/>
    <w:docVar w:name="LW_EMISSION_SUFFIX" w:val=" "/>
    <w:docVar w:name="LW_ID_DOCTYPE_NONLW" w:val="CP-006"/>
    <w:docVar w:name="LW_LANGUE" w:val="LT"/>
    <w:docVar w:name="LW_LEVEL_OF_SENSITIVITY" w:val="Standard treatmen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19) 15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37-oji metin\u279? Komisijos ataskaita Tarybai ir Europos Parlamentui _x000b_d\u279?l Europos S\u261?jungos veiklos antidempingo, antisubsidij\u371? ir apsaugos priemoni\u371? srityje ir 2018 m. tre\u269?i\u371?j\u371? \u353?ali\u371? Europos S\u261?jungai taikyt\u371? prekybos apsaugos priemoni\u371?"/>
    <w:docVar w:name="LW_TYPE.DOC.CP" w:val="KOMISIJOS ATASKAITA EUROPOS PARLAMENTUI IR TARYBAI"/>
  </w:docVars>
  <w:rsids>
    <w:rsidRoot w:val="00466FA3"/>
    <w:rsid w:val="000E0F36"/>
    <w:rsid w:val="00466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efaultImageDpi w14:val="96"/>
  <w15:docId w15:val="{4A60E5C2-3080-45B1-BEE6-40C458AE1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lt-LT"/>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2"/>
      </w:numPr>
      <w:spacing w:before="240" w:after="240"/>
      <w:jc w:val="both"/>
      <w:outlineLvl w:val="0"/>
    </w:pPr>
    <w:rPr>
      <w:b/>
      <w:smallCaps/>
      <w:szCs w:val="20"/>
    </w:rPr>
  </w:style>
  <w:style w:type="paragraph" w:styleId="Heading2">
    <w:name w:val="heading 2"/>
    <w:basedOn w:val="Normal"/>
    <w:next w:val="Normal"/>
    <w:link w:val="Heading2Char"/>
    <w:uiPriority w:val="9"/>
    <w:qFormat/>
    <w:pPr>
      <w:keepNext/>
      <w:numPr>
        <w:ilvl w:val="1"/>
        <w:numId w:val="2"/>
      </w:numPr>
      <w:tabs>
        <w:tab w:val="num" w:pos="1080"/>
      </w:tabs>
      <w:spacing w:after="240"/>
      <w:ind w:left="1080" w:hanging="600"/>
      <w:jc w:val="both"/>
      <w:outlineLvl w:val="1"/>
    </w:pPr>
    <w:rPr>
      <w:b/>
      <w:szCs w:val="20"/>
    </w:rPr>
  </w:style>
  <w:style w:type="paragraph" w:styleId="Heading3">
    <w:name w:val="heading 3"/>
    <w:basedOn w:val="Normal"/>
    <w:next w:val="Normal"/>
    <w:link w:val="Heading3Char"/>
    <w:uiPriority w:val="9"/>
    <w:qFormat/>
    <w:pPr>
      <w:keepNext/>
      <w:numPr>
        <w:ilvl w:val="2"/>
        <w:numId w:val="2"/>
      </w:numPr>
      <w:spacing w:after="240"/>
      <w:ind w:hanging="840"/>
      <w:jc w:val="both"/>
      <w:outlineLvl w:val="2"/>
    </w:pPr>
    <w:rPr>
      <w:i/>
      <w:szCs w:val="20"/>
    </w:rPr>
  </w:style>
  <w:style w:type="paragraph" w:styleId="Heading4">
    <w:name w:val="heading 4"/>
    <w:basedOn w:val="Normal"/>
    <w:next w:val="Normal"/>
    <w:link w:val="Heading4Char"/>
    <w:uiPriority w:val="9"/>
    <w:qFormat/>
    <w:pPr>
      <w:keepNext/>
      <w:numPr>
        <w:ilvl w:val="3"/>
        <w:numId w:val="2"/>
      </w:numPr>
      <w:tabs>
        <w:tab w:val="num" w:pos="2880"/>
      </w:tabs>
      <w:spacing w:after="240"/>
      <w:ind w:left="2880" w:hanging="960"/>
      <w:jc w:val="both"/>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eastAsia="Times New Roman"/>
      <w:b/>
      <w:smallCaps/>
      <w:sz w:val="24"/>
      <w:lang w:val="lt-LT" w:eastAsia="lt-LT"/>
    </w:rPr>
  </w:style>
  <w:style w:type="character" w:customStyle="1" w:styleId="Heading2Char">
    <w:name w:val="Heading 2 Char"/>
    <w:basedOn w:val="DefaultParagraphFont"/>
    <w:link w:val="Heading2"/>
    <w:uiPriority w:val="9"/>
    <w:locked/>
    <w:rPr>
      <w:rFonts w:eastAsia="Times New Roman"/>
      <w:b/>
      <w:sz w:val="24"/>
      <w:lang w:val="lt-LT" w:eastAsia="lt-LT"/>
    </w:rPr>
  </w:style>
  <w:style w:type="character" w:customStyle="1" w:styleId="Heading3Char">
    <w:name w:val="Heading 3 Char"/>
    <w:basedOn w:val="DefaultParagraphFont"/>
    <w:link w:val="Heading3"/>
    <w:uiPriority w:val="9"/>
    <w:locked/>
    <w:rPr>
      <w:rFonts w:eastAsia="Times New Roman"/>
      <w:i/>
      <w:sz w:val="24"/>
      <w:lang w:val="lt-LT" w:eastAsia="lt-LT"/>
    </w:rPr>
  </w:style>
  <w:style w:type="character" w:customStyle="1" w:styleId="Heading4Char">
    <w:name w:val="Heading 4 Char"/>
    <w:basedOn w:val="DefaultParagraphFont"/>
    <w:link w:val="Heading4"/>
    <w:uiPriority w:val="9"/>
    <w:locked/>
    <w:rPr>
      <w:rFonts w:eastAsia="Times New Roman"/>
      <w:sz w:val="24"/>
      <w:lang w:val="lt-LT" w:eastAsia="lt-LT"/>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jc w:val="both"/>
    </w:p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locked/>
    <w:rPr>
      <w:rFonts w:eastAsiaTheme="minorHAnsi"/>
      <w:sz w:val="24"/>
      <w:szCs w:val="22"/>
      <w:lang w:val="lt-LT"/>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locked/>
    <w:rPr>
      <w:rFonts w:eastAsiaTheme="minorHAnsi"/>
      <w:sz w:val="24"/>
      <w:szCs w:val="22"/>
      <w:lang w:val="lt-LT"/>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link w:val="FooterCoverPage"/>
    <w:locked/>
    <w:rPr>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link w:val="HeaderCoverPage"/>
    <w:locked/>
    <w:rPr>
      <w:sz w:val="24"/>
      <w:szCs w:val="24"/>
    </w:rPr>
  </w:style>
  <w:style w:type="paragraph" w:customStyle="1" w:styleId="Typedudocument">
    <w:name w:val="Type du document"/>
    <w:basedOn w:val="Normal"/>
    <w:next w:val="Normal"/>
    <w:pPr>
      <w:spacing w:before="360"/>
      <w:jc w:val="center"/>
    </w:pPr>
    <w:rPr>
      <w:b/>
    </w:rPr>
  </w:style>
  <w:style w:type="paragraph" w:customStyle="1" w:styleId="Titreobjet">
    <w:name w:val="Titre objet"/>
    <w:basedOn w:val="Normal"/>
    <w:next w:val="Normal"/>
    <w:pPr>
      <w:spacing w:before="360" w:after="360"/>
      <w:jc w:val="center"/>
    </w:pPr>
    <w:rPr>
      <w:b/>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locked/>
    <w:rPr>
      <w:sz w:val="24"/>
      <w:lang w:val="lt-LT" w:eastAsia="lt-LT"/>
    </w:rPr>
  </w:style>
  <w:style w:type="paragraph" w:styleId="BodyTextFirstIndent">
    <w:name w:val="Body Text First Indent"/>
    <w:basedOn w:val="BodyText"/>
    <w:link w:val="BodyTextFirstIndentChar"/>
    <w:uiPriority w:val="99"/>
    <w:pPr>
      <w:ind w:firstLine="210"/>
      <w:jc w:val="both"/>
    </w:pPr>
    <w:rPr>
      <w:szCs w:val="20"/>
    </w:rPr>
  </w:style>
  <w:style w:type="character" w:customStyle="1" w:styleId="BodyTextFirstIndentChar">
    <w:name w:val="Body Text First Indent Char"/>
    <w:basedOn w:val="BodyTextChar"/>
    <w:link w:val="BodyTextFirstIndent"/>
    <w:uiPriority w:val="99"/>
    <w:locked/>
    <w:rPr>
      <w:rFonts w:eastAsia="Times New Roman"/>
      <w:sz w:val="24"/>
      <w:lang w:val="lt-LT" w:eastAsia="lt-LT"/>
    </w:rPr>
  </w:style>
  <w:style w:type="character" w:customStyle="1" w:styleId="mediumtext1">
    <w:name w:val="medium_text1"/>
    <w:rPr>
      <w:sz w:val="24"/>
    </w:rPr>
  </w:style>
  <w:style w:type="paragraph" w:styleId="FootnoteText">
    <w:name w:val="footnote text"/>
    <w:basedOn w:val="Normal"/>
    <w:link w:val="FootnoteTextChar"/>
    <w:uiPriority w:val="99"/>
    <w:pPr>
      <w:ind w:left="720" w:hanging="720"/>
      <w:jc w:val="both"/>
    </w:pPr>
    <w:rPr>
      <w:sz w:val="20"/>
      <w:szCs w:val="20"/>
    </w:rPr>
  </w:style>
  <w:style w:type="character" w:customStyle="1" w:styleId="FootnoteTextChar">
    <w:name w:val="Footnote Text Char"/>
    <w:basedOn w:val="DefaultParagraphFont"/>
    <w:link w:val="FootnoteText"/>
    <w:uiPriority w:val="99"/>
    <w:locked/>
    <w:rPr>
      <w:rFonts w:eastAsia="Times New Roman"/>
      <w:lang w:val="lt-LT" w:eastAsia="lt-LT"/>
    </w:rPr>
  </w:style>
  <w:style w:type="character" w:styleId="FootnoteReference">
    <w:name w:val="footnote reference"/>
    <w:basedOn w:val="DefaultParagraphFont"/>
    <w:uiPriority w:val="99"/>
    <w:rPr>
      <w:vertAlign w:val="superscript"/>
    </w:rPr>
  </w:style>
  <w:style w:type="paragraph" w:customStyle="1" w:styleId="Text1">
    <w:name w:val="Text 1"/>
    <w:basedOn w:val="Normal"/>
    <w:pPr>
      <w:spacing w:before="120" w:after="120"/>
      <w:ind w:left="850"/>
      <w:jc w:val="both"/>
    </w:pPr>
  </w:style>
  <w:style w:type="paragraph" w:customStyle="1" w:styleId="Text2">
    <w:name w:val="Text 2"/>
    <w:basedOn w:val="Normal"/>
    <w:pPr>
      <w:spacing w:before="120" w:after="120"/>
      <w:ind w:left="850"/>
      <w:jc w:val="both"/>
    </w:pPr>
  </w:style>
  <w:style w:type="paragraph" w:customStyle="1" w:styleId="Text3">
    <w:name w:val="Text 3"/>
    <w:basedOn w:val="Normal"/>
    <w:pPr>
      <w:spacing w:before="120" w:after="120"/>
      <w:ind w:left="850"/>
      <w:jc w:val="both"/>
    </w:pPr>
  </w:style>
  <w:style w:type="paragraph" w:customStyle="1" w:styleId="Text4">
    <w:name w:val="Text 4"/>
    <w:basedOn w:val="Normal"/>
    <w:pPr>
      <w:spacing w:before="120" w:after="120"/>
      <w:ind w:left="850"/>
      <w:jc w:val="both"/>
    </w:pPr>
  </w:style>
  <w:style w:type="paragraph" w:customStyle="1" w:styleId="ManualNumPar1">
    <w:name w:val="Manual NumPar 1"/>
    <w:basedOn w:val="Normal"/>
    <w:next w:val="Text1"/>
    <w:pPr>
      <w:spacing w:before="120" w:after="120"/>
      <w:ind w:left="850" w:hanging="850"/>
      <w:jc w:val="both"/>
    </w:pPr>
  </w:style>
  <w:style w:type="paragraph" w:customStyle="1" w:styleId="ManualHeading1">
    <w:name w:val="Manual Heading 1"/>
    <w:basedOn w:val="Normal"/>
    <w:next w:val="Text1"/>
    <w:pPr>
      <w:keepNext/>
      <w:tabs>
        <w:tab w:val="left" w:pos="850"/>
      </w:tabs>
      <w:spacing w:before="360" w:after="120"/>
      <w:ind w:left="850" w:hanging="850"/>
      <w:jc w:val="both"/>
      <w:outlineLvl w:val="0"/>
    </w:pPr>
    <w:rPr>
      <w:b/>
      <w:smallCaps/>
    </w:rPr>
  </w:style>
  <w:style w:type="paragraph" w:customStyle="1" w:styleId="ManualHeading2">
    <w:name w:val="Manual Heading 2"/>
    <w:basedOn w:val="Normal"/>
    <w:next w:val="Text2"/>
    <w:pPr>
      <w:keepNext/>
      <w:tabs>
        <w:tab w:val="left" w:pos="850"/>
      </w:tabs>
      <w:spacing w:before="120" w:after="120"/>
      <w:ind w:left="850" w:hanging="850"/>
      <w:jc w:val="both"/>
      <w:outlineLvl w:val="1"/>
    </w:pPr>
    <w:rPr>
      <w:b/>
    </w:rPr>
  </w:style>
  <w:style w:type="paragraph" w:customStyle="1" w:styleId="ManualHeading3">
    <w:name w:val="Manual Heading 3"/>
    <w:basedOn w:val="Normal"/>
    <w:next w:val="Text3"/>
    <w:pPr>
      <w:keepNext/>
      <w:tabs>
        <w:tab w:val="left" w:pos="850"/>
      </w:tabs>
      <w:spacing w:before="120" w:after="120"/>
      <w:ind w:left="850" w:hanging="850"/>
      <w:jc w:val="both"/>
      <w:outlineLvl w:val="2"/>
    </w:pPr>
    <w:rPr>
      <w:i/>
    </w:rPr>
  </w:style>
  <w:style w:type="character" w:styleId="CommentReference">
    <w:name w:val="annotation reference"/>
    <w:basedOn w:val="DefaultParagraphFont"/>
    <w:uiPriority w:val="99"/>
    <w:rPr>
      <w:sz w:val="16"/>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sz w:val="16"/>
      <w:lang w:val="lt-LT" w:eastAsia="lt-LT"/>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lang w:val="lt-LT" w:eastAsia="lt-LT"/>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b/>
      <w:lang w:val="lt-LT" w:eastAsia="lt-LT"/>
    </w:rPr>
  </w:style>
  <w:style w:type="paragraph" w:styleId="Revision">
    <w:name w:val="Revision"/>
    <w:hidden/>
    <w:uiPriority w:val="99"/>
    <w:semiHidden/>
    <w:rPr>
      <w:sz w:val="24"/>
      <w:szCs w:val="24"/>
    </w:rPr>
  </w:style>
  <w:style w:type="character" w:customStyle="1" w:styleId="paracolourtext">
    <w:name w:val="paracolourtext"/>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Yellow Bullet,L"/>
    <w:basedOn w:val="Normal"/>
    <w:link w:val="ListParagraphChar"/>
    <w:uiPriority w:val="34"/>
    <w:qFormat/>
    <w:pPr>
      <w:ind w:left="720"/>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Yellow Bullet Char"/>
    <w:link w:val="ListParagraph"/>
    <w:qFormat/>
    <w:locked/>
    <w:rPr>
      <w:sz w:val="24"/>
      <w:szCs w:val="24"/>
      <w:lang w:val="lt-LT" w:eastAsia="lt-LT"/>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styleId="PlainText">
    <w:name w:val="Plain Text"/>
    <w:basedOn w:val="Normal"/>
    <w:link w:val="PlainTextChar"/>
    <w:uiPriority w:val="99"/>
    <w:unhideWhenUse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Pr>
      <w:rFonts w:ascii="Calibri" w:eastAsiaTheme="minorHAnsi" w:hAnsi="Calibri" w:cstheme="minorBidi"/>
      <w:sz w:val="22"/>
      <w:szCs w:val="21"/>
      <w:lang w:val="lt-LT"/>
    </w:rPr>
  </w:style>
  <w:style w:type="paragraph" w:styleId="NoSpacing">
    <w:name w:val="No Spacing"/>
    <w:uiPriority w:val="1"/>
    <w:qFormat/>
    <w:rPr>
      <w:sz w:val="24"/>
      <w:szCs w:val="24"/>
    </w:rPr>
  </w:style>
  <w:style w:type="paragraph" w:customStyle="1" w:styleId="ListNumber1">
    <w:name w:val="List Number 1"/>
    <w:basedOn w:val="Text1"/>
    <w:pPr>
      <w:numPr>
        <w:numId w:val="15"/>
      </w:numPr>
    </w:pPr>
    <w:rPr>
      <w:rFonts w:eastAsiaTheme="minorHAnsi"/>
      <w:szCs w:val="22"/>
    </w:rPr>
  </w:style>
  <w:style w:type="paragraph" w:customStyle="1" w:styleId="ListNumber1Level2">
    <w:name w:val="List Number 1 (Level 2)"/>
    <w:basedOn w:val="Text1"/>
    <w:pPr>
      <w:numPr>
        <w:ilvl w:val="1"/>
        <w:numId w:val="15"/>
      </w:numPr>
    </w:pPr>
    <w:rPr>
      <w:rFonts w:eastAsiaTheme="minorHAnsi"/>
      <w:szCs w:val="22"/>
    </w:rPr>
  </w:style>
  <w:style w:type="paragraph" w:customStyle="1" w:styleId="ListNumber1Level3">
    <w:name w:val="List Number 1 (Level 3)"/>
    <w:basedOn w:val="Text1"/>
    <w:pPr>
      <w:numPr>
        <w:ilvl w:val="2"/>
        <w:numId w:val="15"/>
      </w:numPr>
    </w:pPr>
    <w:rPr>
      <w:rFonts w:eastAsiaTheme="minorHAnsi"/>
      <w:szCs w:val="22"/>
    </w:rPr>
  </w:style>
  <w:style w:type="paragraph" w:customStyle="1" w:styleId="ListNumber1Level4">
    <w:name w:val="List Number 1 (Level 4)"/>
    <w:basedOn w:val="Text1"/>
    <w:pPr>
      <w:numPr>
        <w:ilvl w:val="3"/>
        <w:numId w:val="15"/>
      </w:numPr>
    </w:pPr>
    <w:rPr>
      <w:rFonts w:eastAsiaTheme="minorHAnsi"/>
      <w:szCs w:val="22"/>
    </w:rPr>
  </w:style>
  <w:style w:type="paragraph" w:customStyle="1" w:styleId="Typedudocumentprliminaire">
    <w:name w:val="Type du document (préliminaire)"/>
    <w:basedOn w:val="Normal"/>
    <w:next w:val="Normal"/>
    <w:pPr>
      <w:spacing w:before="360"/>
      <w:jc w:val="center"/>
    </w:pPr>
    <w:rPr>
      <w:rFonts w:eastAsiaTheme="minorHAnsi"/>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7572">
      <w:marLeft w:val="0"/>
      <w:marRight w:val="0"/>
      <w:marTop w:val="0"/>
      <w:marBottom w:val="0"/>
      <w:divBdr>
        <w:top w:val="none" w:sz="0" w:space="0" w:color="auto"/>
        <w:left w:val="none" w:sz="0" w:space="0" w:color="auto"/>
        <w:bottom w:val="none" w:sz="0" w:space="0" w:color="auto"/>
        <w:right w:val="none" w:sz="0" w:space="0" w:color="auto"/>
      </w:divBdr>
    </w:div>
    <w:div w:id="103237573">
      <w:marLeft w:val="0"/>
      <w:marRight w:val="0"/>
      <w:marTop w:val="0"/>
      <w:marBottom w:val="0"/>
      <w:divBdr>
        <w:top w:val="none" w:sz="0" w:space="0" w:color="auto"/>
        <w:left w:val="none" w:sz="0" w:space="0" w:color="auto"/>
        <w:bottom w:val="none" w:sz="0" w:space="0" w:color="auto"/>
        <w:right w:val="none" w:sz="0" w:space="0" w:color="auto"/>
      </w:divBdr>
    </w:div>
    <w:div w:id="103237574">
      <w:marLeft w:val="0"/>
      <w:marRight w:val="0"/>
      <w:marTop w:val="0"/>
      <w:marBottom w:val="0"/>
      <w:divBdr>
        <w:top w:val="none" w:sz="0" w:space="0" w:color="auto"/>
        <w:left w:val="none" w:sz="0" w:space="0" w:color="auto"/>
        <w:bottom w:val="none" w:sz="0" w:space="0" w:color="auto"/>
        <w:right w:val="none" w:sz="0" w:space="0" w:color="auto"/>
      </w:divBdr>
    </w:div>
    <w:div w:id="170688109">
      <w:bodyDiv w:val="1"/>
      <w:marLeft w:val="0"/>
      <w:marRight w:val="0"/>
      <w:marTop w:val="0"/>
      <w:marBottom w:val="0"/>
      <w:divBdr>
        <w:top w:val="none" w:sz="0" w:space="0" w:color="auto"/>
        <w:left w:val="none" w:sz="0" w:space="0" w:color="auto"/>
        <w:bottom w:val="none" w:sz="0" w:space="0" w:color="auto"/>
        <w:right w:val="none" w:sz="0" w:space="0" w:color="auto"/>
      </w:divBdr>
    </w:div>
    <w:div w:id="195775947">
      <w:bodyDiv w:val="1"/>
      <w:marLeft w:val="0"/>
      <w:marRight w:val="0"/>
      <w:marTop w:val="0"/>
      <w:marBottom w:val="0"/>
      <w:divBdr>
        <w:top w:val="none" w:sz="0" w:space="0" w:color="auto"/>
        <w:left w:val="none" w:sz="0" w:space="0" w:color="auto"/>
        <w:bottom w:val="none" w:sz="0" w:space="0" w:color="auto"/>
        <w:right w:val="none" w:sz="0" w:space="0" w:color="auto"/>
      </w:divBdr>
    </w:div>
    <w:div w:id="264963460">
      <w:bodyDiv w:val="1"/>
      <w:marLeft w:val="0"/>
      <w:marRight w:val="0"/>
      <w:marTop w:val="0"/>
      <w:marBottom w:val="0"/>
      <w:divBdr>
        <w:top w:val="none" w:sz="0" w:space="0" w:color="auto"/>
        <w:left w:val="none" w:sz="0" w:space="0" w:color="auto"/>
        <w:bottom w:val="none" w:sz="0" w:space="0" w:color="auto"/>
        <w:right w:val="none" w:sz="0" w:space="0" w:color="auto"/>
      </w:divBdr>
    </w:div>
    <w:div w:id="458256970">
      <w:bodyDiv w:val="1"/>
      <w:marLeft w:val="0"/>
      <w:marRight w:val="0"/>
      <w:marTop w:val="0"/>
      <w:marBottom w:val="0"/>
      <w:divBdr>
        <w:top w:val="none" w:sz="0" w:space="0" w:color="auto"/>
        <w:left w:val="none" w:sz="0" w:space="0" w:color="auto"/>
        <w:bottom w:val="none" w:sz="0" w:space="0" w:color="auto"/>
        <w:right w:val="none" w:sz="0" w:space="0" w:color="auto"/>
      </w:divBdr>
    </w:div>
    <w:div w:id="518159488">
      <w:bodyDiv w:val="1"/>
      <w:marLeft w:val="0"/>
      <w:marRight w:val="0"/>
      <w:marTop w:val="0"/>
      <w:marBottom w:val="0"/>
      <w:divBdr>
        <w:top w:val="none" w:sz="0" w:space="0" w:color="auto"/>
        <w:left w:val="none" w:sz="0" w:space="0" w:color="auto"/>
        <w:bottom w:val="none" w:sz="0" w:space="0" w:color="auto"/>
        <w:right w:val="none" w:sz="0" w:space="0" w:color="auto"/>
      </w:divBdr>
    </w:div>
    <w:div w:id="519973782">
      <w:bodyDiv w:val="1"/>
      <w:marLeft w:val="0"/>
      <w:marRight w:val="0"/>
      <w:marTop w:val="0"/>
      <w:marBottom w:val="0"/>
      <w:divBdr>
        <w:top w:val="none" w:sz="0" w:space="0" w:color="auto"/>
        <w:left w:val="none" w:sz="0" w:space="0" w:color="auto"/>
        <w:bottom w:val="none" w:sz="0" w:space="0" w:color="auto"/>
        <w:right w:val="none" w:sz="0" w:space="0" w:color="auto"/>
      </w:divBdr>
    </w:div>
    <w:div w:id="544216257">
      <w:bodyDiv w:val="1"/>
      <w:marLeft w:val="0"/>
      <w:marRight w:val="0"/>
      <w:marTop w:val="0"/>
      <w:marBottom w:val="0"/>
      <w:divBdr>
        <w:top w:val="none" w:sz="0" w:space="0" w:color="auto"/>
        <w:left w:val="none" w:sz="0" w:space="0" w:color="auto"/>
        <w:bottom w:val="none" w:sz="0" w:space="0" w:color="auto"/>
        <w:right w:val="none" w:sz="0" w:space="0" w:color="auto"/>
      </w:divBdr>
    </w:div>
    <w:div w:id="599870178">
      <w:bodyDiv w:val="1"/>
      <w:marLeft w:val="0"/>
      <w:marRight w:val="0"/>
      <w:marTop w:val="0"/>
      <w:marBottom w:val="0"/>
      <w:divBdr>
        <w:top w:val="none" w:sz="0" w:space="0" w:color="auto"/>
        <w:left w:val="none" w:sz="0" w:space="0" w:color="auto"/>
        <w:bottom w:val="none" w:sz="0" w:space="0" w:color="auto"/>
        <w:right w:val="none" w:sz="0" w:space="0" w:color="auto"/>
      </w:divBdr>
    </w:div>
    <w:div w:id="741492362">
      <w:bodyDiv w:val="1"/>
      <w:marLeft w:val="0"/>
      <w:marRight w:val="0"/>
      <w:marTop w:val="0"/>
      <w:marBottom w:val="0"/>
      <w:divBdr>
        <w:top w:val="none" w:sz="0" w:space="0" w:color="auto"/>
        <w:left w:val="none" w:sz="0" w:space="0" w:color="auto"/>
        <w:bottom w:val="none" w:sz="0" w:space="0" w:color="auto"/>
        <w:right w:val="none" w:sz="0" w:space="0" w:color="auto"/>
      </w:divBdr>
    </w:div>
    <w:div w:id="898396177">
      <w:bodyDiv w:val="1"/>
      <w:marLeft w:val="0"/>
      <w:marRight w:val="0"/>
      <w:marTop w:val="0"/>
      <w:marBottom w:val="0"/>
      <w:divBdr>
        <w:top w:val="none" w:sz="0" w:space="0" w:color="auto"/>
        <w:left w:val="none" w:sz="0" w:space="0" w:color="auto"/>
        <w:bottom w:val="none" w:sz="0" w:space="0" w:color="auto"/>
        <w:right w:val="none" w:sz="0" w:space="0" w:color="auto"/>
      </w:divBdr>
    </w:div>
    <w:div w:id="929897962">
      <w:bodyDiv w:val="1"/>
      <w:marLeft w:val="0"/>
      <w:marRight w:val="0"/>
      <w:marTop w:val="0"/>
      <w:marBottom w:val="0"/>
      <w:divBdr>
        <w:top w:val="none" w:sz="0" w:space="0" w:color="auto"/>
        <w:left w:val="none" w:sz="0" w:space="0" w:color="auto"/>
        <w:bottom w:val="none" w:sz="0" w:space="0" w:color="auto"/>
        <w:right w:val="none" w:sz="0" w:space="0" w:color="auto"/>
      </w:divBdr>
    </w:div>
    <w:div w:id="937718440">
      <w:bodyDiv w:val="1"/>
      <w:marLeft w:val="0"/>
      <w:marRight w:val="0"/>
      <w:marTop w:val="0"/>
      <w:marBottom w:val="0"/>
      <w:divBdr>
        <w:top w:val="none" w:sz="0" w:space="0" w:color="auto"/>
        <w:left w:val="none" w:sz="0" w:space="0" w:color="auto"/>
        <w:bottom w:val="none" w:sz="0" w:space="0" w:color="auto"/>
        <w:right w:val="none" w:sz="0" w:space="0" w:color="auto"/>
      </w:divBdr>
    </w:div>
    <w:div w:id="958410362">
      <w:bodyDiv w:val="1"/>
      <w:marLeft w:val="0"/>
      <w:marRight w:val="0"/>
      <w:marTop w:val="0"/>
      <w:marBottom w:val="0"/>
      <w:divBdr>
        <w:top w:val="none" w:sz="0" w:space="0" w:color="auto"/>
        <w:left w:val="none" w:sz="0" w:space="0" w:color="auto"/>
        <w:bottom w:val="none" w:sz="0" w:space="0" w:color="auto"/>
        <w:right w:val="none" w:sz="0" w:space="0" w:color="auto"/>
      </w:divBdr>
    </w:div>
    <w:div w:id="1898392245">
      <w:marLeft w:val="0"/>
      <w:marRight w:val="0"/>
      <w:marTop w:val="0"/>
      <w:marBottom w:val="0"/>
      <w:divBdr>
        <w:top w:val="none" w:sz="0" w:space="0" w:color="auto"/>
        <w:left w:val="none" w:sz="0" w:space="0" w:color="auto"/>
        <w:bottom w:val="none" w:sz="0" w:space="0" w:color="auto"/>
        <w:right w:val="none" w:sz="0" w:space="0" w:color="auto"/>
      </w:divBdr>
    </w:div>
    <w:div w:id="1898392246">
      <w:marLeft w:val="0"/>
      <w:marRight w:val="0"/>
      <w:marTop w:val="0"/>
      <w:marBottom w:val="0"/>
      <w:divBdr>
        <w:top w:val="none" w:sz="0" w:space="0" w:color="auto"/>
        <w:left w:val="none" w:sz="0" w:space="0" w:color="auto"/>
        <w:bottom w:val="none" w:sz="0" w:space="0" w:color="auto"/>
        <w:right w:val="none" w:sz="0" w:space="0" w:color="auto"/>
      </w:divBdr>
    </w:div>
    <w:div w:id="1898392247">
      <w:marLeft w:val="0"/>
      <w:marRight w:val="0"/>
      <w:marTop w:val="0"/>
      <w:marBottom w:val="0"/>
      <w:divBdr>
        <w:top w:val="none" w:sz="0" w:space="0" w:color="auto"/>
        <w:left w:val="none" w:sz="0" w:space="0" w:color="auto"/>
        <w:bottom w:val="none" w:sz="0" w:space="0" w:color="auto"/>
        <w:right w:val="none" w:sz="0" w:space="0" w:color="auto"/>
      </w:divBdr>
    </w:div>
    <w:div w:id="1898392248">
      <w:marLeft w:val="0"/>
      <w:marRight w:val="0"/>
      <w:marTop w:val="0"/>
      <w:marBottom w:val="0"/>
      <w:divBdr>
        <w:top w:val="none" w:sz="0" w:space="0" w:color="auto"/>
        <w:left w:val="none" w:sz="0" w:space="0" w:color="auto"/>
        <w:bottom w:val="none" w:sz="0" w:space="0" w:color="auto"/>
        <w:right w:val="none" w:sz="0" w:space="0" w:color="auto"/>
      </w:divBdr>
    </w:div>
    <w:div w:id="1898392249">
      <w:marLeft w:val="0"/>
      <w:marRight w:val="0"/>
      <w:marTop w:val="0"/>
      <w:marBottom w:val="0"/>
      <w:divBdr>
        <w:top w:val="none" w:sz="0" w:space="0" w:color="auto"/>
        <w:left w:val="none" w:sz="0" w:space="0" w:color="auto"/>
        <w:bottom w:val="none" w:sz="0" w:space="0" w:color="auto"/>
        <w:right w:val="none" w:sz="0" w:space="0" w:color="auto"/>
      </w:divBdr>
    </w:div>
    <w:div w:id="1898392250">
      <w:marLeft w:val="0"/>
      <w:marRight w:val="0"/>
      <w:marTop w:val="0"/>
      <w:marBottom w:val="0"/>
      <w:divBdr>
        <w:top w:val="none" w:sz="0" w:space="0" w:color="auto"/>
        <w:left w:val="none" w:sz="0" w:space="0" w:color="auto"/>
        <w:bottom w:val="none" w:sz="0" w:space="0" w:color="auto"/>
        <w:right w:val="none" w:sz="0" w:space="0" w:color="auto"/>
      </w:divBdr>
    </w:div>
    <w:div w:id="1898392251">
      <w:marLeft w:val="0"/>
      <w:marRight w:val="0"/>
      <w:marTop w:val="0"/>
      <w:marBottom w:val="0"/>
      <w:divBdr>
        <w:top w:val="none" w:sz="0" w:space="0" w:color="auto"/>
        <w:left w:val="none" w:sz="0" w:space="0" w:color="auto"/>
        <w:bottom w:val="none" w:sz="0" w:space="0" w:color="auto"/>
        <w:right w:val="none" w:sz="0" w:space="0" w:color="auto"/>
      </w:divBdr>
    </w:div>
    <w:div w:id="1898392252">
      <w:marLeft w:val="0"/>
      <w:marRight w:val="0"/>
      <w:marTop w:val="0"/>
      <w:marBottom w:val="0"/>
      <w:divBdr>
        <w:top w:val="none" w:sz="0" w:space="0" w:color="auto"/>
        <w:left w:val="none" w:sz="0" w:space="0" w:color="auto"/>
        <w:bottom w:val="none" w:sz="0" w:space="0" w:color="auto"/>
        <w:right w:val="none" w:sz="0" w:space="0" w:color="auto"/>
      </w:divBdr>
    </w:div>
    <w:div w:id="2002391486">
      <w:bodyDiv w:val="1"/>
      <w:marLeft w:val="0"/>
      <w:marRight w:val="0"/>
      <w:marTop w:val="0"/>
      <w:marBottom w:val="0"/>
      <w:divBdr>
        <w:top w:val="none" w:sz="0" w:space="0" w:color="auto"/>
        <w:left w:val="none" w:sz="0" w:space="0" w:color="auto"/>
        <w:bottom w:val="none" w:sz="0" w:space="0" w:color="auto"/>
        <w:right w:val="none" w:sz="0" w:space="0" w:color="auto"/>
      </w:divBdr>
    </w:div>
    <w:div w:id="2017533934">
      <w:bodyDiv w:val="1"/>
      <w:marLeft w:val="0"/>
      <w:marRight w:val="0"/>
      <w:marTop w:val="0"/>
      <w:marBottom w:val="0"/>
      <w:divBdr>
        <w:top w:val="none" w:sz="0" w:space="0" w:color="auto"/>
        <w:left w:val="none" w:sz="0" w:space="0" w:color="auto"/>
        <w:bottom w:val="none" w:sz="0" w:space="0" w:color="auto"/>
        <w:right w:val="none" w:sz="0" w:space="0" w:color="auto"/>
      </w:divBdr>
    </w:div>
    <w:div w:id="2056662064">
      <w:bodyDiv w:val="1"/>
      <w:marLeft w:val="0"/>
      <w:marRight w:val="0"/>
      <w:marTop w:val="0"/>
      <w:marBottom w:val="0"/>
      <w:divBdr>
        <w:top w:val="none" w:sz="0" w:space="0" w:color="auto"/>
        <w:left w:val="none" w:sz="0" w:space="0" w:color="auto"/>
        <w:bottom w:val="none" w:sz="0" w:space="0" w:color="auto"/>
        <w:right w:val="none" w:sz="0" w:space="0" w:color="auto"/>
      </w:divBdr>
    </w:div>
    <w:div w:id="208209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c.europa.eu/trade/issues/respectrules/anti_dumping/legis/index_en.htm"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trade.ec.europa.eu/doclib/html/15760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5806A-332B-42FD-B9F3-60461309B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5588</Words>
  <Characters>37557</Characters>
  <Application>Microsoft Office Word</Application>
  <DocSecurity>0</DocSecurity>
  <Lines>596</Lines>
  <Paragraphs>160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LAGES CARVALHO Patrick (SG)</cp:lastModifiedBy>
  <cp:revision>18</cp:revision>
  <cp:lastPrinted>2019-02-12T14:35:00Z</cp:lastPrinted>
  <dcterms:created xsi:type="dcterms:W3CDTF">2019-03-14T12:43:00Z</dcterms:created>
  <dcterms:modified xsi:type="dcterms:W3CDTF">2019-03-19T09:52:00Z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Red</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