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AB" w:rsidRDefault="00924D5F" w:rsidP="00924D5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939FC5C-E6DE-4978-9B41-2B764A1A7942" style="width:450.8pt;height:455.65pt">
            <v:imagedata r:id="rId8" o:title=""/>
          </v:shape>
        </w:pict>
      </w:r>
    </w:p>
    <w:bookmarkEnd w:id="0"/>
    <w:p w:rsidR="003861AB" w:rsidRDefault="003861AB">
      <w:pPr>
        <w:rPr>
          <w:noProof/>
        </w:rPr>
        <w:sectPr w:rsidR="003861AB" w:rsidSect="00924D5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3861AB" w:rsidRDefault="00924D5F">
      <w:pPr>
        <w:pStyle w:val="Title"/>
        <w:ind w:firstLine="720"/>
        <w:rPr>
          <w:rFonts w:ascii="Times New Roman" w:hAnsi="Times New Roman"/>
          <w:noProof/>
          <w:sz w:val="24"/>
          <w:szCs w:val="24"/>
          <w:lang w:val="es-ES_tradnl"/>
        </w:rPr>
      </w:pPr>
      <w:bookmarkStart w:id="1" w:name="_GoBack"/>
      <w:bookmarkEnd w:id="1"/>
      <w:r>
        <w:rPr>
          <w:rFonts w:ascii="Times New Roman" w:hAnsi="Times New Roman"/>
          <w:noProof/>
          <w:sz w:val="24"/>
          <w:lang w:val="es-ES_tradnl"/>
        </w:rPr>
        <w:lastRenderedPageBreak/>
        <w:t>Fondos Estructurales y de Inversión Europeos 2014-2020</w:t>
      </w:r>
      <w:r>
        <w:rPr>
          <w:rFonts w:ascii="Times New Roman" w:hAnsi="Times New Roman"/>
          <w:noProof/>
          <w:sz w:val="24"/>
          <w:szCs w:val="24"/>
          <w:lang w:val="es-ES_tradnl"/>
        </w:rPr>
        <w:br/>
      </w:r>
      <w:r>
        <w:rPr>
          <w:rFonts w:ascii="Times New Roman" w:hAnsi="Times New Roman"/>
          <w:noProof/>
          <w:sz w:val="24"/>
          <w:lang w:val="es-ES_tradnl"/>
        </w:rPr>
        <w:t xml:space="preserve">Informe resumido de 2018 de los informes de ejecución anuales de los programas </w:t>
      </w:r>
      <w:r>
        <w:rPr>
          <w:rFonts w:ascii="Times New Roman" w:hAnsi="Times New Roman"/>
          <w:noProof/>
          <w:sz w:val="24"/>
          <w:szCs w:val="24"/>
          <w:lang w:val="es-ES_tradnl"/>
        </w:rPr>
        <w:br/>
      </w:r>
      <w:r>
        <w:rPr>
          <w:rFonts w:ascii="Times New Roman" w:hAnsi="Times New Roman"/>
          <w:noProof/>
          <w:sz w:val="24"/>
          <w:lang w:val="es-ES_tradnl"/>
        </w:rPr>
        <w:t xml:space="preserve">que abarcan la ejecución </w:t>
      </w:r>
      <w:bookmarkStart w:id="2" w:name="_Toc463018876"/>
      <w:r>
        <w:rPr>
          <w:rFonts w:ascii="Times New Roman" w:hAnsi="Times New Roman"/>
          <w:noProof/>
          <w:sz w:val="24"/>
          <w:lang w:val="es-ES_tradnl"/>
        </w:rPr>
        <w:t>en el período 2014-2017</w:t>
      </w:r>
    </w:p>
    <w:p w:rsidR="003861AB" w:rsidRDefault="00924D5F">
      <w:pPr>
        <w:pStyle w:val="Heading1"/>
        <w:tabs>
          <w:tab w:val="clear" w:pos="480"/>
        </w:tabs>
        <w:ind w:left="601" w:hanging="601"/>
        <w:rPr>
          <w:noProof/>
        </w:rPr>
      </w:pPr>
      <w:r>
        <w:rPr>
          <w:noProof/>
        </w:rPr>
        <w:t>Introducción</w:t>
      </w:r>
      <w:bookmarkEnd w:id="2"/>
    </w:p>
    <w:p w:rsidR="003861AB" w:rsidRDefault="00924D5F">
      <w:pPr>
        <w:spacing w:before="120" w:after="120"/>
        <w:rPr>
          <w:noProof/>
          <w:lang w:val="es-ES_tradnl"/>
        </w:rPr>
      </w:pPr>
      <w:r>
        <w:rPr>
          <w:noProof/>
          <w:lang w:val="es-ES_tradnl"/>
        </w:rPr>
        <w:t>El principal objetivo de los Fondos Estructurales y de Inversión Europeos («Fondos EIE») es fomentar la cohesión territorial, la resiliencia y la convergencia socioeconómica a largo plazo. Los F</w:t>
      </w:r>
      <w:r>
        <w:rPr>
          <w:noProof/>
          <w:lang w:val="es-ES_tradnl"/>
        </w:rPr>
        <w:t>ondos EIE son la mayor fuente de ayuda de la UE para ámbitos clave que requieren inversiones comprendidos en las prioridades políticas de la Comisión Juncker. Al apoyar la creación de empleo y el crecimiento, la inversión en el mercado único digital y en l</w:t>
      </w:r>
      <w:r>
        <w:rPr>
          <w:noProof/>
          <w:lang w:val="es-ES_tradnl"/>
        </w:rPr>
        <w:t>a Unión de la Energía y fortalecer el mercado único y la gobernanza económica, estas inversiones responden a las necesidades de la economía real y respaldan el cambio estructural y las reformas identificados en el proceso del Semestre Europeo.</w:t>
      </w:r>
    </w:p>
    <w:p w:rsidR="003861AB" w:rsidRDefault="00924D5F">
      <w:pPr>
        <w:spacing w:before="120" w:after="120"/>
        <w:rPr>
          <w:noProof/>
          <w:lang w:val="es-ES_tradnl"/>
        </w:rPr>
      </w:pPr>
      <w:r>
        <w:rPr>
          <w:noProof/>
          <w:lang w:val="es-ES_tradnl"/>
        </w:rPr>
        <w:t xml:space="preserve">El presente </w:t>
      </w:r>
      <w:r>
        <w:rPr>
          <w:noProof/>
          <w:lang w:val="es-ES_tradnl"/>
        </w:rPr>
        <w:t>informe proporciona el tercer resumen anual de la aplicación de los más de 530 programas de gestión compartida (nacionales y regionales), basado en los informes anuales de los programas recibidos a mediados de 2018</w:t>
      </w:r>
      <w:r>
        <w:rPr>
          <w:rStyle w:val="FootnoteReference"/>
          <w:noProof/>
        </w:rPr>
        <w:footnoteReference w:id="1"/>
      </w:r>
      <w:r>
        <w:rPr>
          <w:noProof/>
          <w:lang w:val="es-ES_tradnl"/>
        </w:rPr>
        <w:t>. En concreto, resume la información disp</w:t>
      </w:r>
      <w:r>
        <w:rPr>
          <w:noProof/>
          <w:lang w:val="es-ES_tradnl"/>
        </w:rPr>
        <w:t>onible sobre el rendimiento relativa a la ejecución en los años 2014 a 2017</w:t>
      </w:r>
      <w:r>
        <w:rPr>
          <w:rStyle w:val="FootnoteReference"/>
          <w:noProof/>
        </w:rPr>
        <w:footnoteReference w:id="2"/>
      </w:r>
      <w:r>
        <w:rPr>
          <w:noProof/>
          <w:lang w:val="es-ES_tradnl"/>
        </w:rPr>
        <w:t>.</w:t>
      </w:r>
    </w:p>
    <w:p w:rsidR="003861AB" w:rsidRDefault="00924D5F">
      <w:pPr>
        <w:spacing w:before="120" w:after="120"/>
        <w:rPr>
          <w:noProof/>
          <w:lang w:val="es-ES_tradnl"/>
        </w:rPr>
      </w:pPr>
      <w:r>
        <w:rPr>
          <w:noProof/>
          <w:lang w:val="es-ES_tradnl"/>
        </w:rPr>
        <w:t xml:space="preserve">Tras la revisión intermedia del marco financiero plurianual para el periodo 2014-2020 y el ajuste técnico del PIB en 2017, el porcentaje de la UE en el presupuesto de los Fondos </w:t>
      </w:r>
      <w:r>
        <w:rPr>
          <w:noProof/>
          <w:lang w:val="es-ES_tradnl"/>
        </w:rPr>
        <w:t>EIE aumentó en 6 000 millones EUR, alcanzando un total de 460 000 millones EUR. Con aumentos equivalentes en la cofinanciación nacional, la inversión total prevista aumentó en 9 000 millones EUR hasta un total de 647000 millones EUR.</w:t>
      </w:r>
    </w:p>
    <w:p w:rsidR="003861AB" w:rsidRDefault="00924D5F">
      <w:pPr>
        <w:spacing w:before="120" w:after="120"/>
        <w:rPr>
          <w:noProof/>
          <w:lang w:val="es-ES_tradnl"/>
        </w:rPr>
      </w:pPr>
      <w:r>
        <w:rPr>
          <w:noProof/>
          <w:lang w:val="es-ES_tradnl"/>
        </w:rPr>
        <w:t>Antes de finales de 20</w:t>
      </w:r>
      <w:r>
        <w:rPr>
          <w:noProof/>
          <w:lang w:val="es-ES_tradnl"/>
        </w:rPr>
        <w:t>17, se habían seleccionado más de 1,7 millones de proyectos en toda Europa, con un volumen total de inversión de 338 000 millones EUR, es decir, el 53 % del total previsto. El valor de los proyectos seleccionados solo en 2017 ascendió a 158 000 millones EU</w:t>
      </w:r>
      <w:r>
        <w:rPr>
          <w:noProof/>
          <w:lang w:val="es-ES_tradnl"/>
        </w:rPr>
        <w:t xml:space="preserve">R, la mayor subida anual hasta la fecha. Esto indica claramente que los Estados miembros están convirtiendo los planes de inversión en proyectos concretos para lograr beneficios sociales y económicos sostenibles. </w:t>
      </w:r>
    </w:p>
    <w:p w:rsidR="003861AB" w:rsidRDefault="00924D5F">
      <w:pPr>
        <w:spacing w:before="120" w:after="120"/>
        <w:rPr>
          <w:noProof/>
          <w:color w:val="000000" w:themeColor="text1"/>
          <w:lang w:val="es-ES_tradnl"/>
        </w:rPr>
      </w:pPr>
      <w:r>
        <w:rPr>
          <w:noProof/>
          <w:lang w:val="es-ES_tradnl"/>
        </w:rPr>
        <w:t>La inversión avanza a buen ritmo en muchas</w:t>
      </w:r>
      <w:r>
        <w:rPr>
          <w:noProof/>
          <w:lang w:val="es-ES_tradnl"/>
        </w:rPr>
        <w:t xml:space="preserve"> de las áreas temáticas seleccionadas como prioridades de la UE. Por ejemplo, el 55 % de la inversión total prevista para las pymes se asignó a proyectos. Aunque la selección de inversiones en algunos temas sigue siendo más baja que la media general, las d</w:t>
      </w:r>
      <w:r>
        <w:rPr>
          <w:noProof/>
          <w:lang w:val="es-ES_tradnl"/>
        </w:rPr>
        <w:t>iferencias en los porcentajes de selección se han reducido. Por ejemplo, los porcentajes de selección de acciones por el clima y la inversión en la economía digital habían mejorado a finales de 2017. Informes más recientes de los programas de la política d</w:t>
      </w:r>
      <w:r>
        <w:rPr>
          <w:noProof/>
          <w:lang w:val="es-ES_tradnl"/>
        </w:rPr>
        <w:t>e cohesión indican un avance significativo continuado en la selección de proyectos hasta el 30 de septiembre de 2018, con el 67 % de los fondos asignados a proyectos.</w:t>
      </w:r>
      <w:r>
        <w:rPr>
          <w:noProof/>
          <w:color w:val="000000" w:themeColor="text1"/>
          <w:lang w:val="es-ES_tradnl"/>
        </w:rPr>
        <w:t xml:space="preserve"> Se trata de un aumento de 66 000 millones EUR en 9 meses, con lo que la inversión total e</w:t>
      </w:r>
      <w:r>
        <w:rPr>
          <w:noProof/>
          <w:color w:val="000000" w:themeColor="text1"/>
          <w:lang w:val="es-ES_tradnl"/>
        </w:rPr>
        <w:t>legida superó los 400 000 millones EUR.</w:t>
      </w:r>
    </w:p>
    <w:p w:rsidR="003861AB" w:rsidRDefault="00924D5F">
      <w:pPr>
        <w:spacing w:before="120" w:after="120"/>
        <w:rPr>
          <w:noProof/>
          <w:lang w:val="es-ES_tradnl"/>
        </w:rPr>
      </w:pPr>
      <w:r>
        <w:rPr>
          <w:noProof/>
          <w:lang w:val="es-ES_tradnl"/>
        </w:rPr>
        <w:t>Los proyectos seleccionados han declarado un gasto total de casi 96 000 millones EUR antes del fin de 2017, lo que supone una aceleración que superó la duplicación en doce meses. A finales de 2017, se había abonado a</w:t>
      </w:r>
      <w:r>
        <w:rPr>
          <w:noProof/>
          <w:lang w:val="es-ES_tradnl"/>
        </w:rPr>
        <w:t xml:space="preserve"> los Estados miembros el 16 % del total de los fondos disponibles para el período con cargo al presupuesto de la UE (a finales de octubre de 2018, </w:t>
      </w:r>
      <w:r>
        <w:rPr>
          <w:noProof/>
          <w:lang w:val="es-ES_tradnl"/>
        </w:rPr>
        <w:lastRenderedPageBreak/>
        <w:t>se ha llegado al 23 %). Dicho esto, cabe señalar que la ejecución de los programas de desarrollo rural va bie</w:t>
      </w:r>
      <w:r>
        <w:rPr>
          <w:noProof/>
          <w:lang w:val="es-ES_tradnl"/>
        </w:rPr>
        <w:t>n encaminada. En otoño de 2018, los beneficiarios que reciben ayuda del Fondo Europeo Agrícola de Desarrollo Rural (Feader) habían recibido más de 33 800 millones EUR, lo que representa casi el 33 % de la dotación financiera disponible para el período de p</w:t>
      </w:r>
      <w:r>
        <w:rPr>
          <w:noProof/>
          <w:lang w:val="es-ES_tradnl"/>
        </w:rPr>
        <w:t>rogramación.</w:t>
      </w:r>
    </w:p>
    <w:p w:rsidR="003861AB" w:rsidRDefault="00924D5F">
      <w:pPr>
        <w:keepNext/>
        <w:spacing w:before="120" w:after="120"/>
        <w:rPr>
          <w:noProof/>
          <w:lang w:val="es-ES_tradnl"/>
        </w:rPr>
      </w:pPr>
      <w:r>
        <w:rPr>
          <w:noProof/>
          <w:lang w:val="es-ES_tradnl"/>
        </w:rPr>
        <w:t>Los datos sobre el rendimiento global notificados a finales de 2017 muestran que:</w:t>
      </w:r>
    </w:p>
    <w:p w:rsidR="003861AB" w:rsidRDefault="00924D5F">
      <w:pPr>
        <w:numPr>
          <w:ilvl w:val="0"/>
          <w:numId w:val="33"/>
        </w:numPr>
        <w:spacing w:before="120" w:after="120"/>
        <w:rPr>
          <w:noProof/>
          <w:lang w:val="es-ES_tradnl"/>
        </w:rPr>
      </w:pPr>
      <w:r>
        <w:rPr>
          <w:noProof/>
          <w:lang w:val="es-ES_tradnl"/>
        </w:rPr>
        <w:t xml:space="preserve">un millón de empresas han recibido ayuda para mejorar su productividad y crecimiento o para crear empleo; </w:t>
      </w:r>
    </w:p>
    <w:p w:rsidR="003861AB" w:rsidRDefault="00924D5F">
      <w:pPr>
        <w:numPr>
          <w:ilvl w:val="0"/>
          <w:numId w:val="33"/>
        </w:numPr>
        <w:spacing w:before="120" w:after="120"/>
        <w:rPr>
          <w:noProof/>
          <w:lang w:val="es-ES_tradnl"/>
        </w:rPr>
      </w:pPr>
      <w:r>
        <w:rPr>
          <w:noProof/>
          <w:lang w:val="es-ES_tradnl"/>
        </w:rPr>
        <w:t xml:space="preserve">15,3 millones de personas han recibido apoyo para la búsqueda de empleo, para formación o para educación, o se han beneficiado de medidas de inclusión social; </w:t>
      </w:r>
    </w:p>
    <w:p w:rsidR="003861AB" w:rsidRDefault="00924D5F">
      <w:pPr>
        <w:numPr>
          <w:ilvl w:val="0"/>
          <w:numId w:val="33"/>
        </w:numPr>
        <w:spacing w:before="120" w:after="120"/>
        <w:rPr>
          <w:noProof/>
          <w:lang w:val="es-ES_tradnl"/>
        </w:rPr>
      </w:pPr>
      <w:r>
        <w:rPr>
          <w:noProof/>
          <w:lang w:val="es-ES_tradnl"/>
        </w:rPr>
        <w:t xml:space="preserve">en un 15 % del total de la superficie agrícola se llevan a cabo acciones relacionadas con el </w:t>
      </w:r>
      <w:r>
        <w:rPr>
          <w:noProof/>
          <w:lang w:val="es-ES_tradnl"/>
        </w:rPr>
        <w:t>clima y el medio ambiente para mejorar la biodiversidad y la gestión del suelo y del agua.</w:t>
      </w:r>
    </w:p>
    <w:p w:rsidR="003861AB" w:rsidRDefault="00924D5F">
      <w:pPr>
        <w:spacing w:before="120" w:after="120"/>
        <w:rPr>
          <w:noProof/>
          <w:lang w:val="es-ES_tradnl"/>
        </w:rPr>
      </w:pPr>
      <w:r>
        <w:rPr>
          <w:noProof/>
          <w:lang w:val="es-ES_tradnl"/>
        </w:rPr>
        <w:t>La sección 2 ofrece una visión general de los progresos en la ejecución hasta finales de 2017; en la sección 3 se exponen con mayor detalle los progresos por áreas t</w:t>
      </w:r>
      <w:r>
        <w:rPr>
          <w:noProof/>
          <w:lang w:val="es-ES_tradnl"/>
        </w:rPr>
        <w:t>emáticas clave y la sección 4 presenta una síntesis de las evaluaciones realizadas hasta el momento por los Estados miembros.</w:t>
      </w:r>
    </w:p>
    <w:p w:rsidR="003861AB" w:rsidRDefault="00924D5F">
      <w:pPr>
        <w:pStyle w:val="Heading1"/>
        <w:tabs>
          <w:tab w:val="clear" w:pos="480"/>
        </w:tabs>
        <w:ind w:left="601" w:hanging="601"/>
        <w:rPr>
          <w:noProof/>
          <w:lang w:val="es-ES_tradnl"/>
        </w:rPr>
      </w:pPr>
      <w:bookmarkStart w:id="3" w:name="_Toc463018878"/>
      <w:r>
        <w:rPr>
          <w:noProof/>
          <w:lang w:val="es-ES_tradnl"/>
        </w:rPr>
        <w:t>Panorama de los progresos en la ejecución</w:t>
      </w:r>
      <w:bookmarkEnd w:id="3"/>
    </w:p>
    <w:p w:rsidR="003861AB" w:rsidRDefault="00924D5F">
      <w:pPr>
        <w:spacing w:before="120" w:after="120"/>
        <w:rPr>
          <w:noProof/>
          <w:lang w:val="es-ES_tradnl"/>
        </w:rPr>
      </w:pPr>
      <w:r>
        <w:rPr>
          <w:noProof/>
          <w:lang w:val="es-ES_tradnl"/>
        </w:rPr>
        <w:t xml:space="preserve">Coincidiendo con el presente informe, la </w:t>
      </w:r>
      <w:r>
        <w:rPr>
          <w:b/>
          <w:noProof/>
          <w:lang w:val="es-ES_tradnl"/>
        </w:rPr>
        <w:t>Plataforma de datos abiertos sobre los Fondos E</w:t>
      </w:r>
      <w:r>
        <w:rPr>
          <w:b/>
          <w:noProof/>
          <w:lang w:val="es-ES_tradnl"/>
        </w:rPr>
        <w:t>IE</w:t>
      </w:r>
      <w:r>
        <w:rPr>
          <w:rStyle w:val="FootnoteReference"/>
          <w:b/>
          <w:noProof/>
        </w:rPr>
        <w:footnoteReference w:id="3"/>
      </w:r>
      <w:r>
        <w:rPr>
          <w:b/>
          <w:noProof/>
          <w:lang w:val="es-ES_tradnl"/>
        </w:rPr>
        <w:t xml:space="preserve"> se ha actualizado</w:t>
      </w:r>
      <w:r>
        <w:rPr>
          <w:noProof/>
          <w:lang w:val="es-ES_tradnl"/>
        </w:rPr>
        <w:t xml:space="preserve"> para reflejar el volumen financiero de la selección de proyectos y las previsiones y logros relativos a los indicadores comunes según lo comunicado por los programas en sus informes anuales de ejecución de 2018. Los datos están dispon</w:t>
      </w:r>
      <w:r>
        <w:rPr>
          <w:noProof/>
          <w:lang w:val="es-ES_tradnl"/>
        </w:rPr>
        <w:t>ibles por Estado miembro, tema y Fondo EIE. La plataforma muestra los valores más recientes notificados, que pueden variar con respecto a los datos disponibles en el momento de finalizar el presente documento.</w:t>
      </w:r>
    </w:p>
    <w:p w:rsidR="003861AB" w:rsidRDefault="00924D5F">
      <w:pPr>
        <w:pStyle w:val="Heading2"/>
        <w:rPr>
          <w:noProof/>
        </w:rPr>
      </w:pPr>
      <w:bookmarkStart w:id="4" w:name="_Toc463018879"/>
      <w:r>
        <w:rPr>
          <w:noProof/>
        </w:rPr>
        <w:t>Panorama de la evolución financiera</w:t>
      </w:r>
      <w:bookmarkEnd w:id="4"/>
    </w:p>
    <w:p w:rsidR="003861AB" w:rsidRDefault="00924D5F">
      <w:pPr>
        <w:spacing w:before="120" w:after="120"/>
        <w:rPr>
          <w:noProof/>
          <w:lang w:val="es-ES_tradnl"/>
        </w:rPr>
      </w:pPr>
      <w:r>
        <w:rPr>
          <w:noProof/>
          <w:lang w:val="es-ES_tradnl"/>
        </w:rPr>
        <w:t>Durante 20</w:t>
      </w:r>
      <w:r>
        <w:rPr>
          <w:noProof/>
          <w:lang w:val="es-ES_tradnl"/>
        </w:rPr>
        <w:t xml:space="preserve">17, la </w:t>
      </w:r>
      <w:r>
        <w:rPr>
          <w:b/>
          <w:noProof/>
          <w:lang w:val="es-ES_tradnl"/>
        </w:rPr>
        <w:t>inversión total prevista</w:t>
      </w:r>
      <w:r>
        <w:rPr>
          <w:noProof/>
          <w:lang w:val="es-ES_tradnl"/>
        </w:rPr>
        <w:t xml:space="preserve"> en virtud de los Fondos EIE fue objeto de varios cambios que han conducido a un incremento neto. La evaluación intermedia del marco plurianual para el período 2014-2020 llevó a un aumento en la asignación a la Iniciativa de </w:t>
      </w:r>
      <w:r>
        <w:rPr>
          <w:noProof/>
          <w:lang w:val="es-ES_tradnl"/>
        </w:rPr>
        <w:t>Empleo Juvenil (IEJ) (véase el recuadro 2). Un ajuste técnico basado en los nuevos cálculos de las asignaciones financieras en virtud de la política de cohesión produjo un aumento neto en los presupuestos del Fondo Europeo de Desarrollo Rural (FEDER) y del</w:t>
      </w:r>
      <w:r>
        <w:rPr>
          <w:noProof/>
          <w:lang w:val="es-ES_tradnl"/>
        </w:rPr>
        <w:t xml:space="preserve"> Fondo Social Europeo (FSE). Con arreglo al Feader, hubo algunas transferencias adicionales a escala nacional del pilar 1 de la política agrícola común (PAC) a los programas de desarrollo rural.</w:t>
      </w:r>
    </w:p>
    <w:p w:rsidR="003861AB" w:rsidRDefault="00924D5F">
      <w:pPr>
        <w:spacing w:before="120" w:after="120"/>
        <w:rPr>
          <w:noProof/>
          <w:lang w:val="es-ES_tradnl"/>
        </w:rPr>
      </w:pPr>
      <w:r>
        <w:rPr>
          <w:noProof/>
          <w:lang w:val="es-ES_tradnl"/>
        </w:rPr>
        <w:t>En sus informes anuales de 2018, los Estados miembros han not</w:t>
      </w:r>
      <w:r>
        <w:rPr>
          <w:noProof/>
          <w:lang w:val="es-ES_tradnl"/>
        </w:rPr>
        <w:t xml:space="preserve">ificado un aumento en las </w:t>
      </w:r>
      <w:r>
        <w:rPr>
          <w:b/>
          <w:noProof/>
          <w:lang w:val="es-ES_tradnl"/>
        </w:rPr>
        <w:t>dotaciones financieras para proyectos seleccionados</w:t>
      </w:r>
      <w:r>
        <w:rPr>
          <w:noProof/>
          <w:lang w:val="es-ES_tradnl"/>
        </w:rPr>
        <w:t xml:space="preserve">. El volumen total de los proyectos seleccionados para ayudas ascendió a </w:t>
      </w:r>
      <w:r>
        <w:rPr>
          <w:b/>
          <w:noProof/>
          <w:lang w:val="es-ES_tradnl"/>
        </w:rPr>
        <w:t>33 800 millones EUR, cifra que representa el 53 % del volumen total de las inversiones previstas para el p</w:t>
      </w:r>
      <w:r>
        <w:rPr>
          <w:b/>
          <w:noProof/>
          <w:lang w:val="es-ES_tradnl"/>
        </w:rPr>
        <w:t>eríodo 2014-2020</w:t>
      </w:r>
      <w:r>
        <w:rPr>
          <w:noProof/>
          <w:lang w:val="es-ES_tradnl"/>
        </w:rPr>
        <w:t>. Se estima que la contribución de la UE a los proyectos seleccionados asciende a 24 000 millones EUR. Este porcentaje total de selección de proyectos es comparable a la misma etapa del último período de programación.</w:t>
      </w:r>
    </w:p>
    <w:p w:rsidR="003861AB" w:rsidRDefault="00924D5F">
      <w:pPr>
        <w:spacing w:before="120" w:after="120"/>
        <w:rPr>
          <w:noProof/>
          <w:lang w:val="es-ES_tradnl"/>
        </w:rPr>
      </w:pPr>
      <w:r>
        <w:rPr>
          <w:noProof/>
          <w:lang w:val="es-ES_tradnl"/>
        </w:rPr>
        <w:t>Los anexos 1.1 y 1.2 m</w:t>
      </w:r>
      <w:r>
        <w:rPr>
          <w:noProof/>
          <w:lang w:val="es-ES_tradnl"/>
        </w:rPr>
        <w:t>uestran el desglose por fondo de los volúmenes de selección de proyectos a finales de 2017 y en otoño de 2018, respectivamente. Los anexos 2.1 y 2.2 recogen los mismos datos financieros por Estado miembro. (En los nueve meses transcurridos desde el final d</w:t>
      </w:r>
      <w:r>
        <w:rPr>
          <w:noProof/>
          <w:lang w:val="es-ES_tradnl"/>
        </w:rPr>
        <w:t>e 2017, el volumen financiero total de los proyectos de la política de cohesión seleccionados había aumentado en 66 000 millones EUR para antes del otoño de 2018, alcanzando ahora el 67 % de la inversión prevista).</w:t>
      </w:r>
    </w:p>
    <w:p w:rsidR="003861AB" w:rsidRDefault="00924D5F">
      <w:pPr>
        <w:spacing w:before="120" w:after="120"/>
        <w:rPr>
          <w:noProof/>
          <w:lang w:val="es-ES_tradnl"/>
        </w:rPr>
      </w:pPr>
      <w:r>
        <w:rPr>
          <w:noProof/>
          <w:lang w:val="es-ES_tradnl"/>
        </w:rPr>
        <w:t>Comparando estas dos instantáneas con año</w:t>
      </w:r>
      <w:r>
        <w:rPr>
          <w:noProof/>
          <w:lang w:val="es-ES_tradnl"/>
        </w:rPr>
        <w:t>s anteriores, es evidente que las tendencias de la ejecución son dinámicas. En otoño de 2018, se observaban porcentajes de selección de proyectos más homogéneos en general en los diferentes objetivos temáticos. No obstante, los retrasos anteriores en los p</w:t>
      </w:r>
      <w:r>
        <w:rPr>
          <w:noProof/>
          <w:lang w:val="es-ES_tradnl"/>
        </w:rPr>
        <w:t>orcentajes de selección en algunos temas y en algunos Estados miembros todavía se reflejan en una media de gasto inferior. El siguiente gráfico muestra un alto grado de variabilidad en las tasas de selección y gasto por Estado miembro a finales de 2017, en</w:t>
      </w:r>
      <w:r>
        <w:rPr>
          <w:noProof/>
          <w:lang w:val="es-ES_tradnl"/>
        </w:rPr>
        <w:t xml:space="preserve"> comparación con los promedios de los Fondos EIE.</w:t>
      </w:r>
    </w:p>
    <w:p w:rsidR="003861AB" w:rsidRDefault="00924D5F">
      <w:pPr>
        <w:rPr>
          <w:b/>
          <w:noProof/>
          <w:lang w:val="es-ES_tradnl"/>
        </w:rPr>
      </w:pPr>
      <w:r>
        <w:rPr>
          <w:b/>
          <w:noProof/>
          <w:lang w:val="es-ES_tradnl"/>
        </w:rPr>
        <w:t>Gráfico: Fondos EIE (diagrama de dispersión de las tasas de selección y gasto de los Estados miembros en 2017)</w:t>
      </w:r>
    </w:p>
    <w:p w:rsidR="003861AB" w:rsidRDefault="00924D5F">
      <w:pPr>
        <w:spacing w:after="0"/>
        <w:rPr>
          <w:noProof/>
        </w:rPr>
      </w:pPr>
      <w:r>
        <w:rPr>
          <w:noProof/>
          <w:lang w:val="fr-BE" w:eastAsia="fr-BE"/>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rsidR="003861AB" w:rsidRDefault="00924D5F">
      <w:pPr>
        <w:jc w:val="left"/>
        <w:rPr>
          <w:i/>
          <w:noProof/>
          <w:sz w:val="20"/>
          <w:lang w:val="es-ES_tradnl"/>
        </w:rPr>
      </w:pPr>
      <w:r>
        <w:rPr>
          <w:i/>
          <w:noProof/>
          <w:sz w:val="20"/>
          <w:lang w:val="es-ES_tradnl"/>
        </w:rPr>
        <w:t xml:space="preserve">Fuente: datos abiertos de los Fondos EIE, Comisión Europea </w:t>
      </w:r>
      <w:r>
        <w:rPr>
          <w:i/>
          <w:noProof/>
          <w:sz w:val="20"/>
          <w:lang w:val="es-ES_tradnl"/>
        </w:rPr>
        <w:br/>
        <w:t>Notas: eje vertical = % de selecc</w:t>
      </w:r>
      <w:r>
        <w:rPr>
          <w:i/>
          <w:noProof/>
          <w:sz w:val="20"/>
          <w:lang w:val="es-ES_tradnl"/>
        </w:rPr>
        <w:t xml:space="preserve">ión; eje horizontal = % de gasto </w:t>
      </w:r>
    </w:p>
    <w:p w:rsidR="003861AB" w:rsidRDefault="00924D5F">
      <w:pPr>
        <w:spacing w:before="120" w:after="120"/>
        <w:rPr>
          <w:noProof/>
          <w:lang w:val="es-ES_tradnl"/>
        </w:rPr>
      </w:pPr>
      <w:r>
        <w:rPr>
          <w:noProof/>
          <w:lang w:val="es-ES_tradnl"/>
        </w:rPr>
        <w:t xml:space="preserve">Este gráfico muestra que un porcentaje elevado de selección no se traduce automáticamente en gasto inmediato. El gasto tardará más en materializarse en el caso de los proyectos que aún deban planificarse o contratarse, en </w:t>
      </w:r>
      <w:r>
        <w:rPr>
          <w:noProof/>
          <w:lang w:val="es-ES_tradnl"/>
        </w:rPr>
        <w:t>el caso de que la mayor parte de los proyectos tenga carácter plurianual o cuando los proyectos no estén maduros por algún otro motivo.</w:t>
      </w:r>
    </w:p>
    <w:p w:rsidR="003861AB" w:rsidRDefault="00924D5F">
      <w:pPr>
        <w:spacing w:before="120" w:after="120"/>
        <w:rPr>
          <w:noProof/>
          <w:lang w:val="es-ES_tradnl"/>
        </w:rPr>
      </w:pPr>
      <w:r>
        <w:rPr>
          <w:noProof/>
          <w:lang w:val="es-ES_tradnl"/>
        </w:rPr>
        <w:t xml:space="preserve">En cuanto a los </w:t>
      </w:r>
      <w:r>
        <w:rPr>
          <w:b/>
          <w:noProof/>
          <w:lang w:val="es-ES_tradnl"/>
        </w:rPr>
        <w:t>pagos del presupuesto de la UE</w:t>
      </w:r>
      <w:r>
        <w:rPr>
          <w:noProof/>
          <w:lang w:val="es-ES_tradnl"/>
        </w:rPr>
        <w:t xml:space="preserve"> a los Estados miembros, a finales de 2017 se había pagado un total de 75 </w:t>
      </w:r>
      <w:r>
        <w:rPr>
          <w:noProof/>
          <w:lang w:val="es-ES_tradnl"/>
        </w:rPr>
        <w:t>000 millones EUR (el 16 % del total previsto, incluidos los pagos de prefinanciación y los pagos intermedios del gasto declarado). Las disposiciones reglamentarias del período 2014-2020 (p.ej., la regla del N+3 y el nivel de prefinanciación) han proporcion</w:t>
      </w:r>
      <w:r>
        <w:rPr>
          <w:noProof/>
          <w:lang w:val="es-ES_tradnl"/>
        </w:rPr>
        <w:t>ado escasos incentivos a los Estados miembros para alentar un inicio rápido de la ejecución. A pesar del bajo índice de ejecución general, el ejercicio de liberación N+3 en 2017 afectó solo a algunos programas adoptados en 2014. En total, solo se liberaron</w:t>
      </w:r>
      <w:r>
        <w:rPr>
          <w:noProof/>
          <w:lang w:val="es-ES_tradnl"/>
        </w:rPr>
        <w:t xml:space="preserve"> 30 millones EUR en el marco de los programas de la política de cohesión. La norma de liberación debe, no obstante, fomentar </w:t>
      </w:r>
      <w:bookmarkStart w:id="5" w:name="_Toc463018881"/>
      <w:r>
        <w:rPr>
          <w:noProof/>
          <w:lang w:val="es-ES_tradnl"/>
        </w:rPr>
        <w:t>la disciplina financiera en 2018. Un gran número de programas de los Fondos EIE adoptados en 2015 deberán acelerar drásticamente la</w:t>
      </w:r>
      <w:r>
        <w:rPr>
          <w:noProof/>
          <w:lang w:val="es-ES_tradnl"/>
        </w:rPr>
        <w:t xml:space="preserve"> declaración de gastos. </w:t>
      </w:r>
    </w:p>
    <w:p w:rsidR="003861AB" w:rsidRDefault="00924D5F">
      <w:pPr>
        <w:pStyle w:val="Heading2"/>
        <w:rPr>
          <w:noProof/>
          <w:lang w:val="es-ES_tradnl"/>
        </w:rPr>
      </w:pPr>
      <w:r>
        <w:rPr>
          <w:noProof/>
          <w:lang w:val="es-ES_tradnl"/>
        </w:rPr>
        <w:t>Avances hacia la consecución de los objetivos del programa</w:t>
      </w:r>
      <w:bookmarkEnd w:id="5"/>
    </w:p>
    <w:p w:rsidR="003861AB" w:rsidRDefault="00924D5F">
      <w:pPr>
        <w:spacing w:before="120" w:after="120"/>
        <w:rPr>
          <w:noProof/>
          <w:lang w:val="es-ES_tradnl"/>
        </w:rPr>
      </w:pPr>
      <w:r>
        <w:rPr>
          <w:noProof/>
          <w:lang w:val="es-ES_tradnl"/>
        </w:rPr>
        <w:t>Los informes anuales de 2018 facilitan información sobre los avances hacia la consecución de las metas y los objetivos de los programas. A finales de 2017, los Estados miem</w:t>
      </w:r>
      <w:r>
        <w:rPr>
          <w:noProof/>
          <w:lang w:val="es-ES_tradnl"/>
        </w:rPr>
        <w:t>bros y las regiones seleccionaron alrededor de 1,7 millones de proyectos, que van desde grandes inversiones en infraestructuras hasta el apoyo a explotaciones agrarias.</w:t>
      </w:r>
    </w:p>
    <w:tbl>
      <w:tblPr>
        <w:tblStyle w:val="TableGrid"/>
        <w:tblW w:w="8220" w:type="dxa"/>
        <w:jc w:val="center"/>
        <w:tblLook w:val="04A0" w:firstRow="1" w:lastRow="0" w:firstColumn="1" w:lastColumn="0" w:noHBand="0" w:noVBand="1"/>
      </w:tblPr>
      <w:tblGrid>
        <w:gridCol w:w="2802"/>
        <w:gridCol w:w="5418"/>
      </w:tblGrid>
      <w:tr w:rsidR="003861AB" w:rsidRPr="00924D5F">
        <w:trPr>
          <w:jc w:val="center"/>
        </w:trPr>
        <w:tc>
          <w:tcPr>
            <w:tcW w:w="2802" w:type="dxa"/>
            <w:shd w:val="clear" w:color="auto" w:fill="B8CCE4" w:themeFill="accent1" w:themeFillTint="66"/>
          </w:tcPr>
          <w:p w:rsidR="003861AB" w:rsidRDefault="00924D5F">
            <w:pPr>
              <w:pStyle w:val="ListParagraph"/>
              <w:spacing w:after="0"/>
              <w:ind w:left="0"/>
              <w:contextualSpacing w:val="0"/>
              <w:rPr>
                <w:b/>
                <w:noProof/>
              </w:rPr>
            </w:pPr>
            <w:r>
              <w:rPr>
                <w:b/>
                <w:noProof/>
              </w:rPr>
              <w:t>Fondo</w:t>
            </w:r>
          </w:p>
        </w:tc>
        <w:tc>
          <w:tcPr>
            <w:tcW w:w="5418" w:type="dxa"/>
            <w:shd w:val="clear" w:color="auto" w:fill="B8CCE4" w:themeFill="accent1" w:themeFillTint="66"/>
          </w:tcPr>
          <w:p w:rsidR="003861AB" w:rsidRDefault="00924D5F">
            <w:pPr>
              <w:pStyle w:val="ListParagraph"/>
              <w:spacing w:after="0"/>
              <w:ind w:left="0"/>
              <w:contextualSpacing w:val="0"/>
              <w:rPr>
                <w:b/>
                <w:noProof/>
                <w:lang w:val="es-ES_tradnl"/>
              </w:rPr>
            </w:pPr>
            <w:r>
              <w:rPr>
                <w:b/>
                <w:noProof/>
                <w:lang w:val="es-ES_tradnl"/>
              </w:rPr>
              <w:t>Número acumulado de proyectos seleccionados antes del fin de 2017</w:t>
            </w:r>
          </w:p>
        </w:tc>
      </w:tr>
      <w:tr w:rsidR="003861AB">
        <w:trPr>
          <w:jc w:val="center"/>
        </w:trPr>
        <w:tc>
          <w:tcPr>
            <w:tcW w:w="2802" w:type="dxa"/>
          </w:tcPr>
          <w:p w:rsidR="003861AB" w:rsidRDefault="00924D5F">
            <w:pPr>
              <w:pStyle w:val="ListParagraph"/>
              <w:spacing w:after="0"/>
              <w:ind w:left="0"/>
              <w:contextualSpacing w:val="0"/>
              <w:rPr>
                <w:noProof/>
              </w:rPr>
            </w:pPr>
            <w:r>
              <w:rPr>
                <w:noProof/>
              </w:rPr>
              <w:t>FEDER</w:t>
            </w:r>
          </w:p>
        </w:tc>
        <w:tc>
          <w:tcPr>
            <w:tcW w:w="5418" w:type="dxa"/>
          </w:tcPr>
          <w:p w:rsidR="003861AB" w:rsidRDefault="00924D5F">
            <w:pPr>
              <w:pStyle w:val="ListParagraph"/>
              <w:spacing w:after="0"/>
              <w:ind w:left="0"/>
              <w:contextualSpacing w:val="0"/>
              <w:jc w:val="right"/>
              <w:rPr>
                <w:noProof/>
              </w:rPr>
            </w:pPr>
            <w:r>
              <w:rPr>
                <w:noProof/>
              </w:rPr>
              <w:t>160 000</w:t>
            </w:r>
          </w:p>
        </w:tc>
      </w:tr>
      <w:tr w:rsidR="003861AB">
        <w:trPr>
          <w:jc w:val="center"/>
        </w:trPr>
        <w:tc>
          <w:tcPr>
            <w:tcW w:w="2802" w:type="dxa"/>
            <w:shd w:val="clear" w:color="auto" w:fill="auto"/>
          </w:tcPr>
          <w:p w:rsidR="003861AB" w:rsidRDefault="00924D5F">
            <w:pPr>
              <w:pStyle w:val="ListParagraph"/>
              <w:spacing w:after="0"/>
              <w:ind w:left="0"/>
              <w:contextualSpacing w:val="0"/>
              <w:rPr>
                <w:noProof/>
                <w:highlight w:val="yellow"/>
              </w:rPr>
            </w:pPr>
            <w:r>
              <w:rPr>
                <w:noProof/>
              </w:rPr>
              <w:t>Feader</w:t>
            </w:r>
            <w:r>
              <w:rPr>
                <w:rStyle w:val="FootnoteReference"/>
                <w:noProof/>
              </w:rPr>
              <w:footnoteReference w:id="4"/>
            </w:r>
          </w:p>
        </w:tc>
        <w:tc>
          <w:tcPr>
            <w:tcW w:w="5418" w:type="dxa"/>
          </w:tcPr>
          <w:p w:rsidR="003861AB" w:rsidRDefault="00924D5F">
            <w:pPr>
              <w:pStyle w:val="ListParagraph"/>
              <w:spacing w:after="0"/>
              <w:ind w:left="0"/>
              <w:contextualSpacing w:val="0"/>
              <w:jc w:val="right"/>
              <w:rPr>
                <w:noProof/>
              </w:rPr>
            </w:pPr>
            <w:r>
              <w:rPr>
                <w:noProof/>
              </w:rPr>
              <w:t>1 000 000</w:t>
            </w:r>
          </w:p>
        </w:tc>
      </w:tr>
      <w:tr w:rsidR="003861AB">
        <w:trPr>
          <w:jc w:val="center"/>
        </w:trPr>
        <w:tc>
          <w:tcPr>
            <w:tcW w:w="2802" w:type="dxa"/>
          </w:tcPr>
          <w:p w:rsidR="003861AB" w:rsidRDefault="00924D5F">
            <w:pPr>
              <w:pStyle w:val="ListParagraph"/>
              <w:spacing w:after="0"/>
              <w:ind w:left="0"/>
              <w:contextualSpacing w:val="0"/>
              <w:rPr>
                <w:noProof/>
              </w:rPr>
            </w:pPr>
            <w:r>
              <w:rPr>
                <w:noProof/>
              </w:rPr>
              <w:t>FSE/IEJ</w:t>
            </w:r>
          </w:p>
        </w:tc>
        <w:tc>
          <w:tcPr>
            <w:tcW w:w="5418" w:type="dxa"/>
          </w:tcPr>
          <w:p w:rsidR="003861AB" w:rsidRDefault="00924D5F">
            <w:pPr>
              <w:pStyle w:val="ListParagraph"/>
              <w:spacing w:after="0"/>
              <w:ind w:left="0"/>
              <w:contextualSpacing w:val="0"/>
              <w:jc w:val="right"/>
              <w:rPr>
                <w:noProof/>
              </w:rPr>
            </w:pPr>
            <w:r>
              <w:rPr>
                <w:noProof/>
              </w:rPr>
              <w:t>505 000</w:t>
            </w:r>
          </w:p>
        </w:tc>
      </w:tr>
      <w:tr w:rsidR="003861AB">
        <w:trPr>
          <w:jc w:val="center"/>
        </w:trPr>
        <w:tc>
          <w:tcPr>
            <w:tcW w:w="2802" w:type="dxa"/>
          </w:tcPr>
          <w:p w:rsidR="003861AB" w:rsidRDefault="00924D5F">
            <w:pPr>
              <w:pStyle w:val="ListParagraph"/>
              <w:spacing w:after="0"/>
              <w:ind w:left="0"/>
              <w:contextualSpacing w:val="0"/>
              <w:rPr>
                <w:noProof/>
              </w:rPr>
            </w:pPr>
            <w:r>
              <w:rPr>
                <w:noProof/>
              </w:rPr>
              <w:t>Fondo de Cohesión</w:t>
            </w:r>
          </w:p>
        </w:tc>
        <w:tc>
          <w:tcPr>
            <w:tcW w:w="5418" w:type="dxa"/>
          </w:tcPr>
          <w:p w:rsidR="003861AB" w:rsidRDefault="00924D5F">
            <w:pPr>
              <w:pStyle w:val="ListParagraph"/>
              <w:spacing w:after="0"/>
              <w:ind w:left="0"/>
              <w:contextualSpacing w:val="0"/>
              <w:jc w:val="right"/>
              <w:rPr>
                <w:noProof/>
              </w:rPr>
            </w:pPr>
            <w:r>
              <w:rPr>
                <w:noProof/>
              </w:rPr>
              <w:t>8 600</w:t>
            </w:r>
          </w:p>
        </w:tc>
      </w:tr>
      <w:tr w:rsidR="003861AB">
        <w:trPr>
          <w:jc w:val="center"/>
        </w:trPr>
        <w:tc>
          <w:tcPr>
            <w:tcW w:w="2802" w:type="dxa"/>
          </w:tcPr>
          <w:p w:rsidR="003861AB" w:rsidRDefault="00924D5F">
            <w:pPr>
              <w:pStyle w:val="ListParagraph"/>
              <w:spacing w:after="0"/>
              <w:ind w:left="0"/>
              <w:contextualSpacing w:val="0"/>
              <w:rPr>
                <w:noProof/>
              </w:rPr>
            </w:pPr>
            <w:r>
              <w:rPr>
                <w:noProof/>
              </w:rPr>
              <w:t>FEMP</w:t>
            </w:r>
          </w:p>
        </w:tc>
        <w:tc>
          <w:tcPr>
            <w:tcW w:w="5418" w:type="dxa"/>
          </w:tcPr>
          <w:p w:rsidR="003861AB" w:rsidRDefault="00924D5F">
            <w:pPr>
              <w:pStyle w:val="ListParagraph"/>
              <w:spacing w:after="0"/>
              <w:ind w:left="0"/>
              <w:contextualSpacing w:val="0"/>
              <w:jc w:val="right"/>
              <w:rPr>
                <w:noProof/>
              </w:rPr>
            </w:pPr>
            <w:r>
              <w:rPr>
                <w:noProof/>
              </w:rPr>
              <w:t>18 500</w:t>
            </w:r>
          </w:p>
        </w:tc>
      </w:tr>
      <w:tr w:rsidR="003861AB">
        <w:trPr>
          <w:jc w:val="center"/>
        </w:trPr>
        <w:tc>
          <w:tcPr>
            <w:tcW w:w="2802" w:type="dxa"/>
            <w:shd w:val="clear" w:color="auto" w:fill="B8CCE4" w:themeFill="accent1" w:themeFillTint="66"/>
          </w:tcPr>
          <w:p w:rsidR="003861AB" w:rsidRDefault="00924D5F">
            <w:pPr>
              <w:pStyle w:val="ListParagraph"/>
              <w:spacing w:after="0"/>
              <w:ind w:left="0"/>
              <w:contextualSpacing w:val="0"/>
              <w:rPr>
                <w:b/>
                <w:noProof/>
              </w:rPr>
            </w:pPr>
            <w:r>
              <w:rPr>
                <w:b/>
                <w:noProof/>
              </w:rPr>
              <w:t xml:space="preserve">Total </w:t>
            </w:r>
          </w:p>
        </w:tc>
        <w:tc>
          <w:tcPr>
            <w:tcW w:w="5418" w:type="dxa"/>
            <w:shd w:val="clear" w:color="auto" w:fill="B8CCE4" w:themeFill="accent1" w:themeFillTint="66"/>
          </w:tcPr>
          <w:p w:rsidR="003861AB" w:rsidRDefault="00924D5F">
            <w:pPr>
              <w:pStyle w:val="ListParagraph"/>
              <w:spacing w:after="0"/>
              <w:ind w:left="0"/>
              <w:contextualSpacing w:val="0"/>
              <w:jc w:val="right"/>
              <w:rPr>
                <w:b/>
                <w:noProof/>
                <w:highlight w:val="yellow"/>
              </w:rPr>
            </w:pPr>
            <w:r>
              <w:rPr>
                <w:b/>
                <w:noProof/>
              </w:rPr>
              <w:t>1 692 100</w:t>
            </w:r>
          </w:p>
        </w:tc>
      </w:tr>
    </w:tbl>
    <w:p w:rsidR="003861AB" w:rsidRDefault="003861AB">
      <w:pPr>
        <w:spacing w:before="120" w:after="120"/>
        <w:rPr>
          <w:noProof/>
        </w:rPr>
      </w:pPr>
    </w:p>
    <w:p w:rsidR="003861AB" w:rsidRDefault="00924D5F">
      <w:pPr>
        <w:spacing w:before="120" w:after="120"/>
        <w:rPr>
          <w:noProof/>
          <w:lang w:val="es-ES_tradnl"/>
        </w:rPr>
      </w:pPr>
      <w:r>
        <w:rPr>
          <w:noProof/>
          <w:lang w:val="es-ES_tradnl"/>
        </w:rPr>
        <w:t>Las cifras principales de rendimiento notificadas por estos proyectos a finales de 2017 para indicadores comunes son:</w:t>
      </w:r>
    </w:p>
    <w:p w:rsidR="003861AB" w:rsidRDefault="00924D5F">
      <w:pPr>
        <w:numPr>
          <w:ilvl w:val="0"/>
          <w:numId w:val="33"/>
        </w:numPr>
        <w:spacing w:before="120" w:after="120"/>
        <w:rPr>
          <w:noProof/>
          <w:lang w:val="es-ES_tradnl"/>
        </w:rPr>
      </w:pPr>
      <w:r>
        <w:rPr>
          <w:noProof/>
          <w:lang w:val="es-ES_tradnl"/>
        </w:rPr>
        <w:t xml:space="preserve">un millón de empresas se beneficiarán de </w:t>
      </w:r>
      <w:r>
        <w:rPr>
          <w:noProof/>
          <w:lang w:val="es-ES_tradnl"/>
        </w:rPr>
        <w:t>proyectos seleccionados (el 50 % del objetivo) con la ayuda a 450 000 empresas ya completada</w:t>
      </w:r>
      <w:r>
        <w:rPr>
          <w:rStyle w:val="FootnoteReference"/>
          <w:noProof/>
        </w:rPr>
        <w:footnoteReference w:id="5"/>
      </w:r>
      <w:r>
        <w:rPr>
          <w:noProof/>
          <w:lang w:val="es-ES_tradnl"/>
        </w:rPr>
        <w:t>;</w:t>
      </w:r>
    </w:p>
    <w:p w:rsidR="003861AB" w:rsidRDefault="00924D5F">
      <w:pPr>
        <w:numPr>
          <w:ilvl w:val="0"/>
          <w:numId w:val="33"/>
        </w:numPr>
        <w:spacing w:before="120" w:after="120"/>
        <w:rPr>
          <w:noProof/>
          <w:lang w:val="es-ES_tradnl"/>
        </w:rPr>
      </w:pPr>
      <w:r>
        <w:rPr>
          <w:noProof/>
          <w:lang w:val="es-ES_tradnl"/>
        </w:rPr>
        <w:t>los proyectos financiados por el FSE y el IEJ han beneficiado a 15 millones de participantes;</w:t>
      </w:r>
    </w:p>
    <w:p w:rsidR="003861AB" w:rsidRDefault="00924D5F">
      <w:pPr>
        <w:numPr>
          <w:ilvl w:val="0"/>
          <w:numId w:val="33"/>
        </w:numPr>
        <w:spacing w:before="120" w:after="120"/>
        <w:rPr>
          <w:noProof/>
          <w:lang w:val="es-ES_tradnl"/>
        </w:rPr>
      </w:pPr>
      <w:r>
        <w:rPr>
          <w:noProof/>
          <w:lang w:val="es-ES_tradnl"/>
        </w:rPr>
        <w:t>hasta el momento han recibido asistencia un millón de proyectos des</w:t>
      </w:r>
      <w:r>
        <w:rPr>
          <w:noProof/>
          <w:lang w:val="es-ES_tradnl"/>
        </w:rPr>
        <w:t>tinados a ayudar al sector agrícola y a las empresas rurales a aumentar la competitividad y a crear y mantener puestos de trabajo en las zonas rurales;</w:t>
      </w:r>
    </w:p>
    <w:p w:rsidR="003861AB" w:rsidRDefault="00924D5F">
      <w:pPr>
        <w:numPr>
          <w:ilvl w:val="0"/>
          <w:numId w:val="33"/>
        </w:numPr>
        <w:spacing w:before="120" w:after="120"/>
        <w:rPr>
          <w:noProof/>
          <w:lang w:val="es-ES_tradnl"/>
        </w:rPr>
      </w:pPr>
      <w:r>
        <w:rPr>
          <w:noProof/>
          <w:lang w:val="es-ES_tradnl"/>
        </w:rPr>
        <w:t>se han seleccionado 26 millones de hectáreas de tierras agrícolas, es decir, el 15 % de la superficie ag</w:t>
      </w:r>
      <w:r>
        <w:rPr>
          <w:noProof/>
          <w:lang w:val="es-ES_tradnl"/>
        </w:rPr>
        <w:t>rícola utilizada (SAU), para recibir ayuda a la gestión de tierras con el fin de proteger mejor la biodiversidad;</w:t>
      </w:r>
    </w:p>
    <w:p w:rsidR="003861AB" w:rsidRDefault="00924D5F">
      <w:pPr>
        <w:numPr>
          <w:ilvl w:val="0"/>
          <w:numId w:val="33"/>
        </w:numPr>
        <w:spacing w:before="120" w:after="120"/>
        <w:rPr>
          <w:noProof/>
          <w:lang w:val="es-ES_tradnl"/>
        </w:rPr>
      </w:pPr>
      <w:r>
        <w:rPr>
          <w:noProof/>
          <w:lang w:val="es-ES_tradnl"/>
        </w:rPr>
        <w:t>2 700 grupos de acción local (GAL) seleccionados en la iniciativa LEADER en el marco del Feader cubren el 56 % del total de la población rural</w:t>
      </w:r>
      <w:r>
        <w:rPr>
          <w:noProof/>
          <w:lang w:val="es-ES_tradnl"/>
        </w:rPr>
        <w:t xml:space="preserve"> (163 millones de habitantes);</w:t>
      </w:r>
    </w:p>
    <w:p w:rsidR="003861AB" w:rsidRDefault="00924D5F">
      <w:pPr>
        <w:numPr>
          <w:ilvl w:val="0"/>
          <w:numId w:val="33"/>
        </w:numPr>
        <w:spacing w:before="120" w:after="120"/>
        <w:rPr>
          <w:noProof/>
          <w:lang w:val="es-ES_tradnl"/>
        </w:rPr>
      </w:pPr>
      <w:r>
        <w:rPr>
          <w:noProof/>
          <w:lang w:val="es-ES_tradnl"/>
        </w:rPr>
        <w:t xml:space="preserve">de los 368 grupos de acción local del sector de la pesca (FLAG por sus siglas en inglés) seleccionados, el 70 % se encuentran operativos. </w:t>
      </w:r>
    </w:p>
    <w:p w:rsidR="003861AB" w:rsidRDefault="00924D5F">
      <w:pPr>
        <w:spacing w:before="120" w:after="120"/>
        <w:rPr>
          <w:noProof/>
          <w:lang w:val="es-ES_tradnl"/>
        </w:rPr>
      </w:pPr>
      <w:bookmarkStart w:id="6" w:name="_Toc463018885"/>
      <w:r>
        <w:rPr>
          <w:noProof/>
          <w:lang w:val="es-ES_tradnl"/>
        </w:rPr>
        <w:t>La atención prestada por los programas del período 2014-2020 a las razones de la inter</w:t>
      </w:r>
      <w:r>
        <w:rPr>
          <w:noProof/>
          <w:lang w:val="es-ES_tradnl"/>
        </w:rPr>
        <w:t>vención y a un uso más amplio de los indicadores comunes específicos de cada fondo está haciendo que la presentación de informes sobre el rendimiento sea más sólida y coherente. En la mayoría de los casos, los informes de los programas de 2018 presentan un</w:t>
      </w:r>
      <w:r>
        <w:rPr>
          <w:noProof/>
          <w:lang w:val="es-ES_tradnl"/>
        </w:rPr>
        <w:t>a fuente de información sobre el rendimiento mucho más rica que en años anteriores , en lo que a indicadores comunes se refiere. En general, los valores notificados muestran una relación plausible entre los objetivos de los indicadores y los valores de los</w:t>
      </w:r>
      <w:r>
        <w:rPr>
          <w:noProof/>
          <w:lang w:val="es-ES_tradnl"/>
        </w:rPr>
        <w:t xml:space="preserve"> proyectos seleccionados. Cuando se detectan incoherencias en los informes, estas se consultan con los programas. El proceso de control de calidad de los informes anuales ha llevado a la corrección de ciertos errores en la presentación de informes. La Comi</w:t>
      </w:r>
      <w:r>
        <w:rPr>
          <w:noProof/>
          <w:lang w:val="es-ES_tradnl"/>
        </w:rPr>
        <w:t>sión prevé que las deficiencias que quedan puedan eliminarse mediante una mejor presentación de informes por parte de los programas y/o mediante el aumento de los objetivos.</w:t>
      </w:r>
    </w:p>
    <w:p w:rsidR="003861AB" w:rsidRDefault="00924D5F">
      <w:pPr>
        <w:spacing w:before="120" w:after="120"/>
        <w:rPr>
          <w:noProof/>
          <w:lang w:val="es-ES_tradnl"/>
        </w:rPr>
      </w:pPr>
      <w:r>
        <w:rPr>
          <w:noProof/>
          <w:lang w:val="es-ES_tradnl"/>
        </w:rPr>
        <w:t>Obtener garantías sobre los datos de rendimiento notificados a la Comisión es fund</w:t>
      </w:r>
      <w:r>
        <w:rPr>
          <w:noProof/>
          <w:lang w:val="es-ES_tradnl"/>
        </w:rPr>
        <w:t>amental para la asignación de la reserva de rendimiento en 2019. En 2017, la Comisión y las autoridades de auditoría nacionales comenzaron a examinar los sistemas vigentes y los datos notificados hasta ese momento. Las auditorías específicas de los sistema</w:t>
      </w:r>
      <w:r>
        <w:rPr>
          <w:noProof/>
          <w:lang w:val="es-ES_tradnl"/>
        </w:rPr>
        <w:t>s se centraron en la gestión y notificación de los datos de rendimiento por parte de las autoridades de los programas. La gran mayoría de las auditorías realizadas hasta la fecha por la Comisión han llegado a una evaluación general positiva de la fiabilida</w:t>
      </w:r>
      <w:r>
        <w:rPr>
          <w:noProof/>
          <w:lang w:val="es-ES_tradnl"/>
        </w:rPr>
        <w:t>d de los sistemas comprobados, excepto en el caso de unos pocos programas en los que se identificaron graves deficiencias del sistema o graves inexactitudes en los datos. Los resultados de las auditorías de la Comisión se complementarán con el trabajo real</w:t>
      </w:r>
      <w:r>
        <w:rPr>
          <w:noProof/>
          <w:lang w:val="es-ES_tradnl"/>
        </w:rPr>
        <w:t>izado por las autoridades de auditoría nacionales, que se notificará en sus informes de control anual, en febrero de 2019.</w:t>
      </w:r>
    </w:p>
    <w:p w:rsidR="003861AB" w:rsidRDefault="00924D5F">
      <w:pPr>
        <w:pStyle w:val="Heading1"/>
        <w:rPr>
          <w:noProof/>
          <w:lang w:val="es-ES_tradnl"/>
        </w:rPr>
      </w:pPr>
      <w:r>
        <w:rPr>
          <w:noProof/>
          <w:lang w:val="es-ES_tradnl"/>
        </w:rPr>
        <w:t>Panorama de la ejecución por temas clave</w:t>
      </w:r>
      <w:bookmarkEnd w:id="6"/>
    </w:p>
    <w:p w:rsidR="003861AB" w:rsidRDefault="00924D5F">
      <w:pPr>
        <w:spacing w:before="120" w:after="120"/>
        <w:rPr>
          <w:noProof/>
          <w:lang w:val="es-ES_tradnl"/>
        </w:rPr>
      </w:pPr>
      <w:r>
        <w:rPr>
          <w:noProof/>
          <w:lang w:val="es-ES_tradnl"/>
        </w:rPr>
        <w:t>El presente informe proporciona una visión de conjunto de los progresos en la ejecución de m</w:t>
      </w:r>
      <w:r>
        <w:rPr>
          <w:noProof/>
          <w:lang w:val="es-ES_tradnl"/>
        </w:rPr>
        <w:t>ás de 530 programas de los Fondos EIE en el período comprendido entre 2014 y 2017, en lo relativo al volumen financiero de los proyectos seleccionados y a los avances en la contratación y en la obtención de realizaciones y resultados comunes. Los datos pro</w:t>
      </w:r>
      <w:r>
        <w:rPr>
          <w:noProof/>
          <w:lang w:val="es-ES_tradnl"/>
        </w:rPr>
        <w:t>ceden del contenido de los informes anuales de los programas de 2018.</w:t>
      </w:r>
    </w:p>
    <w:p w:rsidR="003861AB" w:rsidRDefault="00924D5F">
      <w:pPr>
        <w:spacing w:before="120" w:after="120"/>
        <w:rPr>
          <w:noProof/>
        </w:rPr>
      </w:pPr>
      <w:r>
        <w:rPr>
          <w:noProof/>
          <w:lang w:val="es-ES_tradnl"/>
        </w:rPr>
        <w:t>Los anexos ofrecen una visión global del volumen financiero y del porcentaje de selección de proyectos notificados por objetivo temático y Estado miembro en relación con los Fondos EIE a</w:t>
      </w:r>
      <w:r>
        <w:rPr>
          <w:noProof/>
          <w:lang w:val="es-ES_tradnl"/>
        </w:rPr>
        <w:t xml:space="preserve"> finales del 2017 y en otoño de 2018. Con respecto a los indicadores, el presente informe sintetiza los logros alcanzados en el marco de los indicadores comunes para cada fondo y la contribución esperada de los proyectos seleccionados. </w:t>
      </w:r>
      <w:r>
        <w:rPr>
          <w:noProof/>
        </w:rPr>
        <w:t>Asimismo, se ofrecen</w:t>
      </w:r>
      <w:r>
        <w:rPr>
          <w:noProof/>
        </w:rPr>
        <w:t xml:space="preserve"> ejemplos de proyectos ya subvencionados.</w:t>
      </w:r>
    </w:p>
    <w:p w:rsidR="003861AB" w:rsidRDefault="00924D5F">
      <w:pPr>
        <w:pStyle w:val="Heading2"/>
        <w:rPr>
          <w:noProof/>
          <w:lang w:val="es-ES_tradnl"/>
        </w:rPr>
      </w:pPr>
      <w:r>
        <w:rPr>
          <w:noProof/>
          <w:lang w:val="es-ES_tradnl"/>
        </w:rPr>
        <w:t>I+i, TIC y competitividad de las pymes</w:t>
      </w:r>
    </w:p>
    <w:p w:rsidR="003861AB" w:rsidRDefault="00924D5F">
      <w:pPr>
        <w:tabs>
          <w:tab w:val="left" w:pos="1276"/>
        </w:tabs>
        <w:spacing w:before="120" w:after="120"/>
        <w:rPr>
          <w:noProof/>
          <w:lang w:val="es-ES_tradnl"/>
        </w:rPr>
      </w:pPr>
      <w:bookmarkStart w:id="7" w:name="_Toc463018887"/>
      <w:r>
        <w:rPr>
          <w:noProof/>
          <w:lang w:val="es-ES_tradnl"/>
        </w:rPr>
        <w:t>En conjunto, está previsto invertir en este ámbito aproximadamente 184 000 millones EUR, principalmente provenientes del FEDER y el Feader. A finales de 2017 se habían selecci</w:t>
      </w:r>
      <w:r>
        <w:rPr>
          <w:noProof/>
          <w:lang w:val="es-ES_tradnl"/>
        </w:rPr>
        <w:t>onado proyectos que representaban alrededor del 51 % de dicho importe (más de 97 000 millones EUR</w:t>
      </w:r>
      <w:r>
        <w:rPr>
          <w:rStyle w:val="FootnoteReference"/>
          <w:noProof/>
        </w:rPr>
        <w:footnoteReference w:id="6"/>
      </w:r>
      <w:r>
        <w:rPr>
          <w:noProof/>
          <w:lang w:val="es-ES_tradnl"/>
        </w:rPr>
        <w:t>) con un gasto estimado notificado del 13 %, es decir 24 000 millones EUR.</w:t>
      </w:r>
    </w:p>
    <w:p w:rsidR="003861AB" w:rsidRDefault="00924D5F">
      <w:pPr>
        <w:pStyle w:val="Heading3"/>
        <w:rPr>
          <w:noProof/>
        </w:rPr>
      </w:pPr>
      <w:r>
        <w:rPr>
          <w:noProof/>
        </w:rPr>
        <w:t>Investigación e innovación</w:t>
      </w:r>
      <w:r>
        <w:rPr>
          <w:rStyle w:val="FootnoteReference"/>
          <w:noProof/>
        </w:rPr>
        <w:footnoteReference w:id="7"/>
      </w:r>
    </w:p>
    <w:p w:rsidR="003861AB" w:rsidRDefault="00924D5F">
      <w:pPr>
        <w:spacing w:before="120" w:after="120"/>
        <w:rPr>
          <w:noProof/>
          <w:lang w:val="es-ES_tradnl"/>
        </w:rPr>
      </w:pPr>
      <w:r>
        <w:rPr>
          <w:noProof/>
          <w:lang w:val="es-ES_tradnl"/>
        </w:rPr>
        <w:t xml:space="preserve">Los 34 000 millones EUR asignados a </w:t>
      </w:r>
      <w:r>
        <w:rPr>
          <w:b/>
          <w:noProof/>
          <w:lang w:val="es-ES_tradnl"/>
        </w:rPr>
        <w:t>proyectos de invest</w:t>
      </w:r>
      <w:r>
        <w:rPr>
          <w:b/>
          <w:noProof/>
          <w:lang w:val="es-ES_tradnl"/>
        </w:rPr>
        <w:t>igación e innovación</w:t>
      </w:r>
      <w:r>
        <w:rPr>
          <w:noProof/>
          <w:lang w:val="es-ES_tradnl"/>
        </w:rPr>
        <w:t xml:space="preserve"> concretos en el marco del FEDER y del Feader representan el 51 % del total previsto para el período 2014-2020. El gasto notificado ascendió a solo el 8 % de este importe total.</w:t>
      </w:r>
    </w:p>
    <w:p w:rsidR="003861AB" w:rsidRDefault="00924D5F">
      <w:pPr>
        <w:spacing w:before="120" w:after="120"/>
        <w:rPr>
          <w:noProof/>
          <w:lang w:val="es-ES_tradnl"/>
        </w:rPr>
      </w:pPr>
      <w:r>
        <w:rPr>
          <w:noProof/>
          <w:lang w:val="es-ES_tradnl"/>
        </w:rPr>
        <w:t>A finales del 2017, estaba previsto que 43 500 empresas se</w:t>
      </w:r>
      <w:r>
        <w:rPr>
          <w:noProof/>
          <w:lang w:val="es-ES_tradnl"/>
        </w:rPr>
        <w:t xml:space="preserve"> beneficiaran de regímenes del FEDER seleccionados para promover la cooperación con centros de investigación (el 69 % del objetivo), con 7 000 acciones de cooperación ya completadas. Se prevé que las inversiones en mejores infraestructuras de investigación</w:t>
      </w:r>
      <w:r>
        <w:rPr>
          <w:noProof/>
          <w:lang w:val="es-ES_tradnl"/>
        </w:rPr>
        <w:t xml:space="preserve"> y desarrollo tecnológico (IDT) beneficien a 71 500 investigadores (el 55 % del objetivo) de los cuales 15 000 ya tienen acceso a dichas infraestructuras.</w:t>
      </w:r>
      <w:bookmarkEnd w:id="7"/>
      <w:r>
        <w:rPr>
          <w:noProof/>
          <w:lang w:val="es-ES_tradnl"/>
        </w:rPr>
        <w:t xml:space="preserve"> La supervisión de las ayudas a nuevos productos (incluidos servicios) muestra asimismo importantes av</w:t>
      </w:r>
      <w:r>
        <w:rPr>
          <w:noProof/>
          <w:lang w:val="es-ES_tradnl"/>
        </w:rPr>
        <w:t>ances, con 35 450 productos «nuevos para la empresa» objeto de operaciones seleccionadas (el 55 % del objetivo), 3 700 de ellas ya completadas.</w:t>
      </w:r>
    </w:p>
    <w:p w:rsidR="003861AB" w:rsidRDefault="00924D5F">
      <w:pPr>
        <w:spacing w:before="120" w:after="120"/>
        <w:rPr>
          <w:noProof/>
          <w:lang w:val="es-ES_tradnl"/>
        </w:rPr>
      </w:pPr>
      <w:r>
        <w:rPr>
          <w:noProof/>
          <w:lang w:val="es-ES_tradnl"/>
        </w:rPr>
        <w:t xml:space="preserve">La financiación del Feader para proyectos seleccionados ascendía a 8 000 millones a finales del 2017. En el </w:t>
      </w:r>
      <w:r>
        <w:rPr>
          <w:noProof/>
          <w:lang w:val="es-ES_tradnl"/>
        </w:rPr>
        <w:t>ámbito de la I+i, la Asociación Europea para la Innovación en el sector agrícola se está convirtiendo en un vehículo eficaz para la innovación al reunir a agricultores, investigadores, asesores y empresas en 3 097 proyectos prácticos de innovación. Estos p</w:t>
      </w:r>
      <w:r>
        <w:rPr>
          <w:noProof/>
          <w:lang w:val="es-ES_tradnl"/>
        </w:rPr>
        <w:t>royectos poseen un importante potencial para crear soluciones innovadoras que hagan de la agricultura una actividad más inteligente, eficiente y sostenible. Los resultados de estos proyectos se comparten en la plataforma de la Asociación Europea para la In</w:t>
      </w:r>
      <w:r>
        <w:rPr>
          <w:noProof/>
          <w:lang w:val="es-ES_tradnl"/>
        </w:rPr>
        <w:t>novación «Productividad y sostenibilidad agrícolas (EIP-AGRI)», proporcionando muchas ideas nuevas e inspiración para el sector agrícola. A finales de 2017, se habían puesto en marcha 667 proyectos interactivos de innovación (el 21 % del objetivo).</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En Cheq</w:t>
      </w:r>
      <w:r>
        <w:rPr>
          <w:i/>
          <w:noProof/>
          <w:sz w:val="20"/>
          <w:lang w:val="es-ES_tradnl"/>
        </w:rPr>
        <w:t>uia, la segunda fase del proyecto SUSEN sobre energía sostenible financió la instalación de instrumentos tecnológicos en un centro de investigación y desarrollo de energía sostenible con ayuda del FEDER. La labor principal del centro es el uso de radiación</w:t>
      </w:r>
      <w:r>
        <w:rPr>
          <w:i/>
          <w:noProof/>
          <w:sz w:val="20"/>
          <w:lang w:val="es-ES_tradnl"/>
        </w:rPr>
        <w:t xml:space="preserve"> ionizante y de energía nuclear. El centro da empleo a 128 personas y cada año participan también en sus actividades unos 55 estudiantes y titulados universitarios.</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 xml:space="preserve">Los cursos de formación digital organizados por el Ländliches Fortbildungsinstitut (LFI), </w:t>
      </w:r>
      <w:r>
        <w:rPr>
          <w:i/>
          <w:noProof/>
          <w:sz w:val="20"/>
          <w:lang w:val="es-ES_tradnl"/>
        </w:rPr>
        <w:t xml:space="preserve">que pertenece a la Cámara de agricultura austriaca, han beneficiado a 10 000 agricultores. Los cursos en línea evitaron innumerables horas de desplazamientos a los centros educativos y el perjuicio ambiental que ello conlleva. El Feader cofinancia 196 000 </w:t>
      </w:r>
      <w:r>
        <w:rPr>
          <w:i/>
          <w:noProof/>
          <w:sz w:val="20"/>
          <w:lang w:val="es-ES_tradnl"/>
        </w:rPr>
        <w:t>EUR del coste total del proyecto que asciende a 245 000 EUR.</w:t>
      </w:r>
    </w:p>
    <w:p w:rsidR="003861AB" w:rsidRDefault="00924D5F">
      <w:pPr>
        <w:pStyle w:val="Heading3"/>
        <w:rPr>
          <w:noProof/>
        </w:rPr>
      </w:pPr>
      <w:r>
        <w:rPr>
          <w:noProof/>
        </w:rPr>
        <w:t xml:space="preserve">Economía digital </w:t>
      </w:r>
    </w:p>
    <w:p w:rsidR="003861AB" w:rsidRDefault="00924D5F">
      <w:pPr>
        <w:spacing w:before="120" w:after="120"/>
        <w:rPr>
          <w:noProof/>
          <w:lang w:val="es-ES_tradnl"/>
        </w:rPr>
      </w:pPr>
      <w:r>
        <w:rPr>
          <w:noProof/>
          <w:lang w:val="es-ES_tradnl"/>
        </w:rPr>
        <w:t>Se calcula que, a finales de 2017, se habían asignado 9 800 millones EUR a proyectos relacionados con</w:t>
      </w:r>
      <w:r>
        <w:rPr>
          <w:b/>
          <w:noProof/>
          <w:lang w:val="es-ES_tradnl"/>
        </w:rPr>
        <w:t xml:space="preserve"> temas de economía digital</w:t>
      </w:r>
      <w:r>
        <w:rPr>
          <w:noProof/>
          <w:lang w:val="es-ES_tradnl"/>
        </w:rPr>
        <w:t xml:space="preserve"> (el 48 % del total previsto). La selección de pro</w:t>
      </w:r>
      <w:r>
        <w:rPr>
          <w:noProof/>
          <w:lang w:val="es-ES_tradnl"/>
        </w:rPr>
        <w:t>yectos muestra una mejora importante en 2017. El gasto —el 5 % del total previsto— sigue a la zaga de la media de la UE, lo cual tiene que ver con el lento comienzo de la ejecución en lo relativo a este tema.</w:t>
      </w:r>
    </w:p>
    <w:p w:rsidR="003861AB" w:rsidRDefault="00924D5F">
      <w:pPr>
        <w:spacing w:before="120" w:after="120"/>
        <w:rPr>
          <w:noProof/>
          <w:lang w:val="es-ES_tradnl"/>
        </w:rPr>
      </w:pPr>
      <w:r>
        <w:rPr>
          <w:noProof/>
          <w:lang w:val="es-ES_tradnl"/>
        </w:rPr>
        <w:t>La selección de proyectos para facilitar la mej</w:t>
      </w:r>
      <w:r>
        <w:rPr>
          <w:noProof/>
          <w:lang w:val="es-ES_tradnl"/>
        </w:rPr>
        <w:t>ora del acceso a la tecnología de banda ancha apoyados por el FEDER ha registrado un avance significativo y se espera que se beneficien 4,3 millones de hogares (el 30 % del objetivo), aunque únicamente 227 000 hogares tienen ya acceso gracias a los proyect</w:t>
      </w:r>
      <w:r>
        <w:rPr>
          <w:noProof/>
          <w:lang w:val="es-ES_tradnl"/>
        </w:rPr>
        <w:t xml:space="preserve">os ejecutados. Debido a la selección tardía y a los prolongados períodos de ejecución, la probabilidad de que se alcance el objetivo sólo será patente en una fase posterior del período de programación. En cuanto a la mejora de la aceptación de las TI y la </w:t>
      </w:r>
      <w:r>
        <w:rPr>
          <w:noProof/>
          <w:lang w:val="es-ES_tradnl"/>
        </w:rPr>
        <w:t xml:space="preserve">participación en el comercio electrónico, 16 000 empresas son ya destinatarias de proyectos seleccionados (el 19 % del objetivo). </w:t>
      </w:r>
    </w:p>
    <w:p w:rsidR="003861AB" w:rsidRDefault="00924D5F">
      <w:pPr>
        <w:spacing w:before="120" w:after="120"/>
        <w:rPr>
          <w:noProof/>
          <w:lang w:val="es-ES_tradnl"/>
        </w:rPr>
      </w:pPr>
      <w:r>
        <w:rPr>
          <w:noProof/>
          <w:lang w:val="es-ES_tradnl"/>
        </w:rPr>
        <w:t xml:space="preserve">La ayuda a cargo del Feader tiene por objeto mejorar el acceso a servicios e infraestructuras de TIC para dieciocho millones </w:t>
      </w:r>
      <w:r>
        <w:rPr>
          <w:noProof/>
          <w:lang w:val="es-ES_tradnl"/>
        </w:rPr>
        <w:t>de ciudadanos de zonas rurales. Esto se lleva a cabo a través de 4 400 proyectos de inversión. Hasta ahora, el 36 % de los fondos destinados a mejorar los servicios de TIC en las zonas rurales se han asignado a proyectos y 1 255 000 habitantes de dichas zo</w:t>
      </w:r>
      <w:r>
        <w:rPr>
          <w:noProof/>
          <w:lang w:val="es-ES_tradnl"/>
        </w:rPr>
        <w:t>nas (el 7 % del valor objetivo correspondiente) disfrutan ya de mejores servicios.</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El proyecto RO-NET proporciona banda ancha a personas en 783 de las 2 268 localidades de Rumanía identificadas como «zonas blancas» en las que no hay acceso a la red. El pro</w:t>
      </w:r>
      <w:r>
        <w:rPr>
          <w:i/>
          <w:noProof/>
          <w:sz w:val="20"/>
          <w:lang w:val="es-ES_tradnl"/>
        </w:rPr>
        <w:t>yecto está acercando la banda ancha a unas 400 000 personas, 8 500 negocios y 2 800 instituciones públicas. El coste total de inversión del proyecto asciende a 67 millones EUR, con una contribución del FEDER de 46 millones EUR.</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El Feader prestó apoyo a una</w:t>
      </w:r>
      <w:r>
        <w:rPr>
          <w:i/>
          <w:noProof/>
          <w:sz w:val="20"/>
          <w:lang w:val="es-ES_tradnl"/>
        </w:rPr>
        <w:t xml:space="preserve"> red de profesionales de servicios sociales y sanitarios en la región de Karelia del Sur (Finlandia) para crear un sistema de información destinado a gestionar los riesgos en el hogar en las zonas rurales. El proyecto ha sido un éxito gracias a una combina</w:t>
      </w:r>
      <w:r>
        <w:rPr>
          <w:i/>
          <w:noProof/>
          <w:sz w:val="20"/>
          <w:lang w:val="es-ES_tradnl"/>
        </w:rPr>
        <w:t>ción de componentes sociales y digitales. La ayuda del Feader ascendió a 122 000 EUR de un presupuesto total de 290 000 EUR.</w:t>
      </w:r>
    </w:p>
    <w:p w:rsidR="003861AB" w:rsidRDefault="00924D5F">
      <w:pPr>
        <w:pStyle w:val="Heading3"/>
        <w:rPr>
          <w:noProof/>
          <w:lang w:val="es-ES_tradnl"/>
        </w:rPr>
      </w:pPr>
      <w:bookmarkStart w:id="8" w:name="_Toc463018888"/>
      <w:r>
        <w:rPr>
          <w:noProof/>
          <w:lang w:val="es-ES_tradnl"/>
        </w:rPr>
        <w:t>Mejora de la competitividad de las pymes</w:t>
      </w:r>
    </w:p>
    <w:p w:rsidR="003861AB" w:rsidRDefault="00924D5F">
      <w:pPr>
        <w:spacing w:before="120" w:after="120"/>
        <w:rPr>
          <w:noProof/>
          <w:lang w:val="es-ES_tradnl"/>
        </w:rPr>
      </w:pPr>
      <w:r>
        <w:rPr>
          <w:b/>
          <w:noProof/>
          <w:lang w:val="es-ES_tradnl"/>
        </w:rPr>
        <w:t xml:space="preserve">La competitividad de las pymes </w:t>
      </w:r>
      <w:bookmarkEnd w:id="8"/>
      <w:r>
        <w:rPr>
          <w:noProof/>
          <w:lang w:val="es-ES_tradnl"/>
        </w:rPr>
        <w:t>es una prioridad en los programas del FEDER, el Feader y el</w:t>
      </w:r>
      <w:r>
        <w:rPr>
          <w:noProof/>
          <w:lang w:val="es-ES_tradnl"/>
        </w:rPr>
        <w:t xml:space="preserve"> FEMP. La ayuda de la UE asignada a proyectos específicos a finales de 2017 ascendía a 53 000 millones EUR (un 55% del total previsto). Con un gasto de más de 17 000 millones EUR, que representa el 18 % del total previsto, el progreso en el rendimiento de </w:t>
      </w:r>
      <w:r>
        <w:rPr>
          <w:noProof/>
          <w:lang w:val="es-ES_tradnl"/>
        </w:rPr>
        <w:t>las inversiones está por encima de la media.</w:t>
      </w:r>
    </w:p>
    <w:p w:rsidR="003861AB" w:rsidRDefault="00924D5F">
      <w:pPr>
        <w:spacing w:before="120" w:after="120"/>
        <w:rPr>
          <w:noProof/>
        </w:rPr>
      </w:pPr>
      <w:r>
        <w:rPr>
          <w:noProof/>
          <w:lang w:val="es-ES_tradnl"/>
        </w:rPr>
        <w:t>El FEDER apoya una amplia gama de medidas orientadas a las necesidades específicas de las pymes. Entre los principales objetivos se encuentran la creación de empleo, la ayuda a las empresas emergentes, el aument</w:t>
      </w:r>
      <w:r>
        <w:rPr>
          <w:noProof/>
          <w:lang w:val="es-ES_tradnl"/>
        </w:rPr>
        <w:t xml:space="preserve">o de la productividad, la ayuda a la internacionalización y al aumento del comercio, así como facilitar el acceso a la financiación. </w:t>
      </w:r>
      <w:r>
        <w:rPr>
          <w:noProof/>
        </w:rPr>
        <w:t>La financiación concedida hasta ahora beneficiará a:</w:t>
      </w:r>
    </w:p>
    <w:p w:rsidR="003861AB" w:rsidRDefault="00924D5F">
      <w:pPr>
        <w:pStyle w:val="ListParagraph"/>
        <w:numPr>
          <w:ilvl w:val="0"/>
          <w:numId w:val="32"/>
        </w:numPr>
        <w:spacing w:before="120" w:after="120"/>
        <w:contextualSpacing w:val="0"/>
        <w:rPr>
          <w:noProof/>
          <w:lang w:val="es-ES_tradnl"/>
        </w:rPr>
      </w:pPr>
      <w:r>
        <w:rPr>
          <w:noProof/>
          <w:lang w:val="es-ES_tradnl"/>
        </w:rPr>
        <w:t>427 000 pymes (el 52 % del objetivo): ya se ha completado la ayuda a 1</w:t>
      </w:r>
      <w:r>
        <w:rPr>
          <w:noProof/>
          <w:lang w:val="es-ES_tradnl"/>
        </w:rPr>
        <w:t xml:space="preserve">27 000 pymes; </w:t>
      </w:r>
    </w:p>
    <w:p w:rsidR="003861AB" w:rsidRDefault="00924D5F">
      <w:pPr>
        <w:pStyle w:val="ListParagraph"/>
        <w:numPr>
          <w:ilvl w:val="0"/>
          <w:numId w:val="32"/>
        </w:numPr>
        <w:spacing w:before="120" w:after="120"/>
        <w:contextualSpacing w:val="0"/>
        <w:rPr>
          <w:noProof/>
          <w:lang w:val="es-ES_tradnl"/>
        </w:rPr>
      </w:pPr>
      <w:r>
        <w:rPr>
          <w:noProof/>
          <w:lang w:val="es-ES_tradnl"/>
        </w:rPr>
        <w:t xml:space="preserve">280 000 puestos de trabajo que se espera que se creen directamente en las empresas destinatarias (el 67 % del objetivo): ya se han creado 42 000 empleos; </w:t>
      </w:r>
    </w:p>
    <w:p w:rsidR="003861AB" w:rsidRDefault="00924D5F">
      <w:pPr>
        <w:pStyle w:val="ListParagraph"/>
        <w:numPr>
          <w:ilvl w:val="0"/>
          <w:numId w:val="32"/>
        </w:numPr>
        <w:spacing w:before="120" w:after="120"/>
        <w:contextualSpacing w:val="0"/>
        <w:rPr>
          <w:noProof/>
          <w:lang w:val="es-ES_tradnl"/>
        </w:rPr>
      </w:pPr>
      <w:r>
        <w:rPr>
          <w:noProof/>
          <w:lang w:val="es-ES_tradnl"/>
        </w:rPr>
        <w:t>la creación de empresas emergentes: los proyectos seleccionados han tenido como objeti</w:t>
      </w:r>
      <w:r>
        <w:rPr>
          <w:noProof/>
          <w:lang w:val="es-ES_tradnl"/>
        </w:rPr>
        <w:t>vo 74 000 empresas emergentes (el 46 % del objetivo); la ayuda a 19 400 de ellas ya ha concluido.</w:t>
      </w:r>
    </w:p>
    <w:p w:rsidR="003861AB" w:rsidRDefault="00924D5F">
      <w:pPr>
        <w:spacing w:before="120" w:after="120"/>
        <w:rPr>
          <w:noProof/>
        </w:rPr>
      </w:pPr>
      <w:r>
        <w:rPr>
          <w:noProof/>
          <w:lang w:val="es-ES_tradnl"/>
        </w:rPr>
        <w:t>El Feader apoya soluciones destinadas a fomentar el emprendimiento y el empleo en las empresas agrícolas y rurales y a mejorar su viabilidad económica y su re</w:t>
      </w:r>
      <w:r>
        <w:rPr>
          <w:noProof/>
          <w:lang w:val="es-ES_tradnl"/>
        </w:rPr>
        <w:t xml:space="preserve">siliencia. </w:t>
      </w:r>
      <w:r>
        <w:rPr>
          <w:noProof/>
        </w:rPr>
        <w:t>Antes de finales de 2017,</w:t>
      </w:r>
    </w:p>
    <w:p w:rsidR="003861AB" w:rsidRDefault="00924D5F">
      <w:pPr>
        <w:numPr>
          <w:ilvl w:val="0"/>
          <w:numId w:val="31"/>
        </w:numPr>
        <w:spacing w:before="120" w:after="120"/>
        <w:rPr>
          <w:noProof/>
          <w:lang w:val="es-ES_tradnl"/>
        </w:rPr>
      </w:pPr>
      <w:r>
        <w:rPr>
          <w:noProof/>
          <w:lang w:val="es-ES_tradnl"/>
        </w:rPr>
        <w:t xml:space="preserve">más de 112 000 explotaciones agrícolas habían recibido ayuda a la inversión para facilitar su restructuración y modernización y lograr un aumento de la productividad (el 25 % del objetivo) y se había comprometido más </w:t>
      </w:r>
      <w:r>
        <w:rPr>
          <w:noProof/>
          <w:lang w:val="es-ES_tradnl"/>
        </w:rPr>
        <w:t>del 49 % del presupuesto asignado a ayuda a empresas emergentes y a la inversión en actividades no agrícolas en las zonas rurales;</w:t>
      </w:r>
    </w:p>
    <w:p w:rsidR="003861AB" w:rsidRDefault="00924D5F">
      <w:pPr>
        <w:numPr>
          <w:ilvl w:val="0"/>
          <w:numId w:val="31"/>
        </w:numPr>
        <w:spacing w:before="120" w:after="120"/>
        <w:rPr>
          <w:noProof/>
          <w:lang w:val="es-ES_tradnl"/>
        </w:rPr>
      </w:pPr>
      <w:r>
        <w:rPr>
          <w:noProof/>
          <w:lang w:val="es-ES_tradnl"/>
        </w:rPr>
        <w:t>51 000 jóvenes agricultores que aportan una energía renovada y tienen el potencial para aprovechar todos los beneficios de la</w:t>
      </w:r>
      <w:r>
        <w:rPr>
          <w:noProof/>
          <w:lang w:val="es-ES_tradnl"/>
        </w:rPr>
        <w:t xml:space="preserve"> tecnología en términos de una productividad y una sostenibilidad mayores recibieron ayuda para establecerse;</w:t>
      </w:r>
    </w:p>
    <w:p w:rsidR="003861AB" w:rsidRDefault="00924D5F">
      <w:pPr>
        <w:numPr>
          <w:ilvl w:val="0"/>
          <w:numId w:val="31"/>
        </w:numPr>
        <w:spacing w:before="120" w:after="120"/>
        <w:rPr>
          <w:noProof/>
          <w:lang w:val="es-ES_tradnl"/>
        </w:rPr>
      </w:pPr>
      <w:r>
        <w:rPr>
          <w:noProof/>
          <w:lang w:val="es-ES_tradnl"/>
        </w:rPr>
        <w:t>125 200 explotaciones agrícolas recibieron asistencia en forma de herramientas de gestión de riesgos para reducir la incertidumbre sobre el futuro</w:t>
      </w:r>
      <w:r>
        <w:rPr>
          <w:noProof/>
          <w:lang w:val="es-ES_tradnl"/>
        </w:rPr>
        <w:t xml:space="preserve"> que puede comprometer la competitividad de los agricultores;</w:t>
      </w:r>
    </w:p>
    <w:p w:rsidR="003861AB" w:rsidRDefault="00924D5F">
      <w:pPr>
        <w:numPr>
          <w:ilvl w:val="0"/>
          <w:numId w:val="31"/>
        </w:numPr>
        <w:spacing w:before="120" w:after="120"/>
        <w:rPr>
          <w:noProof/>
          <w:lang w:val="es-ES_tradnl"/>
        </w:rPr>
      </w:pPr>
      <w:r>
        <w:rPr>
          <w:noProof/>
          <w:lang w:val="es-ES_tradnl"/>
        </w:rPr>
        <w:t>57 200 explotaciones agrícolas recibieron ayudas para participar en regímenes de calidad.</w:t>
      </w:r>
    </w:p>
    <w:p w:rsidR="003861AB" w:rsidRDefault="00924D5F">
      <w:pPr>
        <w:spacing w:before="120" w:after="120"/>
        <w:rPr>
          <w:noProof/>
          <w:lang w:val="es-ES_tradnl"/>
        </w:rPr>
      </w:pPr>
      <w:r>
        <w:rPr>
          <w:noProof/>
          <w:lang w:val="es-ES_tradnl"/>
        </w:rPr>
        <w:t>En el marco del FEMP, el 62 % de los proyectos seleccionados hasta finales de 2017 se centraron en el de</w:t>
      </w:r>
      <w:r>
        <w:rPr>
          <w:noProof/>
          <w:lang w:val="es-ES_tradnl"/>
        </w:rPr>
        <w:t>sarrollo de las pymes.</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Croacia ofrece a las pymes locales acceso vital a la financiación con instrumentos financieros respaldados por el FEDER. Se espera que la ayuda de la UE, de 280 millones EUR, complementada con la contribución pública y privada nacion</w:t>
      </w:r>
      <w:r>
        <w:rPr>
          <w:i/>
          <w:noProof/>
          <w:sz w:val="20"/>
          <w:lang w:val="es-ES_tradnl"/>
        </w:rPr>
        <w:t>al incentive la inversión de más de 1 000 millones EUR por parte de las empresas. Más de 1 200 pymes han recibido ya ayuda por valor de unos 150 millones EUR.</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En Estonia, un joven agricultor utilizó la financiación del Feader para renovar su establo instal</w:t>
      </w:r>
      <w:r>
        <w:rPr>
          <w:i/>
          <w:noProof/>
          <w:sz w:val="20"/>
          <w:lang w:val="es-ES_tradnl"/>
        </w:rPr>
        <w:t>ando un nuevo sistema de alimentación y más puestos de ordeño, además de un sistema más eficaz de transformación del estiércol con el fin de adaptarse a las crecientes necesidades de producción. Como resultado de la inversión, los beneficios de la explotac</w:t>
      </w:r>
      <w:r>
        <w:rPr>
          <w:i/>
          <w:noProof/>
          <w:sz w:val="20"/>
          <w:lang w:val="es-ES_tradnl"/>
        </w:rPr>
        <w:t>ión ya se han duplicado, y han mejorado notablemente el bienestar de los animales y las condiciones de trabajo. La financiación del Feader ascendió a 184 000 EUR de un presupuesto total de 600 000 EUR.</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En los Países Bajos, el FEMP prestó apoyo a la primera</w:t>
      </w:r>
      <w:r>
        <w:rPr>
          <w:i/>
          <w:noProof/>
          <w:sz w:val="20"/>
          <w:lang w:val="es-ES_tradnl"/>
        </w:rPr>
        <w:t xml:space="preserve"> explotación acuícola del país dedicada a la cría del rodaballo que ha conseguido producir larvas de rodaballo a partir de su propia población reproductora a escala semicomercial. El siguiente paso es la producción de copépodos, rotíferos y algas para crea</w:t>
      </w:r>
      <w:r>
        <w:rPr>
          <w:i/>
          <w:noProof/>
          <w:sz w:val="20"/>
          <w:lang w:val="es-ES_tradnl"/>
        </w:rPr>
        <w:t>r piensos para los peces en la propia explotación, proporcionando la máxima calidad y rentabilidad con un ciclo de producción sostenible y trazable.</w:t>
      </w:r>
    </w:p>
    <w:p w:rsidR="003861AB" w:rsidRDefault="00924D5F">
      <w:pPr>
        <w:pStyle w:val="Heading2"/>
        <w:rPr>
          <w:noProof/>
          <w:lang w:val="es-ES_tradnl"/>
        </w:rPr>
      </w:pPr>
      <w:bookmarkStart w:id="9" w:name="_Toc463018889"/>
      <w:r>
        <w:rPr>
          <w:noProof/>
          <w:lang w:val="es-ES_tradnl"/>
        </w:rPr>
        <w:t>Economía hipocarbónica, cambio climático, medio ambiente y redes de transporte y energía</w:t>
      </w:r>
      <w:bookmarkEnd w:id="9"/>
    </w:p>
    <w:p w:rsidR="003861AB" w:rsidRDefault="00924D5F">
      <w:pPr>
        <w:tabs>
          <w:tab w:val="left" w:pos="1276"/>
        </w:tabs>
        <w:spacing w:before="120" w:after="120"/>
        <w:rPr>
          <w:b/>
          <w:noProof/>
          <w:sz w:val="20"/>
          <w:lang w:val="es-ES_tradnl"/>
        </w:rPr>
      </w:pPr>
      <w:r>
        <w:rPr>
          <w:noProof/>
          <w:lang w:val="es-ES_tradnl"/>
        </w:rPr>
        <w:t>Los Fondos EIE inv</w:t>
      </w:r>
      <w:r>
        <w:rPr>
          <w:noProof/>
          <w:lang w:val="es-ES_tradnl"/>
        </w:rPr>
        <w:t>ierten más de 264 000 millones EUR en ámbitos que abordan el desarrollo sostenible. A finales de 2017, ya se habían asignado a proyectos específicos más de 142 000 millones EUR, cifra que representa aproximadamente el 54 % del importe total de todos los fo</w:t>
      </w:r>
      <w:r>
        <w:rPr>
          <w:noProof/>
          <w:lang w:val="es-ES_tradnl"/>
        </w:rPr>
        <w:t>ndos (FEDER, FC, Feader y FEMP)</w:t>
      </w:r>
      <w:r>
        <w:rPr>
          <w:rStyle w:val="FootnoteReference"/>
          <w:noProof/>
        </w:rPr>
        <w:footnoteReference w:id="8"/>
      </w:r>
      <w:r>
        <w:rPr>
          <w:noProof/>
          <w:lang w:val="es-ES_tradnl"/>
        </w:rPr>
        <w:t xml:space="preserve">. Se notificó un gasto estimado de 50 000 millones EUR, que representa una media del 19 %, con importantes variaciones por objetivo temático. </w:t>
      </w:r>
      <w:r>
        <w:rPr>
          <w:noProof/>
          <w:lang w:val="es-ES_tradnl"/>
        </w:rPr>
        <w:br w:type="page"/>
      </w:r>
    </w:p>
    <w:p w:rsidR="003861AB" w:rsidRDefault="00924D5F">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lang w:val="es-ES_tradnl"/>
        </w:rPr>
      </w:pPr>
      <w:r>
        <w:rPr>
          <w:b/>
          <w:noProof/>
          <w:sz w:val="20"/>
          <w:lang w:val="es-ES_tradnl"/>
        </w:rPr>
        <w:t>Recuadro 1: Integración de la acción por el clima en los Fondos EIE</w:t>
      </w:r>
    </w:p>
    <w:p w:rsidR="003861AB" w:rsidRDefault="00924D5F">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lang w:val="es-ES_tradnl"/>
        </w:rPr>
      </w:pPr>
      <w:r>
        <w:rPr>
          <w:noProof/>
          <w:sz w:val="20"/>
          <w:lang w:val="es-ES_tradnl"/>
        </w:rPr>
        <w:t xml:space="preserve">Durante el </w:t>
      </w:r>
      <w:r>
        <w:rPr>
          <w:noProof/>
          <w:sz w:val="20"/>
          <w:lang w:val="es-ES_tradnl"/>
        </w:rPr>
        <w:t>período 2014-2020, está previsto que el 25 % de los Fondos EIE se emplee en proyectos con objetivos relacionados con la acción por el clima. Esto supone una contribución considerable a la aspiración de dedicar al menos el 20 % del presupuesto de la UE a es</w:t>
      </w:r>
      <w:r>
        <w:rPr>
          <w:noProof/>
          <w:sz w:val="20"/>
          <w:lang w:val="es-ES_tradnl"/>
        </w:rPr>
        <w:t>tos objetivos. En cada fondo se aplica una metodología específica para el cálculo del apoyo al cambio climático</w:t>
      </w:r>
      <w:r>
        <w:rPr>
          <w:noProof/>
          <w:sz w:val="20"/>
          <w:vertAlign w:val="superscript"/>
        </w:rPr>
        <w:footnoteReference w:id="9"/>
      </w:r>
      <w:r>
        <w:rPr>
          <w:noProof/>
          <w:sz w:val="20"/>
          <w:lang w:val="es-ES_tradnl"/>
        </w:rPr>
        <w:t>. Las metodologías identifican categorías concretas de apoyo que contribuyen a la acción por el clima y les otorgan una ponderación del 0 %, del</w:t>
      </w:r>
      <w:r>
        <w:rPr>
          <w:noProof/>
          <w:sz w:val="20"/>
          <w:lang w:val="es-ES_tradnl"/>
        </w:rPr>
        <w:t xml:space="preserve"> 40 % o del 100 %. Todos los Fondos EIE contribuyen de manera positiva a la acción por el clima en diferentes grados, siendo el FEDER y el Feader los que realizan la máxima contribución en términos absolutos.</w:t>
      </w:r>
    </w:p>
    <w:p w:rsidR="003861AB" w:rsidRDefault="00924D5F">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lang w:val="es-ES_tradnl"/>
        </w:rPr>
      </w:pPr>
      <w:r>
        <w:rPr>
          <w:noProof/>
          <w:sz w:val="20"/>
          <w:lang w:val="es-ES_tradnl"/>
        </w:rPr>
        <w:t>Los importes programados y asignados a proyecto</w:t>
      </w:r>
      <w:r>
        <w:rPr>
          <w:noProof/>
          <w:sz w:val="20"/>
          <w:lang w:val="es-ES_tradnl"/>
        </w:rPr>
        <w:t>s de acción por el clima se detallan en el anexo 3. Las cantidades asignadas a los objetivos del cambio climático aumentaron significativamente durante 2017, a medida que se aceleraba la ejecución de programas. En el marco del FEDER y del Fondo de Cohesión</w:t>
      </w:r>
      <w:r>
        <w:rPr>
          <w:noProof/>
          <w:sz w:val="20"/>
          <w:lang w:val="es-ES_tradnl"/>
        </w:rPr>
        <w:t>, estos importes se duplicaron durante el último año; sin embargo, el porcentaje de las cantidades totales asignadas a proyectos que les corresponde sigue estando ligeramente por debajo del volumen previsto. El FSE está superando la asignación prevista par</w:t>
      </w:r>
      <w:r>
        <w:rPr>
          <w:noProof/>
          <w:sz w:val="20"/>
          <w:lang w:val="es-ES_tradnl"/>
        </w:rPr>
        <w:t>a los objetivos climáticos.</w:t>
      </w:r>
    </w:p>
    <w:p w:rsidR="003861AB" w:rsidRDefault="00924D5F">
      <w:pPr>
        <w:pStyle w:val="Heading3"/>
        <w:rPr>
          <w:noProof/>
        </w:rPr>
      </w:pPr>
      <w:r>
        <w:rPr>
          <w:noProof/>
        </w:rPr>
        <w:t>Economía hipocarbónica</w:t>
      </w:r>
    </w:p>
    <w:p w:rsidR="003861AB" w:rsidRDefault="00924D5F">
      <w:pPr>
        <w:tabs>
          <w:tab w:val="left" w:pos="1276"/>
        </w:tabs>
        <w:spacing w:before="120" w:after="120"/>
        <w:rPr>
          <w:noProof/>
          <w:lang w:val="es-ES_tradnl"/>
        </w:rPr>
      </w:pPr>
      <w:r>
        <w:rPr>
          <w:noProof/>
          <w:lang w:val="es-ES_tradnl"/>
        </w:rPr>
        <w:t xml:space="preserve">En relación con las </w:t>
      </w:r>
      <w:r>
        <w:rPr>
          <w:b/>
          <w:noProof/>
          <w:lang w:val="es-ES_tradnl"/>
        </w:rPr>
        <w:t>prioridades de la economía hipocarbónica</w:t>
      </w:r>
      <w:r>
        <w:rPr>
          <w:noProof/>
          <w:lang w:val="es-ES_tradnl"/>
        </w:rPr>
        <w:t>, se han asignado 28 000 millones EUR (el 45 % de la inversión prevista) con un gasto de 4 600 millones EUR (el 7 %). Aunque el porcentaje de sel</w:t>
      </w:r>
      <w:r>
        <w:rPr>
          <w:noProof/>
          <w:lang w:val="es-ES_tradnl"/>
        </w:rPr>
        <w:t>ección ha mejorado y se acerca ahora a la media, el reducido gasto refleja la lentitud inicial en el porcentaje de proyectos aprobados y los retos de ampliar la actividad de inversión en algunos temas específicos de inversión como la eficiencia energética.</w:t>
      </w:r>
      <w:r>
        <w:rPr>
          <w:noProof/>
          <w:lang w:val="es-ES_tradnl"/>
        </w:rPr>
        <w:t xml:space="preserve"> </w:t>
      </w:r>
    </w:p>
    <w:p w:rsidR="003861AB" w:rsidRDefault="00924D5F">
      <w:pPr>
        <w:tabs>
          <w:tab w:val="left" w:pos="1276"/>
        </w:tabs>
        <w:spacing w:before="120" w:after="120"/>
        <w:rPr>
          <w:noProof/>
          <w:lang w:val="es-ES_tradnl"/>
        </w:rPr>
      </w:pPr>
      <w:r>
        <w:rPr>
          <w:noProof/>
          <w:lang w:val="es-ES_tradnl"/>
        </w:rPr>
        <w:t xml:space="preserve">Los logros que se esperan del esfuerzo inversor en energía y bajas emisiones de carbono muestran unas previsiones mejoradas de los proyectos seleccionados: </w:t>
      </w:r>
    </w:p>
    <w:p w:rsidR="003861AB" w:rsidRDefault="00924D5F">
      <w:pPr>
        <w:numPr>
          <w:ilvl w:val="0"/>
          <w:numId w:val="31"/>
        </w:numPr>
        <w:spacing w:before="120" w:after="120"/>
        <w:rPr>
          <w:noProof/>
          <w:lang w:val="es-ES_tradnl"/>
        </w:rPr>
      </w:pPr>
      <w:r>
        <w:rPr>
          <w:noProof/>
          <w:lang w:val="es-ES_tradnl"/>
        </w:rPr>
        <w:t>en relación con la energía renovable, el objetivo de los proyectos seleccionados a finales de 201</w:t>
      </w:r>
      <w:r>
        <w:rPr>
          <w:noProof/>
          <w:lang w:val="es-ES_tradnl"/>
        </w:rPr>
        <w:t>7 es la instalación de 6 300 megavatios de capacidad (el 80 % del objetivo), de los que hasta el momento se han instalado 590 MW;</w:t>
      </w:r>
    </w:p>
    <w:p w:rsidR="003861AB" w:rsidRDefault="00924D5F">
      <w:pPr>
        <w:numPr>
          <w:ilvl w:val="0"/>
          <w:numId w:val="31"/>
        </w:numPr>
        <w:spacing w:before="120" w:after="120"/>
        <w:rPr>
          <w:noProof/>
          <w:lang w:val="es-ES_tradnl"/>
        </w:rPr>
      </w:pPr>
      <w:r>
        <w:rPr>
          <w:noProof/>
          <w:lang w:val="es-ES_tradnl"/>
        </w:rPr>
        <w:t>se han seleccionado proyectos para renovar 330 000 hogares mejorando su rendimiento energético (el 39 % del objetivo); hasta f</w:t>
      </w:r>
      <w:r>
        <w:rPr>
          <w:noProof/>
          <w:lang w:val="es-ES_tradnl"/>
        </w:rPr>
        <w:t xml:space="preserve">inales de 2017 se han realizado 84 000 renovaciones; </w:t>
      </w:r>
    </w:p>
    <w:p w:rsidR="003861AB" w:rsidRDefault="00924D5F">
      <w:pPr>
        <w:numPr>
          <w:ilvl w:val="0"/>
          <w:numId w:val="31"/>
        </w:numPr>
        <w:spacing w:before="120" w:after="120"/>
        <w:rPr>
          <w:noProof/>
          <w:lang w:val="es-ES_tradnl"/>
        </w:rPr>
      </w:pPr>
      <w:r>
        <w:rPr>
          <w:noProof/>
          <w:lang w:val="es-ES_tradnl"/>
        </w:rPr>
        <w:t xml:space="preserve">en cuanto al objetivo de ahorro energía en los edificios públicos, está previsto que los proyectos seleccionados ahorren más de tres teravatios/hora de energía (el 59 % del objetivo). </w:t>
      </w:r>
    </w:p>
    <w:p w:rsidR="003861AB" w:rsidRDefault="00924D5F">
      <w:pPr>
        <w:tabs>
          <w:tab w:val="left" w:pos="1276"/>
        </w:tabs>
        <w:spacing w:before="120" w:after="120"/>
        <w:rPr>
          <w:noProof/>
          <w:lang w:val="es-ES_tradnl"/>
        </w:rPr>
      </w:pPr>
      <w:r>
        <w:rPr>
          <w:noProof/>
          <w:lang w:val="es-ES_tradnl"/>
        </w:rPr>
        <w:t>El apoyo en virtu</w:t>
      </w:r>
      <w:r>
        <w:rPr>
          <w:noProof/>
          <w:lang w:val="es-ES_tradnl"/>
        </w:rPr>
        <w:t>d del Feader incluye medidas de inversión y medidas de gestión de la tierra, así como transferencia de conocimientos y asesoramiento. A finales de 2017, se había completado el 75 % de las acciones destinadas a la retención y conservación de carbono en terr</w:t>
      </w:r>
      <w:r>
        <w:rPr>
          <w:noProof/>
          <w:lang w:val="es-ES_tradnl"/>
        </w:rPr>
        <w:t>enos agrícolas y forestales, lo que representa un nivel de consecución del 73 % del correspondiente objetivo. Además, se aprobaron el 16,6 % de los proyectos en el ámbito de la energía renovable.</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 xml:space="preserve">La modernización del sistema de transmisión de gas en la </w:t>
      </w:r>
      <w:r>
        <w:rPr>
          <w:i/>
          <w:noProof/>
          <w:sz w:val="20"/>
          <w:lang w:val="es-ES_tradnl"/>
        </w:rPr>
        <w:t>región polaca de Baja Silesia se llevó a cabo con la construcción de dos nuevos gasoductos de una longitud total de 59 km y una estación de compresión de gas. La zona que abarcan las inversiones alberga a tres millones de personas que ya se benefician de u</w:t>
      </w:r>
      <w:r>
        <w:rPr>
          <w:i/>
          <w:noProof/>
          <w:sz w:val="20"/>
          <w:lang w:val="es-ES_tradnl"/>
        </w:rPr>
        <w:t>n suministro de energía seguro, sostenible, competitivo y asequible. En la construcción de los gasoductos y la estación de compresión de gas se han invertido más de 20 millones EUR, de los cuales más de 9 millones procedían del FEDER.</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es-ES_tradnl"/>
        </w:rPr>
      </w:pPr>
      <w:r>
        <w:rPr>
          <w:i/>
          <w:noProof/>
          <w:sz w:val="20"/>
          <w:lang w:val="es-ES_tradnl"/>
        </w:rPr>
        <w:t>Con la ayuda proporci</w:t>
      </w:r>
      <w:r>
        <w:rPr>
          <w:i/>
          <w:noProof/>
          <w:sz w:val="20"/>
          <w:lang w:val="es-ES_tradnl"/>
        </w:rPr>
        <w:t>onada por el Feader, una explotación lechera de Valonia, Bélgica, instaló una planta de biogás de 33 kW, que genera energía renovable a partir de estiércol. El principal logro es el uso de energía ecológica para la electricidad de la explotación, principal</w:t>
      </w:r>
      <w:r>
        <w:rPr>
          <w:i/>
          <w:noProof/>
          <w:sz w:val="20"/>
          <w:lang w:val="es-ES_tradnl"/>
        </w:rPr>
        <w:t>mente durante el proceso de ordeño, que está totalmente automatizado y consume mucha energía. El coste total de la inversión fue de 222 000 EUR, de los cuales 16 000 se financiaron con cargo al Feader.</w:t>
      </w:r>
    </w:p>
    <w:p w:rsidR="003861AB" w:rsidRDefault="00924D5F">
      <w:pPr>
        <w:pStyle w:val="Heading3"/>
        <w:rPr>
          <w:noProof/>
          <w:lang w:val="es-ES_tradnl"/>
        </w:rPr>
      </w:pPr>
      <w:r>
        <w:rPr>
          <w:noProof/>
          <w:lang w:val="es-ES_tradnl"/>
        </w:rPr>
        <w:t>Adaptación al cambio climático y prevención de riesgos</w:t>
      </w:r>
    </w:p>
    <w:p w:rsidR="003861AB" w:rsidRDefault="00924D5F">
      <w:pPr>
        <w:tabs>
          <w:tab w:val="left" w:pos="1276"/>
        </w:tabs>
        <w:spacing w:before="120" w:after="120"/>
        <w:rPr>
          <w:noProof/>
          <w:lang w:val="es-ES_tradnl"/>
        </w:rPr>
      </w:pPr>
      <w:r>
        <w:rPr>
          <w:noProof/>
          <w:lang w:val="es-ES_tradnl"/>
        </w:rPr>
        <w:t xml:space="preserve">En relación con la </w:t>
      </w:r>
      <w:r>
        <w:rPr>
          <w:b/>
          <w:noProof/>
          <w:lang w:val="es-ES_tradnl"/>
        </w:rPr>
        <w:t>adaptación al cambio climático y la prevención de riesgos</w:t>
      </w:r>
      <w:r>
        <w:rPr>
          <w:noProof/>
          <w:lang w:val="es-ES_tradnl"/>
        </w:rPr>
        <w:t xml:space="preserve">, se seleccionaron proyectos con un volumen total de 24 000 millones EUR (el 58 % del total previsto) con un gasto de unos 14 000 millones EUR (el 33 %). </w:t>
      </w:r>
    </w:p>
    <w:p w:rsidR="003861AB" w:rsidRDefault="00924D5F">
      <w:pPr>
        <w:tabs>
          <w:tab w:val="left" w:pos="1276"/>
        </w:tabs>
        <w:spacing w:before="120" w:after="120"/>
        <w:rPr>
          <w:noProof/>
        </w:rPr>
      </w:pPr>
      <w:r>
        <w:rPr>
          <w:noProof/>
          <w:lang w:val="es-ES_tradnl"/>
        </w:rPr>
        <w:t xml:space="preserve">Dos indicadores comunes </w:t>
      </w:r>
      <w:r>
        <w:rPr>
          <w:noProof/>
          <w:lang w:val="es-ES_tradnl"/>
        </w:rPr>
        <w:t xml:space="preserve">del FEDER en concreto buscan captar el progreso en las inversiones para reducir los riesgos relacionados con el clima a través de medidas de adaptación. </w:t>
      </w:r>
      <w:r>
        <w:rPr>
          <w:noProof/>
        </w:rPr>
        <w:t xml:space="preserve">Antes de finales de 2017, </w:t>
      </w:r>
    </w:p>
    <w:p w:rsidR="003861AB" w:rsidRDefault="00924D5F">
      <w:pPr>
        <w:numPr>
          <w:ilvl w:val="0"/>
          <w:numId w:val="31"/>
        </w:numPr>
        <w:spacing w:before="120" w:after="120"/>
        <w:rPr>
          <w:noProof/>
          <w:lang w:val="es-ES_tradnl"/>
        </w:rPr>
      </w:pPr>
      <w:r>
        <w:rPr>
          <w:noProof/>
          <w:lang w:val="es-ES_tradnl"/>
        </w:rPr>
        <w:t>17,5 millones de personas se beneficiarán de medidas seleccionadas de protec</w:t>
      </w:r>
      <w:r>
        <w:rPr>
          <w:noProof/>
          <w:lang w:val="es-ES_tradnl"/>
        </w:rPr>
        <w:t xml:space="preserve">ción contra las inundaciones; </w:t>
      </w:r>
    </w:p>
    <w:p w:rsidR="003861AB" w:rsidRDefault="00924D5F">
      <w:pPr>
        <w:numPr>
          <w:ilvl w:val="0"/>
          <w:numId w:val="31"/>
        </w:numPr>
        <w:spacing w:before="120" w:after="120"/>
        <w:rPr>
          <w:noProof/>
          <w:lang w:val="es-ES_tradnl"/>
        </w:rPr>
      </w:pPr>
      <w:r>
        <w:rPr>
          <w:noProof/>
          <w:lang w:val="es-ES_tradnl"/>
        </w:rPr>
        <w:t xml:space="preserve">19 millones de personas se beneficiarán de medidas seleccionadas de protección contra los incendios forestales; </w:t>
      </w:r>
    </w:p>
    <w:p w:rsidR="003861AB" w:rsidRDefault="00924D5F">
      <w:pPr>
        <w:tabs>
          <w:tab w:val="left" w:pos="1276"/>
        </w:tabs>
        <w:spacing w:before="120" w:after="120"/>
        <w:rPr>
          <w:noProof/>
          <w:highlight w:val="yellow"/>
          <w:lang w:val="es-ES_tradnl"/>
        </w:rPr>
      </w:pPr>
      <w:r>
        <w:rPr>
          <w:noProof/>
          <w:lang w:val="es-ES_tradnl"/>
        </w:rPr>
        <w:t>Ambas cifras superan los objetivos fijados</w:t>
      </w:r>
      <w:r>
        <w:rPr>
          <w:rStyle w:val="FootnoteReference"/>
          <w:noProof/>
        </w:rPr>
        <w:footnoteReference w:id="10"/>
      </w:r>
      <w:r>
        <w:rPr>
          <w:noProof/>
          <w:lang w:val="es-ES_tradnl"/>
        </w:rPr>
        <w:t>, lo cual muestra un claro avance en las acciones destinadas a aborda</w:t>
      </w:r>
      <w:r>
        <w:rPr>
          <w:noProof/>
          <w:lang w:val="es-ES_tradnl"/>
        </w:rPr>
        <w:t>r los riesgos relacionados con el cambio climático.</w:t>
      </w:r>
    </w:p>
    <w:p w:rsidR="003861AB" w:rsidRDefault="00924D5F">
      <w:pPr>
        <w:tabs>
          <w:tab w:val="left" w:pos="1276"/>
        </w:tabs>
        <w:spacing w:before="120" w:after="120"/>
        <w:rPr>
          <w:noProof/>
          <w:lang w:val="es-ES_tradnl"/>
        </w:rPr>
      </w:pPr>
      <w:r>
        <w:rPr>
          <w:noProof/>
          <w:lang w:val="es-ES_tradnl"/>
        </w:rPr>
        <w:t xml:space="preserve">En las zonas rurales, el Feader presta apoyo para la preservación y mejora de la biodiversidad, la mejora de la gestión del agua y del suelo y la reducción de las emisiones de gases de efecto invernadero </w:t>
      </w:r>
      <w:r>
        <w:rPr>
          <w:noProof/>
          <w:lang w:val="es-ES_tradnl"/>
        </w:rPr>
        <w:t>y amoniaco de la producción agrícola. Un mínimo del 30 % de cada programa de desarrollo rural está destinado a acciones que benefician al medio ambiente y a la mitigación del cambio climático y adaptación a este. Los importes reales que los Estados miembro</w:t>
      </w:r>
      <w:r>
        <w:rPr>
          <w:noProof/>
          <w:lang w:val="es-ES_tradnl"/>
        </w:rPr>
        <w:t>s han asignado a proyectos en este ámbito superan con creces este mínimo, con una media en la UE del 57,6 % asignado a medidas relacionadas con el medio ambiente y el clima.</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El Instituto Portugués del Mar y de la Atmósfera (IPMA) desarrolló e instaló un nu</w:t>
      </w:r>
      <w:r>
        <w:rPr>
          <w:i/>
          <w:noProof/>
          <w:sz w:val="20"/>
          <w:lang w:val="es-ES_tradnl"/>
        </w:rPr>
        <w:t>evo radar meteorológico en la Región Autónoma de Madeira. Dicho radar hará posible la vigilancia meteorológica así como la mejora y optimización de los actuales modelos meteorológicos, lo cual contribuirá a la creación de una plataforma sólida de datos par</w:t>
      </w:r>
      <w:r>
        <w:rPr>
          <w:i/>
          <w:noProof/>
          <w:sz w:val="20"/>
          <w:lang w:val="es-ES_tradnl"/>
        </w:rPr>
        <w:t>a uso técnico y científico, indispensable para la adaptación al cambio climático. La inversión total ascendió a 3,4 millones EUR, con una aportación del Fondo de Cohesión de 3,1 millones EUR.</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lang w:val="es-ES_tradnl"/>
        </w:rPr>
      </w:pPr>
      <w:r>
        <w:rPr>
          <w:i/>
          <w:noProof/>
          <w:sz w:val="20"/>
          <w:lang w:val="es-ES_tradnl"/>
        </w:rPr>
        <w:t xml:space="preserve">En Eslovaquia, la ayuda del Feader se destinó a la construcción </w:t>
      </w:r>
      <w:r>
        <w:rPr>
          <w:i/>
          <w:noProof/>
          <w:sz w:val="20"/>
          <w:lang w:val="es-ES_tradnl"/>
        </w:rPr>
        <w:t>de un embalse de agua que contribuirá a combatir los cada vez más frecuentes fenómenos meteorológicos extremos, como las fuertes lluvias y los incendios forestales debidos al cambio climático. Regular las pequeñas corrientes de agua contribuye a la biodive</w:t>
      </w:r>
      <w:r>
        <w:rPr>
          <w:i/>
          <w:noProof/>
          <w:sz w:val="20"/>
          <w:lang w:val="es-ES_tradnl"/>
        </w:rPr>
        <w:t>rsidad, a la retención de carbono y a la adaptación al cambio climático. El embalse contribuye a la gestión sostenible de los bosques ya que previene la erosión del suelo y retiene el agua en las zonas forestales. El presupuesto total del proyecto es de 53</w:t>
      </w:r>
      <w:r>
        <w:rPr>
          <w:i/>
          <w:noProof/>
          <w:sz w:val="20"/>
          <w:lang w:val="es-ES_tradnl"/>
        </w:rPr>
        <w:t>0 000 EUR, de los cuales 397 000 fueron aportados por el Feader.</w:t>
      </w:r>
      <w:r>
        <w:rPr>
          <w:b/>
          <w:noProof/>
          <w:sz w:val="20"/>
          <w:lang w:val="es-ES_tradnl"/>
        </w:rPr>
        <w:t xml:space="preserve"> </w:t>
      </w:r>
    </w:p>
    <w:p w:rsidR="003861AB" w:rsidRDefault="00924D5F">
      <w:pPr>
        <w:pStyle w:val="Heading3"/>
        <w:rPr>
          <w:noProof/>
          <w:lang w:val="es-ES_tradnl"/>
        </w:rPr>
      </w:pPr>
      <w:r>
        <w:rPr>
          <w:noProof/>
          <w:lang w:val="es-ES_tradnl"/>
        </w:rPr>
        <w:t>Medio ambiente y eficiencia en el uso de los recursos</w:t>
      </w:r>
    </w:p>
    <w:p w:rsidR="003861AB" w:rsidRDefault="00924D5F">
      <w:pPr>
        <w:spacing w:before="120" w:after="120"/>
        <w:rPr>
          <w:noProof/>
          <w:lang w:val="es-ES_tradnl"/>
        </w:rPr>
      </w:pPr>
      <w:r>
        <w:rPr>
          <w:noProof/>
          <w:lang w:val="es-ES_tradnl"/>
        </w:rPr>
        <w:t xml:space="preserve">En relación con las </w:t>
      </w:r>
      <w:r>
        <w:rPr>
          <w:b/>
          <w:noProof/>
          <w:lang w:val="es-ES_tradnl"/>
        </w:rPr>
        <w:t>prioridades en materia de medio ambiente y el uso eficiente de los recursos</w:t>
      </w:r>
      <w:r>
        <w:rPr>
          <w:noProof/>
          <w:lang w:val="es-ES_tradnl"/>
        </w:rPr>
        <w:t>, se han asignado 45 000 millones EUR (el</w:t>
      </w:r>
      <w:r>
        <w:rPr>
          <w:noProof/>
          <w:lang w:val="es-ES_tradnl"/>
        </w:rPr>
        <w:t xml:space="preserve"> 52 % del total previsto) con un gasto de unos 19 000 millones EUR (el 22 %).</w:t>
      </w:r>
    </w:p>
    <w:p w:rsidR="003861AB" w:rsidRDefault="00924D5F">
      <w:pPr>
        <w:spacing w:before="120" w:after="120"/>
        <w:rPr>
          <w:noProof/>
          <w:lang w:val="es-ES_tradnl"/>
        </w:rPr>
      </w:pPr>
      <w:r>
        <w:rPr>
          <w:noProof/>
          <w:lang w:val="es-ES_tradnl"/>
        </w:rPr>
        <w:t xml:space="preserve">Tras anteriores retrasos en la selección, finalmente se ha seleccionado para recibir apoyo una capacidad de reciclado de residuos de 1,8 millones de toneladas (el 34 % del </w:t>
      </w:r>
      <w:r>
        <w:rPr>
          <w:noProof/>
          <w:lang w:val="es-ES_tradnl"/>
        </w:rPr>
        <w:t>objetivo). Asimismo, hay avances positivos en la selección de proyectos para mejorar el tratamiento de las aguas residuales para 14,5 millones de personas (el 85 % del objetivo) y mejorar el suministro de agua para 7,3 millones de personas (el 58 % del obj</w:t>
      </w:r>
      <w:r>
        <w:rPr>
          <w:noProof/>
          <w:lang w:val="es-ES_tradnl"/>
        </w:rPr>
        <w:t>etivo).</w:t>
      </w:r>
    </w:p>
    <w:p w:rsidR="003861AB" w:rsidRDefault="00924D5F">
      <w:pPr>
        <w:spacing w:before="120" w:after="120"/>
        <w:rPr>
          <w:noProof/>
          <w:lang w:val="es-ES_tradnl"/>
        </w:rPr>
      </w:pPr>
      <w:r>
        <w:rPr>
          <w:noProof/>
          <w:lang w:val="es-ES_tradnl"/>
        </w:rPr>
        <w:t>El Feader ha respaldado proyectos destinados a mejorar la biodiversidad en 26 millones de hectáreas de terrenos agrícolas (el 87 % del objetivo). En conjunto, las intervenciones relacionadas con el clima y el medio ambiente abarcan el 40 % del tota</w:t>
      </w:r>
      <w:r>
        <w:rPr>
          <w:noProof/>
          <w:lang w:val="es-ES_tradnl"/>
        </w:rPr>
        <w:t>l de la superficie agrícola, incluidas las zonas con limitaciones naturales. Asimismo, está previsto que el 18 % de las tierras agrícolas quede sujeto a requisitos de gestión para la biodiversidad; un 15 % de las tierras agrícolas deben ser objeto de una m</w:t>
      </w:r>
      <w:r>
        <w:rPr>
          <w:noProof/>
          <w:lang w:val="es-ES_tradnl"/>
        </w:rPr>
        <w:t>ejor gestión del suelo y un 15 %, de una mejor gestión del agua. También se ha avanzado de manera significativa hacia el objetivo de cubrir el 3,3 % de la tierra cultivable con contratos de gestión destinados a reducir las emisiones de gases de efecto inve</w:t>
      </w:r>
      <w:r>
        <w:rPr>
          <w:noProof/>
          <w:lang w:val="es-ES_tradnl"/>
        </w:rPr>
        <w:t>rnadero y amoniaco; ya se ha cubierto casi el 2 %. De manera similar, se han hecho importantes avances en el objetivo de que las unidades de ganado sean objeto de inversiones que contribuyan a reducir las emisiones de gases de efecto invernadero y amoniaco</w:t>
      </w:r>
      <w:r>
        <w:rPr>
          <w:noProof/>
          <w:lang w:val="es-ES_tradnl"/>
        </w:rPr>
        <w:t>, con un porcentaje de realización del 33 %.</w:t>
      </w:r>
    </w:p>
    <w:p w:rsidR="003861AB" w:rsidRDefault="00924D5F">
      <w:pPr>
        <w:spacing w:before="120" w:after="120"/>
        <w:rPr>
          <w:noProof/>
          <w:lang w:val="es-ES_tradnl"/>
        </w:rPr>
      </w:pPr>
      <w:r>
        <w:rPr>
          <w:noProof/>
          <w:lang w:val="es-ES_tradnl"/>
        </w:rPr>
        <w:t>Alrededor del 24 % de todos los proyectos seleccionados para el apoyo del FEMP a finales de 2017 fomentan el uso eficiente de los recursos y la protección del medio ambiente. La mayoría de estos proyectos tienen</w:t>
      </w:r>
      <w:r>
        <w:rPr>
          <w:noProof/>
          <w:lang w:val="es-ES_tradnl"/>
        </w:rPr>
        <w:t xml:space="preserve"> como objetivo la protección y restauración de la biodiversidad marina mediante un aumento sustancial del control físico de los desembarques y la reducción del volumen de las capturas no deseadas, contribuyendo así a la puesta en práctica de la política pe</w:t>
      </w:r>
      <w:r>
        <w:rPr>
          <w:noProof/>
          <w:lang w:val="es-ES_tradnl"/>
        </w:rPr>
        <w:t>squera común.</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 xml:space="preserve">Bulgaria ha establecido su primer instrumento financiero respaldado por la política de cohesión para el sector del agua y las aguas residuales. Con la financiación, dieciséis empresas de abastecimiento de agua regionales podrán modernizar su </w:t>
      </w:r>
      <w:r>
        <w:rPr>
          <w:i/>
          <w:noProof/>
          <w:sz w:val="20"/>
          <w:lang w:val="es-ES_tradnl"/>
        </w:rPr>
        <w:t>suministro de agua y sus instalaciones de tratamiento de agua y de aguas residuales. Se espera que este plan incentive una inversión para ofrecer servicios de calidad a los ciudadanos de hasta 230 millones EUR , de los cuales 115 millones proceden del Fond</w:t>
      </w:r>
      <w:r>
        <w:rPr>
          <w:i/>
          <w:noProof/>
          <w:sz w:val="20"/>
          <w:lang w:val="es-ES_tradnl"/>
        </w:rPr>
        <w:t>o de Cohesión.</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lang w:val="es-ES_tradnl"/>
        </w:rPr>
      </w:pPr>
      <w:r>
        <w:rPr>
          <w:i/>
          <w:noProof/>
          <w:sz w:val="20"/>
          <w:lang w:val="es-ES_tradnl"/>
        </w:rPr>
        <w:t>En Suecia, se han creado humedales en el paisaje agrícola como medio para reducir la escorrentía de nutrientes a las masas de agua. El proyecto contribuirá a aumentar la biodiversidad y, al controlar el flujo de agua, los humedales pueden ut</w:t>
      </w:r>
      <w:r>
        <w:rPr>
          <w:i/>
          <w:noProof/>
          <w:sz w:val="20"/>
          <w:lang w:val="es-ES_tradnl"/>
        </w:rPr>
        <w:t>ilizarse para almacenar agua para riego si es necesario. La ayuda del Feader ascendió a 26 000 EUR de un presupuesto total de 64 000 EUR.</w:t>
      </w:r>
    </w:p>
    <w:p w:rsidR="003861AB" w:rsidRDefault="00924D5F">
      <w:pPr>
        <w:pStyle w:val="Heading3"/>
        <w:rPr>
          <w:noProof/>
        </w:rPr>
      </w:pPr>
      <w:r>
        <w:rPr>
          <w:noProof/>
        </w:rPr>
        <w:t>Redes estratégicas</w:t>
      </w:r>
    </w:p>
    <w:p w:rsidR="003861AB" w:rsidRDefault="00924D5F">
      <w:pPr>
        <w:spacing w:before="120" w:after="120"/>
        <w:rPr>
          <w:noProof/>
          <w:lang w:val="es-ES_tradnl"/>
        </w:rPr>
      </w:pPr>
      <w:r>
        <w:rPr>
          <w:noProof/>
          <w:lang w:val="es-ES_tradnl"/>
        </w:rPr>
        <w:t xml:space="preserve">En relación con las inversiones en las </w:t>
      </w:r>
      <w:r>
        <w:rPr>
          <w:b/>
          <w:noProof/>
          <w:lang w:val="es-ES_tradnl"/>
        </w:rPr>
        <w:t>redes estratégicas</w:t>
      </w:r>
      <w:r>
        <w:rPr>
          <w:noProof/>
          <w:lang w:val="es-ES_tradnl"/>
        </w:rPr>
        <w:t xml:space="preserve">, se prevén importantes inversiones de la </w:t>
      </w:r>
      <w:r>
        <w:rPr>
          <w:noProof/>
          <w:lang w:val="es-ES_tradnl"/>
        </w:rPr>
        <w:t xml:space="preserve">RTE-T y otras inversiones en transporte en el marco del FEDER y del Fondo de Cohesión. La selección total de proyectos a finales de 2017 ascendía a 44 000 millones EUR (el 62 % del total previsto) con un gasto de 12 000 millones EUR (el 17 %). </w:t>
      </w:r>
    </w:p>
    <w:p w:rsidR="003861AB" w:rsidRDefault="00924D5F">
      <w:pPr>
        <w:spacing w:before="120" w:after="120"/>
        <w:rPr>
          <w:noProof/>
          <w:lang w:val="es-ES_tradnl"/>
        </w:rPr>
      </w:pPr>
      <w:r>
        <w:rPr>
          <w:noProof/>
          <w:lang w:val="es-ES_tradnl"/>
        </w:rPr>
        <w:t>Entre los i</w:t>
      </w:r>
      <w:r>
        <w:rPr>
          <w:noProof/>
          <w:lang w:val="es-ES_tradnl"/>
        </w:rPr>
        <w:t>ndicadores de transporte, se han notificado avances importantes en lo relativo a proyectos de ferrocarril y carretera seleccionados:</w:t>
      </w:r>
    </w:p>
    <w:p w:rsidR="003861AB" w:rsidRDefault="00924D5F">
      <w:pPr>
        <w:numPr>
          <w:ilvl w:val="0"/>
          <w:numId w:val="31"/>
        </w:numPr>
        <w:spacing w:before="120" w:after="120"/>
        <w:rPr>
          <w:noProof/>
          <w:lang w:val="es-ES_tradnl"/>
        </w:rPr>
      </w:pPr>
      <w:r>
        <w:rPr>
          <w:noProof/>
          <w:lang w:val="es-ES_tradnl"/>
        </w:rPr>
        <w:t>reconstrucción de 2 700 km de líneas de ferrocarril, entre ellas líneas de la RTE-T (el 45 % del objetivo); hasta el moment</w:t>
      </w:r>
      <w:r>
        <w:rPr>
          <w:noProof/>
          <w:lang w:val="es-ES_tradnl"/>
        </w:rPr>
        <w:t xml:space="preserve">o, los proyectos ejecutados cubren un modesto 5 % del objetivo. </w:t>
      </w:r>
    </w:p>
    <w:p w:rsidR="003861AB" w:rsidRDefault="00924D5F">
      <w:pPr>
        <w:numPr>
          <w:ilvl w:val="0"/>
          <w:numId w:val="31"/>
        </w:numPr>
        <w:spacing w:before="120" w:after="120"/>
        <w:rPr>
          <w:noProof/>
          <w:lang w:val="es-ES_tradnl"/>
        </w:rPr>
      </w:pPr>
      <w:r>
        <w:rPr>
          <w:noProof/>
          <w:lang w:val="es-ES_tradnl"/>
        </w:rPr>
        <w:t>reconstrucción de 7 500 km de carreteras (el 75 % de objetivo) de los cuales 690 km pertenecen a la RTE-T (el 90 % del objetivo). La ejecución de la reconstrucción de carreteras de la RTE-T a</w:t>
      </w:r>
      <w:r>
        <w:rPr>
          <w:noProof/>
          <w:lang w:val="es-ES_tradnl"/>
        </w:rPr>
        <w:t xml:space="preserve">lcanzó los 300 km (el 30 % del objetivo). </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En Grecia se completó la construcción de 106 kilómetros de líneas ferroviarias electrificadas de doble vía y alta velocidad entre Tithorea y Domokos, en el eje ferroviario Atenas-Salónica. Como resultado, los pasa</w:t>
      </w:r>
      <w:r>
        <w:rPr>
          <w:i/>
          <w:noProof/>
          <w:sz w:val="20"/>
          <w:lang w:val="es-ES_tradnl"/>
        </w:rPr>
        <w:t>jeros pueden viajar de Atenas a Salónica en 3,5 horas, lo que hace que la conexión ferroviaria sea competitiva. El FEDER, el Fondo de Cohesión y el Mecanismo «Conectar Europa» contribuyeron con casi 1 000 millones EUR.</w:t>
      </w:r>
    </w:p>
    <w:p w:rsidR="003861AB" w:rsidRDefault="00924D5F">
      <w:pPr>
        <w:pStyle w:val="Heading2"/>
        <w:rPr>
          <w:noProof/>
        </w:rPr>
      </w:pPr>
      <w:bookmarkStart w:id="10" w:name="_Toc463018883"/>
      <w:bookmarkStart w:id="11" w:name="_Toc463018893"/>
      <w:r>
        <w:rPr>
          <w:noProof/>
        </w:rPr>
        <w:t>Empleo, inclusión social y educación</w:t>
      </w:r>
    </w:p>
    <w:p w:rsidR="003861AB" w:rsidRDefault="00924D5F">
      <w:pPr>
        <w:spacing w:before="120" w:after="120"/>
        <w:rPr>
          <w:noProof/>
          <w:lang w:val="es-ES_tradnl"/>
        </w:rPr>
      </w:pPr>
      <w:r>
        <w:rPr>
          <w:noProof/>
          <w:lang w:val="es-ES_tradnl"/>
        </w:rPr>
        <w:t>Se prevén más de 172 000 millones EUR de ayuda en este ámbito, en particular del FSE, pero el FEDER, el Feader y el FEMP también invierten. A finales de 2017, se seleccionaron proyectos por un importe estimado de 85 000 millones EUR, lo que representa casi</w:t>
      </w:r>
      <w:r>
        <w:rPr>
          <w:noProof/>
          <w:lang w:val="es-ES_tradnl"/>
        </w:rPr>
        <w:t xml:space="preserve"> el 50 % de la asignación total prevista. El gasto general ascendió a casi 23 000 millones EUR, es decir, el 13 % del total previsto.</w:t>
      </w:r>
    </w:p>
    <w:p w:rsidR="003861AB" w:rsidRDefault="00924D5F">
      <w:pPr>
        <w:spacing w:before="120" w:after="120"/>
        <w:rPr>
          <w:noProof/>
          <w:lang w:val="es-ES_tradnl"/>
        </w:rPr>
      </w:pPr>
      <w:r>
        <w:rPr>
          <w:noProof/>
          <w:lang w:val="es-ES_tradnl"/>
        </w:rPr>
        <w:t>En términos globales, los programas del FSE y del IEJ ya han producido los siguientes resultados:</w:t>
      </w:r>
    </w:p>
    <w:p w:rsidR="003861AB" w:rsidRDefault="00924D5F">
      <w:pPr>
        <w:numPr>
          <w:ilvl w:val="0"/>
          <w:numId w:val="31"/>
        </w:numPr>
        <w:spacing w:before="120" w:after="120"/>
        <w:rPr>
          <w:noProof/>
          <w:lang w:val="es-ES_tradnl"/>
        </w:rPr>
      </w:pPr>
      <w:r>
        <w:rPr>
          <w:noProof/>
          <w:lang w:val="es-ES_tradnl"/>
        </w:rPr>
        <w:t xml:space="preserve">han recibido </w:t>
      </w:r>
      <w:r>
        <w:rPr>
          <w:noProof/>
          <w:lang w:val="es-ES_tradnl"/>
        </w:rPr>
        <w:t>ayuda15,3 millones de participantes; entre ellos, 7,9 millones de desempleados y 4,9 millones de personas inactivas;</w:t>
      </w:r>
    </w:p>
    <w:p w:rsidR="003861AB" w:rsidRDefault="00924D5F">
      <w:pPr>
        <w:numPr>
          <w:ilvl w:val="0"/>
          <w:numId w:val="31"/>
        </w:numPr>
        <w:spacing w:before="120" w:after="120"/>
        <w:rPr>
          <w:noProof/>
          <w:lang w:val="es-ES_tradnl"/>
        </w:rPr>
      </w:pPr>
      <w:r>
        <w:rPr>
          <w:noProof/>
          <w:lang w:val="es-ES_tradnl"/>
        </w:rPr>
        <w:t>han recibido apoyo 2,8 millones de participantes desempleados de larga duración;</w:t>
      </w:r>
    </w:p>
    <w:p w:rsidR="003861AB" w:rsidRDefault="00924D5F">
      <w:pPr>
        <w:numPr>
          <w:ilvl w:val="0"/>
          <w:numId w:val="31"/>
        </w:numPr>
        <w:spacing w:before="120" w:after="120"/>
        <w:rPr>
          <w:noProof/>
          <w:lang w:val="es-ES_tradnl"/>
        </w:rPr>
      </w:pPr>
      <w:r>
        <w:rPr>
          <w:noProof/>
          <w:lang w:val="es-ES_tradnl"/>
        </w:rPr>
        <w:t>entre todos los participantes, 1,4 millones han encontrado</w:t>
      </w:r>
      <w:r>
        <w:rPr>
          <w:noProof/>
          <w:lang w:val="es-ES_tradnl"/>
        </w:rPr>
        <w:t xml:space="preserve"> empleo, 1,9 millones han obtenido un título y 870 000 participantes han recibido educación o formación gracias al apoyo del FSE o del IEJ.</w:t>
      </w:r>
    </w:p>
    <w:p w:rsidR="003861AB" w:rsidRDefault="00924D5F">
      <w:pPr>
        <w:spacing w:before="120" w:after="120"/>
        <w:rPr>
          <w:noProof/>
          <w:lang w:val="es-ES_tradnl"/>
        </w:rPr>
      </w:pPr>
      <w:r>
        <w:rPr>
          <w:noProof/>
          <w:lang w:val="es-ES_tradnl"/>
        </w:rPr>
        <w:t>Entre estos participantes, las personas poco cualificadas ascendían al 46 %. El 16 % de ellos eran migrantes, de ori</w:t>
      </w:r>
      <w:r>
        <w:rPr>
          <w:noProof/>
          <w:lang w:val="es-ES_tradnl"/>
        </w:rPr>
        <w:t>gen extranjero o pertenecientes a minorías (incluidas comunidades marginadas, como la población romaní).</w:t>
      </w:r>
    </w:p>
    <w:p w:rsidR="003861AB" w:rsidRDefault="00924D5F">
      <w:pPr>
        <w:spacing w:before="120" w:after="120"/>
        <w:rPr>
          <w:noProof/>
          <w:lang w:val="es-ES_tradnl"/>
        </w:rPr>
      </w:pPr>
      <w:r>
        <w:rPr>
          <w:noProof/>
          <w:lang w:val="es-ES_tradnl"/>
        </w:rPr>
        <w:t>El hecho de que el número de participantes del FSE y del IEJ se haya duplicado desde finales de 2016 indica claramente una fuerte aceleración de la eje</w:t>
      </w:r>
      <w:r>
        <w:rPr>
          <w:noProof/>
          <w:lang w:val="es-ES_tradnl"/>
        </w:rPr>
        <w:t>cución de los proyectos sobre el terreno.</w:t>
      </w:r>
    </w:p>
    <w:p w:rsidR="003861AB" w:rsidRDefault="00924D5F">
      <w:pPr>
        <w:pStyle w:val="Heading3"/>
        <w:rPr>
          <w:noProof/>
        </w:rPr>
      </w:pPr>
      <w:r>
        <w:rPr>
          <w:noProof/>
        </w:rPr>
        <w:t>Empleo</w:t>
      </w:r>
    </w:p>
    <w:p w:rsidR="003861AB" w:rsidRDefault="00924D5F">
      <w:pPr>
        <w:spacing w:before="120" w:after="120"/>
        <w:rPr>
          <w:noProof/>
          <w:lang w:val="es-ES_tradnl"/>
        </w:rPr>
      </w:pPr>
      <w:r>
        <w:rPr>
          <w:noProof/>
          <w:lang w:val="es-ES_tradnl"/>
        </w:rPr>
        <w:t xml:space="preserve">Se calcula que, hasta finales de 2017, se habían asignado 30 000 millones EUR a proyectos relacionados con el empleo sostenible y de calidad, fundamentalmente a cargo del FSE y del IEJ, lo que representa el </w:t>
      </w:r>
      <w:r>
        <w:rPr>
          <w:noProof/>
          <w:lang w:val="es-ES_tradnl"/>
        </w:rPr>
        <w:t xml:space="preserve">51 % de los 60 000 millones EUR previstos. A finales de 2017 en el marco del objetivo de empleo: </w:t>
      </w:r>
    </w:p>
    <w:p w:rsidR="003861AB" w:rsidRDefault="00924D5F">
      <w:pPr>
        <w:numPr>
          <w:ilvl w:val="0"/>
          <w:numId w:val="31"/>
        </w:numPr>
        <w:spacing w:before="120" w:after="120"/>
        <w:rPr>
          <w:noProof/>
          <w:lang w:val="es-ES_tradnl"/>
        </w:rPr>
      </w:pPr>
      <w:r>
        <w:rPr>
          <w:noProof/>
          <w:lang w:val="es-ES_tradnl"/>
        </w:rPr>
        <w:t>se había prestado apoyo a 7,4 millones de participantes;</w:t>
      </w:r>
    </w:p>
    <w:p w:rsidR="003861AB" w:rsidRDefault="00924D5F">
      <w:pPr>
        <w:numPr>
          <w:ilvl w:val="0"/>
          <w:numId w:val="31"/>
        </w:numPr>
        <w:spacing w:before="120" w:after="120"/>
        <w:rPr>
          <w:noProof/>
          <w:lang w:val="es-ES_tradnl"/>
        </w:rPr>
      </w:pPr>
      <w:r>
        <w:rPr>
          <w:noProof/>
          <w:lang w:val="es-ES_tradnl"/>
        </w:rPr>
        <w:t>722 000 participantes habían obtenido una cualificación;</w:t>
      </w:r>
    </w:p>
    <w:p w:rsidR="003861AB" w:rsidRDefault="00924D5F">
      <w:pPr>
        <w:numPr>
          <w:ilvl w:val="0"/>
          <w:numId w:val="31"/>
        </w:numPr>
        <w:spacing w:before="120" w:after="120"/>
        <w:rPr>
          <w:noProof/>
          <w:lang w:val="es-ES_tradnl"/>
        </w:rPr>
      </w:pPr>
      <w:r>
        <w:rPr>
          <w:noProof/>
          <w:lang w:val="es-ES_tradnl"/>
        </w:rPr>
        <w:t>1,1 millón de participantes habían encontrad</w:t>
      </w:r>
      <w:r>
        <w:rPr>
          <w:noProof/>
          <w:lang w:val="es-ES_tradnl"/>
        </w:rPr>
        <w:t>o empleo, incluido empleo por cuenta propia.</w:t>
      </w:r>
    </w:p>
    <w:p w:rsidR="003861AB" w:rsidRDefault="00924D5F">
      <w:pPr>
        <w:spacing w:before="120" w:after="120"/>
        <w:rPr>
          <w:noProof/>
          <w:lang w:val="es-ES_tradnl"/>
        </w:rPr>
      </w:pPr>
      <w:r>
        <w:rPr>
          <w:noProof/>
          <w:lang w:val="es-ES_tradnl"/>
        </w:rPr>
        <w:t>Las inversiones en este ámbito están logrando buenos resultados, con la excepción de las inversiones relacionadas con la modernización de las instituciones del mercado laboral, para las que el porcentaje de sele</w:t>
      </w:r>
      <w:r>
        <w:rPr>
          <w:noProof/>
          <w:lang w:val="es-ES_tradnl"/>
        </w:rPr>
        <w:t>cción de proyectos estaba todavía por debajo del 20 % a finales de 2017.</w:t>
      </w:r>
    </w:p>
    <w:p w:rsidR="003861AB" w:rsidRDefault="00924D5F">
      <w:pPr>
        <w:spacing w:before="120" w:after="120"/>
        <w:rPr>
          <w:rFonts w:eastAsiaTheme="minorHAnsi"/>
          <w:noProof/>
          <w:szCs w:val="24"/>
          <w:lang w:val="es-ES_tradnl"/>
        </w:rPr>
      </w:pPr>
      <w:r>
        <w:rPr>
          <w:noProof/>
          <w:lang w:val="es-ES_tradnl"/>
        </w:rPr>
        <w:t xml:space="preserve">También a finales de 2017, se gastaron más de 246 millones EUR a cargo del Feader para abordar el empleo en la agricultura y en las zonas rurales, para promover la inclusión social y </w:t>
      </w:r>
      <w:r>
        <w:rPr>
          <w:noProof/>
          <w:lang w:val="es-ES_tradnl"/>
        </w:rPr>
        <w:t>para fomentar el aprendizaje permanente y la formación profesional en la agricultura y la silvicultura.</w:t>
      </w:r>
    </w:p>
    <w:p w:rsidR="003861AB" w:rsidRDefault="00924D5F">
      <w:pPr>
        <w:spacing w:before="120" w:after="120"/>
        <w:rPr>
          <w:noProof/>
          <w:lang w:val="es-ES_tradnl"/>
        </w:rPr>
      </w:pPr>
      <w:r>
        <w:rPr>
          <w:noProof/>
          <w:lang w:val="es-ES_tradnl"/>
        </w:rPr>
        <w:t>Alrededor del 11 % de todos los proyectos seleccionados para apoyo del FEMP a finales de 2017 fomentan el empleo sostenible y de calidad y apoyan la mov</w:t>
      </w:r>
      <w:r>
        <w:rPr>
          <w:noProof/>
          <w:lang w:val="es-ES_tradnl"/>
        </w:rPr>
        <w:t>ilidad laboral. La mayor parte de dichos proyectos tienen como fin promover el capital humano, el diálogo social y la creación de redes.</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En Luxemburgo, el proyecto "Fit4Entrepreneurship", financiado por el FSE, está dirigido a 200 demandantes de empleo que</w:t>
      </w:r>
      <w:r>
        <w:rPr>
          <w:i/>
          <w:noProof/>
          <w:sz w:val="20"/>
          <w:lang w:val="es-ES_tradnl"/>
        </w:rPr>
        <w:t xml:space="preserve"> desean crear su propia empresa. Gestionado por la «Chambre de Commerce», el servicio público de empleo y la «Chambre des Métiers», incluye un diagnóstico de las habilidades empresariales, un programa de formación, apoyo individual por parte de empresarios</w:t>
      </w:r>
      <w:r>
        <w:rPr>
          <w:i/>
          <w:noProof/>
          <w:sz w:val="20"/>
          <w:lang w:val="es-ES_tradnl"/>
        </w:rPr>
        <w:t xml:space="preserve"> y asistencia tras la creación de la empresa.</w:t>
      </w:r>
    </w:p>
    <w:p w:rsidR="003861AB" w:rsidRDefault="00924D5F">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es-ES_tradnl"/>
        </w:rPr>
      </w:pPr>
      <w:r>
        <w:rPr>
          <w:i/>
          <w:noProof/>
          <w:sz w:val="20"/>
          <w:lang w:val="es-ES_tradnl"/>
        </w:rPr>
        <w:t xml:space="preserve">Con el fin de mantener la actividad tradicional del pastoreo extensivo de ganado vacuno y ovino, la Junta de Andalucía (España) creó un programa piloto de formación sobre pastoreo. El proyecto proporcionó </w:t>
      </w:r>
      <w:r>
        <w:rPr>
          <w:i/>
          <w:noProof/>
          <w:sz w:val="20"/>
          <w:lang w:val="es-ES_tradnl"/>
        </w:rPr>
        <w:t>formación a 100 alumnos, preparando su andadura profesional en la actividad del pastoreo. Tras la formación, el 60 % de los participantes encontró un empleo en la actividad ganadera. El Feader contribuyó con 34 000 EUR al coste total del proyecto, de 38 00</w:t>
      </w:r>
      <w:r>
        <w:rPr>
          <w:i/>
          <w:noProof/>
          <w:sz w:val="20"/>
          <w:lang w:val="es-ES_tradnl"/>
        </w:rPr>
        <w:t>0 EUR.</w:t>
      </w:r>
    </w:p>
    <w:p w:rsidR="003861AB" w:rsidRDefault="003861AB">
      <w:pPr>
        <w:spacing w:after="0"/>
        <w:rPr>
          <w:noProof/>
          <w:lang w:val="es-ES_tradnl"/>
        </w:rPr>
      </w:pPr>
    </w:p>
    <w:p w:rsidR="003861AB" w:rsidRDefault="00924D5F">
      <w:pPr>
        <w:spacing w:after="200" w:line="276" w:lineRule="auto"/>
        <w:jc w:val="left"/>
        <w:rPr>
          <w:b/>
          <w:noProof/>
          <w:sz w:val="20"/>
          <w:lang w:val="es-ES_tradnl"/>
        </w:rPr>
      </w:pPr>
      <w:r>
        <w:rPr>
          <w:noProof/>
          <w:lang w:val="es-ES_tradnl"/>
        </w:rPr>
        <w:br w:type="page"/>
      </w:r>
    </w:p>
    <w:p w:rsidR="003861AB" w:rsidRDefault="00924D5F">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lang w:val="es-ES_tradnl"/>
        </w:rPr>
      </w:pPr>
      <w:r>
        <w:rPr>
          <w:b/>
          <w:noProof/>
          <w:sz w:val="20"/>
          <w:lang w:val="es-ES_tradnl"/>
        </w:rPr>
        <w:t>Recuadro 2: Iniciativa de Empleo Juvenil (IEJ)</w:t>
      </w:r>
    </w:p>
    <w:p w:rsidR="003861AB" w:rsidRDefault="00924D5F">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es-ES_tradnl"/>
        </w:rPr>
      </w:pPr>
      <w:r>
        <w:rPr>
          <w:noProof/>
          <w:sz w:val="20"/>
          <w:lang w:val="es-ES_tradnl"/>
        </w:rPr>
        <w:t>La IEJ ha seguido proporcionando un importante apoyo financiero a los jóvenes en los Estados miembros que pueden optar a él. Se calcula que, a finales de 2017, se habían asignado 7 000 millones EUR a</w:t>
      </w:r>
      <w:r>
        <w:rPr>
          <w:noProof/>
          <w:sz w:val="20"/>
          <w:lang w:val="es-ES_tradnl"/>
        </w:rPr>
        <w:t xml:space="preserve"> 162 000 proyectos, lo que representa el 67 % de los 10 300 millones EUR previstos. El gasto declarado por los beneficiarios ascendió al 31 % (3 200 millones EUR) de la asignación total de la IEJ, lo que muestra una sólida ejecución sobre el terreno. Duran</w:t>
      </w:r>
      <w:r>
        <w:rPr>
          <w:noProof/>
          <w:sz w:val="20"/>
          <w:lang w:val="es-ES_tradnl"/>
        </w:rPr>
        <w:t>te este período, 2,4 millones de jóvenes recibieron el apoyo de la Iniciativa de Empleo Juvenil. Completaron la intervención de la IEJ 1,5 millones de participantes y 776 000 recibieron educación o formación, obtuvieron un título o encontraron empleo, incl</w:t>
      </w:r>
      <w:r>
        <w:rPr>
          <w:noProof/>
          <w:sz w:val="20"/>
          <w:lang w:val="es-ES_tradnl"/>
        </w:rPr>
        <w:t>usive empleo por cuenta propia.</w:t>
      </w:r>
    </w:p>
    <w:p w:rsidR="003861AB" w:rsidRDefault="00924D5F">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es-ES_tradnl"/>
        </w:rPr>
      </w:pPr>
      <w:r>
        <w:rPr>
          <w:noProof/>
          <w:sz w:val="20"/>
          <w:lang w:val="es-ES_tradnl"/>
        </w:rPr>
        <w:t>En 2017, en el contexto de la revisión intermedia del marco financiero plurianual (MFP), los colegisladores de la UE acordaron aumentar los recursos de la EIJ, cubriendo el resto del período de programación (2017-2020). La a</w:t>
      </w:r>
      <w:r>
        <w:rPr>
          <w:noProof/>
          <w:sz w:val="20"/>
          <w:lang w:val="es-ES_tradnl"/>
        </w:rPr>
        <w:t>signación específica de la IEJ se aumentó en 1 200 millones EUR, distribuidos a lo largo de cuatro años, para beneficiar a once Estados miembros que aún cumplen los requisitos para recibir ayuda. En consecuencia, a finales de 2017, los Estados miembros mod</w:t>
      </w:r>
      <w:r>
        <w:rPr>
          <w:noProof/>
          <w:sz w:val="20"/>
          <w:lang w:val="es-ES_tradnl"/>
        </w:rPr>
        <w:t xml:space="preserve">ificaron sus programas operativos y sus acuerdos de asociación para reflejar dicho aumento e igualar la ayuda del FSE. </w:t>
      </w:r>
    </w:p>
    <w:p w:rsidR="003861AB" w:rsidRDefault="00924D5F">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es-ES_tradnl"/>
        </w:rPr>
      </w:pPr>
      <w:r>
        <w:rPr>
          <w:noProof/>
          <w:sz w:val="20"/>
          <w:lang w:val="es-ES_tradnl"/>
        </w:rPr>
        <w:t>En el contexto del procedimiento presupuestario de 2018, los colegisladores acordaron en noviembre de 2018 que los nuevos recursos de la</w:t>
      </w:r>
      <w:r>
        <w:rPr>
          <w:noProof/>
          <w:sz w:val="20"/>
          <w:lang w:val="es-ES_tradnl"/>
        </w:rPr>
        <w:t xml:space="preserve"> IEJ estarían más concentrados al principio, aumentando los créditos comprometidos en 2018 y reduciendo los de 2020, con lo que la cantidad total para 2018 pasará de 116 millones EUR a 350 millones EUR. Los once Estados miembros en cuestión modificarán de </w:t>
      </w:r>
      <w:r>
        <w:rPr>
          <w:noProof/>
          <w:sz w:val="20"/>
          <w:lang w:val="es-ES_tradnl"/>
        </w:rPr>
        <w:t>nuevo sus documentos de programación como corresponda, con el fin de reflejar dicha concentración de recursos al principio del período.</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lang w:val="es-ES_tradnl"/>
        </w:rPr>
      </w:pPr>
      <w:r>
        <w:rPr>
          <w:noProof/>
          <w:sz w:val="20"/>
          <w:lang w:val="es-ES_tradnl"/>
        </w:rPr>
        <w:t>En Grecia, se están llevando a cabo programas sectoriales de formación en colaboración con asociaciones empresariales, para mejorar las capacidades y la empleabilidad de jóvenes desempleados de entre 18 y 24 años. Los programas, con hasta 15 000 plazas dis</w:t>
      </w:r>
      <w:r>
        <w:rPr>
          <w:noProof/>
          <w:sz w:val="20"/>
          <w:lang w:val="es-ES_tradnl"/>
        </w:rPr>
        <w:t>ponibles, están dirigidos a sectores con un gran potencial de crecimiento, entre ellos las TIC, el comercio de exportación, el comercio minorista y la logística. Comprenden 120 horas de formación teórica y 260 horas de formación práctica, cinco sesiones in</w:t>
      </w:r>
      <w:r>
        <w:rPr>
          <w:noProof/>
          <w:sz w:val="20"/>
          <w:lang w:val="es-ES_tradnl"/>
        </w:rPr>
        <w:t xml:space="preserve">dividuales de asesoramiento y la certificación de cualificación. Las asociaciones empresariales son las encargadas de seleccionar a los proveedores de formación teórica y de encontrar prácticas en empresas para completar la parte práctica. </w:t>
      </w:r>
    </w:p>
    <w:p w:rsidR="003861AB" w:rsidRDefault="00924D5F">
      <w:pPr>
        <w:pStyle w:val="Heading3"/>
        <w:rPr>
          <w:noProof/>
        </w:rPr>
      </w:pPr>
      <w:r>
        <w:rPr>
          <w:noProof/>
        </w:rPr>
        <w:t>Inclusión socia</w:t>
      </w:r>
      <w:r>
        <w:rPr>
          <w:noProof/>
        </w:rPr>
        <w:t>l</w:t>
      </w:r>
    </w:p>
    <w:p w:rsidR="003861AB" w:rsidRDefault="00924D5F">
      <w:pPr>
        <w:spacing w:before="120" w:after="120"/>
        <w:rPr>
          <w:noProof/>
        </w:rPr>
      </w:pPr>
      <w:r>
        <w:rPr>
          <w:noProof/>
          <w:lang w:val="es-ES_tradnl"/>
        </w:rPr>
        <w:t>Se calcula que, a finales de 2017, se habían asignado 30 000 millones EUR a proyectos que abordan la inclusión social, lo que representa el 46 % de los 63 700 millones EUR previstos, financiados principalmente por el FSE, con ayuda del FEDER para infraes</w:t>
      </w:r>
      <w:r>
        <w:rPr>
          <w:noProof/>
          <w:lang w:val="es-ES_tradnl"/>
        </w:rPr>
        <w:t xml:space="preserve">tructuras sanitarias y sociales. </w:t>
      </w:r>
      <w:r>
        <w:rPr>
          <w:noProof/>
        </w:rPr>
        <w:t>En el marco de este objetivo:</w:t>
      </w:r>
    </w:p>
    <w:p w:rsidR="003861AB" w:rsidRDefault="00924D5F">
      <w:pPr>
        <w:numPr>
          <w:ilvl w:val="0"/>
          <w:numId w:val="31"/>
        </w:numPr>
        <w:spacing w:before="120" w:after="120"/>
        <w:rPr>
          <w:noProof/>
          <w:lang w:val="es-ES_tradnl"/>
        </w:rPr>
      </w:pPr>
      <w:r>
        <w:rPr>
          <w:noProof/>
          <w:lang w:val="es-ES_tradnl"/>
        </w:rPr>
        <w:t>se ha prestado asistencia a 3,3 millones de participantes;</w:t>
      </w:r>
    </w:p>
    <w:p w:rsidR="003861AB" w:rsidRDefault="00924D5F">
      <w:pPr>
        <w:numPr>
          <w:ilvl w:val="0"/>
          <w:numId w:val="31"/>
        </w:numPr>
        <w:spacing w:before="120" w:after="120"/>
        <w:rPr>
          <w:noProof/>
          <w:lang w:val="es-ES_tradnl"/>
        </w:rPr>
      </w:pPr>
      <w:r>
        <w:rPr>
          <w:noProof/>
          <w:lang w:val="es-ES_tradnl"/>
        </w:rPr>
        <w:t>220 000 de participantes encontraron empleo, incluido el empleo por cuenta propia.</w:t>
      </w:r>
    </w:p>
    <w:p w:rsidR="003861AB" w:rsidRDefault="00924D5F">
      <w:pPr>
        <w:numPr>
          <w:ilvl w:val="0"/>
          <w:numId w:val="31"/>
        </w:numPr>
        <w:spacing w:before="120" w:after="120"/>
        <w:rPr>
          <w:noProof/>
          <w:lang w:val="es-ES_tradnl"/>
        </w:rPr>
      </w:pPr>
      <w:r>
        <w:rPr>
          <w:noProof/>
          <w:lang w:val="es-ES_tradnl"/>
        </w:rPr>
        <w:t>152 000 participantes han obtenido una cualificació</w:t>
      </w:r>
      <w:r>
        <w:rPr>
          <w:noProof/>
          <w:lang w:val="es-ES_tradnl"/>
        </w:rPr>
        <w:t>n;</w:t>
      </w:r>
    </w:p>
    <w:p w:rsidR="003861AB" w:rsidRDefault="00924D5F">
      <w:pPr>
        <w:numPr>
          <w:ilvl w:val="0"/>
          <w:numId w:val="31"/>
        </w:numPr>
        <w:spacing w:before="120" w:after="120"/>
        <w:rPr>
          <w:noProof/>
          <w:lang w:val="es-ES_tradnl"/>
        </w:rPr>
      </w:pPr>
      <w:r>
        <w:rPr>
          <w:noProof/>
          <w:lang w:val="es-ES_tradnl"/>
        </w:rPr>
        <w:t>164 000 participantes inactivos participaron en actividades de búsqueda de empleo;</w:t>
      </w:r>
    </w:p>
    <w:p w:rsidR="003861AB" w:rsidRDefault="00924D5F">
      <w:pPr>
        <w:numPr>
          <w:ilvl w:val="0"/>
          <w:numId w:val="31"/>
        </w:numPr>
        <w:spacing w:before="120" w:after="120"/>
        <w:rPr>
          <w:noProof/>
          <w:lang w:val="es-ES_tradnl"/>
        </w:rPr>
      </w:pPr>
      <w:r>
        <w:rPr>
          <w:noProof/>
          <w:lang w:val="es-ES_tradnl"/>
        </w:rPr>
        <w:t>Se espera que 42,5 millones de ciudadanos se beneficien ahora de la ayuda del FEDER asignada a la modernización de los sistemas sanitarios.</w:t>
      </w:r>
    </w:p>
    <w:p w:rsidR="003861AB" w:rsidRDefault="00924D5F">
      <w:pPr>
        <w:spacing w:before="120" w:after="120"/>
        <w:rPr>
          <w:noProof/>
          <w:lang w:val="es-ES_tradnl"/>
        </w:rPr>
      </w:pPr>
      <w:r>
        <w:rPr>
          <w:noProof/>
          <w:lang w:val="es-ES_tradnl"/>
        </w:rPr>
        <w:t xml:space="preserve">En 2017, habían aumentado las </w:t>
      </w:r>
      <w:r>
        <w:rPr>
          <w:noProof/>
          <w:lang w:val="es-ES_tradnl"/>
        </w:rPr>
        <w:t>inversiones en la integración socioeconómica de comunidades marginadas como la población romaní. No obstante, las inversiones en el ámbito del emprendimiento social y el desarrollo participativo siguen estando rezagadas.</w:t>
      </w:r>
    </w:p>
    <w:p w:rsidR="003861AB" w:rsidRDefault="00924D5F">
      <w:pPr>
        <w:spacing w:before="120" w:after="120"/>
        <w:rPr>
          <w:noProof/>
          <w:lang w:val="es-ES_tradnl"/>
        </w:rPr>
      </w:pPr>
      <w:r>
        <w:rPr>
          <w:noProof/>
          <w:lang w:val="es-ES_tradnl"/>
        </w:rPr>
        <w:t>En las zonas rurales, el Feader apo</w:t>
      </w:r>
      <w:r>
        <w:rPr>
          <w:noProof/>
          <w:lang w:val="es-ES_tradnl"/>
        </w:rPr>
        <w:t>ya estrategias de desarrollo local que promueven la inclusión social, reducen la pobreza y fomentan el desarrollo económico en el marco de la iniciativa LEADER. Hasta la fecha, el 58 % de las personas que viven en zonas rurales (que representan alrededor d</w:t>
      </w:r>
      <w:r>
        <w:rPr>
          <w:noProof/>
          <w:lang w:val="es-ES_tradnl"/>
        </w:rPr>
        <w:t>el 111 % del objetivo) están incluidas en más de 3 400 estrategias de desarrollo local ejecutadas por los Grupos de Acción Local (GAL) que se benefician del 18 % de los fondos públicos disponibles.</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lang w:val="es-ES_tradnl"/>
        </w:rPr>
        <w:t>El proyecto del FSE Escuela de Segunda Oportunidad, en Gij</w:t>
      </w:r>
      <w:r>
        <w:rPr>
          <w:i/>
          <w:noProof/>
          <w:sz w:val="20"/>
          <w:lang w:val="es-ES_tradnl"/>
        </w:rPr>
        <w:t>ón (España), ofrece a jóvenes vulnerables (con escasa formación, que abandonaron la escuela prematuramente, sin apoyo sociofamiliar, con problemas de salud, etc.) formación práctica personalizada centrada en las capacidades y aptitudes con el fin de ayudar</w:t>
      </w:r>
      <w:r>
        <w:rPr>
          <w:i/>
          <w:noProof/>
          <w:sz w:val="20"/>
          <w:lang w:val="es-ES_tradnl"/>
        </w:rPr>
        <w:t xml:space="preserve">les a reincorporarse o continuar en los estudios o a encontrar un empleo. </w:t>
      </w:r>
      <w:r>
        <w:rPr>
          <w:i/>
          <w:noProof/>
          <w:sz w:val="20"/>
        </w:rPr>
        <w:t>Entre 2009 y 2017 participaron 1 400 personas.</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lang w:val="es-ES_tradnl"/>
        </w:rPr>
      </w:pPr>
      <w:r>
        <w:rPr>
          <w:i/>
          <w:noProof/>
          <w:sz w:val="20"/>
          <w:lang w:val="es-ES_tradnl"/>
        </w:rPr>
        <w:t>En Luxemburgo, el proyecto «World city» apoyó la organización de actividades de verano para niños de edades comprendidas entre los siet</w:t>
      </w:r>
      <w:r>
        <w:rPr>
          <w:i/>
          <w:noProof/>
          <w:sz w:val="20"/>
          <w:lang w:val="es-ES_tradnl"/>
        </w:rPr>
        <w:t xml:space="preserve">e y los doce años que vivían en la zona de Miselerland. El enfoque temático fue la diversidad cultural, con la promoción de actitudes y valores compartidos conducentes a «vivir juntos». Alrededor de 300 niños de la región participaron diariamente, con una </w:t>
      </w:r>
      <w:r>
        <w:rPr>
          <w:i/>
          <w:noProof/>
          <w:sz w:val="20"/>
          <w:lang w:val="es-ES_tradnl"/>
        </w:rPr>
        <w:t>media de un 10 % de niños refugiados. El proyecto ha recibido financiación del Feader - LEADER por un importe de 223 000 EUR.</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 xml:space="preserve">Dos nuevos centros de servicios sociales y sanitarios en Molenbeek y Cureghem, Bruselas (Bélgica) (3,7 millones EUR de ayuda del </w:t>
      </w:r>
      <w:r>
        <w:rPr>
          <w:i/>
          <w:noProof/>
          <w:sz w:val="20"/>
          <w:lang w:val="es-ES_tradnl"/>
        </w:rPr>
        <w:t>FEDER) proporcionan servicios integrales de salud mental, de atención primaria de salud y sociales a la población local. Se presta especial atención a la accesibilidad de los grupos vulnerables, entre ellos los migrantes. Un equipo está desarrollando un pr</w:t>
      </w:r>
      <w:r>
        <w:rPr>
          <w:i/>
          <w:noProof/>
          <w:sz w:val="20"/>
          <w:lang w:val="es-ES_tradnl"/>
        </w:rPr>
        <w:t>ograma móvil de asistencia junto con «Medibus».</w:t>
      </w:r>
    </w:p>
    <w:p w:rsidR="003861AB" w:rsidRDefault="00924D5F">
      <w:pPr>
        <w:pStyle w:val="Heading3"/>
        <w:rPr>
          <w:noProof/>
        </w:rPr>
      </w:pPr>
      <w:r>
        <w:rPr>
          <w:noProof/>
        </w:rPr>
        <w:t>Educación</w:t>
      </w:r>
    </w:p>
    <w:p w:rsidR="003861AB" w:rsidRPr="00924D5F" w:rsidRDefault="00924D5F">
      <w:pPr>
        <w:spacing w:before="120" w:after="120"/>
        <w:rPr>
          <w:noProof/>
          <w:lang w:val="fr-BE"/>
        </w:rPr>
      </w:pPr>
      <w:r>
        <w:rPr>
          <w:noProof/>
          <w:lang w:val="es-ES_tradnl"/>
        </w:rPr>
        <w:t>Se calcula que, a finales de 2017, se habían asignado 25 000 millones EUR a proyectos relativos a la educación y a la formación profesional, lo que representa el 52 % de los 49 000 millones EUR prev</w:t>
      </w:r>
      <w:r>
        <w:rPr>
          <w:noProof/>
          <w:lang w:val="es-ES_tradnl"/>
        </w:rPr>
        <w:t xml:space="preserve">istos, financiados principalmente por programas del FSE, con ayuda del FEDER para infraestructuras de educación. El gasto ascendió a unos 6 000 millones EUR (el 13 % del total previsto). </w:t>
      </w:r>
      <w:r w:rsidRPr="00924D5F">
        <w:rPr>
          <w:noProof/>
          <w:lang w:val="fr-BE"/>
        </w:rPr>
        <w:t xml:space="preserve">En el marco de este objetivo: </w:t>
      </w:r>
    </w:p>
    <w:p w:rsidR="003861AB" w:rsidRDefault="00924D5F">
      <w:pPr>
        <w:numPr>
          <w:ilvl w:val="0"/>
          <w:numId w:val="31"/>
        </w:numPr>
        <w:spacing w:before="120" w:after="120"/>
        <w:rPr>
          <w:noProof/>
          <w:lang w:val="es-ES_tradnl"/>
        </w:rPr>
      </w:pPr>
      <w:r>
        <w:rPr>
          <w:noProof/>
          <w:lang w:val="es-ES_tradnl"/>
        </w:rPr>
        <w:t>se ha prestado asistencia a 4,5 millon</w:t>
      </w:r>
      <w:r>
        <w:rPr>
          <w:noProof/>
          <w:lang w:val="es-ES_tradnl"/>
        </w:rPr>
        <w:t>es de participantes;</w:t>
      </w:r>
    </w:p>
    <w:p w:rsidR="003861AB" w:rsidRDefault="00924D5F">
      <w:pPr>
        <w:numPr>
          <w:ilvl w:val="0"/>
          <w:numId w:val="31"/>
        </w:numPr>
        <w:spacing w:before="120" w:after="120"/>
        <w:rPr>
          <w:noProof/>
        </w:rPr>
      </w:pPr>
      <w:r>
        <w:rPr>
          <w:noProof/>
        </w:rPr>
        <w:t>1 000 000 participantes han obtenido cualificación;</w:t>
      </w:r>
    </w:p>
    <w:p w:rsidR="003861AB" w:rsidRDefault="00924D5F">
      <w:pPr>
        <w:numPr>
          <w:ilvl w:val="0"/>
          <w:numId w:val="31"/>
        </w:numPr>
        <w:spacing w:before="120" w:after="120"/>
        <w:rPr>
          <w:noProof/>
          <w:lang w:val="es-ES_tradnl"/>
        </w:rPr>
      </w:pPr>
      <w:r>
        <w:rPr>
          <w:noProof/>
          <w:lang w:val="es-ES_tradnl"/>
        </w:rPr>
        <w:t>538 000 participantes recibieron educación o formación;</w:t>
      </w:r>
    </w:p>
    <w:p w:rsidR="003861AB" w:rsidRDefault="00924D5F">
      <w:pPr>
        <w:numPr>
          <w:ilvl w:val="0"/>
          <w:numId w:val="31"/>
        </w:numPr>
        <w:spacing w:before="120" w:after="120"/>
        <w:rPr>
          <w:noProof/>
          <w:lang w:val="es-ES_tradnl"/>
        </w:rPr>
      </w:pPr>
      <w:r>
        <w:rPr>
          <w:noProof/>
          <w:lang w:val="es-ES_tradnl"/>
        </w:rPr>
        <w:t>1,8 millones de estudiantes (el 26 % del objetivo) deberían beneficiarse de proyectos del FEDER que invierten en infraestructur</w:t>
      </w:r>
      <w:r>
        <w:rPr>
          <w:noProof/>
          <w:lang w:val="es-ES_tradnl"/>
        </w:rPr>
        <w:t>as escolares.</w:t>
      </w:r>
    </w:p>
    <w:p w:rsidR="003861AB" w:rsidRDefault="00924D5F">
      <w:pPr>
        <w:spacing w:before="120" w:after="120"/>
        <w:rPr>
          <w:noProof/>
          <w:lang w:val="es-ES_tradnl"/>
        </w:rPr>
      </w:pPr>
      <w:r>
        <w:rPr>
          <w:noProof/>
          <w:lang w:val="es-ES_tradnl"/>
        </w:rPr>
        <w:t>La inversión en este ámbito va por buen camino, con un porcentaje de selección de proyectos que alcanza el 52 %. La ejecución de actividades en el ámbito de la educación y formación profesionales (EFP) es la más avanzada, tanto en lo que resp</w:t>
      </w:r>
      <w:r>
        <w:rPr>
          <w:noProof/>
          <w:lang w:val="es-ES_tradnl"/>
        </w:rPr>
        <w:t>ecta a la selección de proyectos como al índice de ejecución.</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En Letonia, el objetivo de un proyecto financiado por el FSE es aumentar el número de alumnos de EFP cualificados mediante la participación en actividades de aprendizaje en el trabajo y práctica</w:t>
      </w:r>
      <w:r>
        <w:rPr>
          <w:i/>
          <w:noProof/>
          <w:sz w:val="20"/>
          <w:lang w:val="es-ES_tradnl"/>
        </w:rPr>
        <w:t>s en empresas. En mayo de 2018, habían participado 1 400 empresas, 34 centros de formación profesional y 2 900 alumnos de EFP, de los cuales 640 eran alumnos de aprendizaje en el trabajo y 2 275, alumnos de prácticas.</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es-ES_tradnl"/>
        </w:rPr>
      </w:pPr>
      <w:r>
        <w:rPr>
          <w:i/>
          <w:noProof/>
          <w:sz w:val="20"/>
          <w:lang w:val="es-ES_tradnl"/>
        </w:rPr>
        <w:t xml:space="preserve">En Åland (Finlandia) el proyecto </w:t>
      </w:r>
      <w:r>
        <w:rPr>
          <w:i/>
          <w:noProof/>
          <w:sz w:val="20"/>
          <w:lang w:val="es-ES_tradnl"/>
        </w:rPr>
        <w:t>«Welcome! - Välkommen in» financiado por el FSE, tiene como objetivo mejorar la competencia en comercio electrónico y los conocimientos en el sector de los servicios con el fin de mejorar la calidad de los servicios de atención al cliente y ayudar a las em</w:t>
      </w:r>
      <w:r>
        <w:rPr>
          <w:i/>
          <w:noProof/>
          <w:sz w:val="20"/>
          <w:lang w:val="es-ES_tradnl"/>
        </w:rPr>
        <w:t>presas a dar respuesta a los retos de la competencia global en el comercio minorista. En conjunto, 472 personas de 100 empresas participaron en este proyecto, en el que se impartieron más de 8 000 horas de formación. En 2017, las ventas de las empresas par</w:t>
      </w:r>
      <w:r>
        <w:rPr>
          <w:i/>
          <w:noProof/>
          <w:sz w:val="20"/>
          <w:lang w:val="es-ES_tradnl"/>
        </w:rPr>
        <w:t>ticipantes habían aumentado un 75 % con respecto a 2015.</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En Baviera (Alemania), con ayuda del FEDER, se ha reconvertido un edificio de oficinas en un centro educativo, que ofrece 250 plazas adicionales para seminarios en 1 100 metros cuadrados. El centro d</w:t>
      </w:r>
      <w:r>
        <w:rPr>
          <w:i/>
          <w:noProof/>
          <w:sz w:val="20"/>
          <w:lang w:val="es-ES_tradnl"/>
        </w:rPr>
        <w:t>e formación modernizado tendrá un papel importante en la formación de los trabajadores cualificados del futuro.</w:t>
      </w:r>
    </w:p>
    <w:p w:rsidR="003861AB" w:rsidRDefault="00924D5F">
      <w:pPr>
        <w:pStyle w:val="Heading2"/>
        <w:rPr>
          <w:noProof/>
          <w:lang w:val="es-ES_tradnl"/>
        </w:rPr>
      </w:pPr>
      <w:r>
        <w:rPr>
          <w:noProof/>
          <w:lang w:val="es-ES_tradnl"/>
        </w:rPr>
        <w:t>Refuerzo de la capacidad institucional y la eficiencia de la administración pública</w:t>
      </w:r>
    </w:p>
    <w:p w:rsidR="003861AB" w:rsidRPr="00924D5F" w:rsidRDefault="00924D5F">
      <w:pPr>
        <w:spacing w:before="120" w:after="120"/>
        <w:rPr>
          <w:noProof/>
          <w:lang w:val="fr-BE"/>
        </w:rPr>
      </w:pPr>
      <w:r>
        <w:rPr>
          <w:noProof/>
          <w:lang w:val="es-ES_tradnl"/>
        </w:rPr>
        <w:t>Se calcula que, a finales de 2017, se habían asignado 3 000 </w:t>
      </w:r>
      <w:r>
        <w:rPr>
          <w:noProof/>
          <w:lang w:val="es-ES_tradnl"/>
        </w:rPr>
        <w:t>millones EUR a proyectos que abordan la capacidad y las reformas institucionales, lo que representa el 48 % de los 64 000 millones EUR previstos (financiados principalmente por programas del FSE, también con ayuda del FEDER en Estonia, Italia y Rumanía y e</w:t>
      </w:r>
      <w:r>
        <w:rPr>
          <w:noProof/>
          <w:lang w:val="es-ES_tradnl"/>
        </w:rPr>
        <w:t xml:space="preserve">n los programas Interreg). El gasto sobre el terreno ascendió a 370 millones EUR (el 6 % del total previsto). </w:t>
      </w:r>
      <w:r w:rsidRPr="00924D5F">
        <w:rPr>
          <w:noProof/>
          <w:lang w:val="fr-BE"/>
        </w:rPr>
        <w:t>En el marco de este objetivo:</w:t>
      </w:r>
    </w:p>
    <w:p w:rsidR="003861AB" w:rsidRDefault="00924D5F">
      <w:pPr>
        <w:numPr>
          <w:ilvl w:val="0"/>
          <w:numId w:val="31"/>
        </w:numPr>
        <w:spacing w:before="120" w:after="120"/>
        <w:rPr>
          <w:noProof/>
          <w:lang w:val="es-ES_tradnl"/>
        </w:rPr>
      </w:pPr>
      <w:r>
        <w:rPr>
          <w:noProof/>
          <w:lang w:val="es-ES_tradnl"/>
        </w:rPr>
        <w:t>117 000 participantes han recibido ayuda del FSE;</w:t>
      </w:r>
    </w:p>
    <w:p w:rsidR="003861AB" w:rsidRDefault="00924D5F">
      <w:pPr>
        <w:numPr>
          <w:ilvl w:val="0"/>
          <w:numId w:val="31"/>
        </w:numPr>
        <w:spacing w:before="120" w:after="120"/>
        <w:rPr>
          <w:noProof/>
          <w:lang w:val="es-ES_tradnl"/>
        </w:rPr>
      </w:pPr>
      <w:r>
        <w:rPr>
          <w:noProof/>
          <w:lang w:val="es-ES_tradnl"/>
        </w:rPr>
        <w:t xml:space="preserve">El FSE ha respaldado 734 proyectos destinados a las </w:t>
      </w:r>
      <w:r>
        <w:rPr>
          <w:noProof/>
          <w:lang w:val="es-ES_tradnl"/>
        </w:rPr>
        <w:t>administraciones públicas o a los servicios públicos, a escala nacional, regional o local.</w:t>
      </w:r>
    </w:p>
    <w:p w:rsidR="003861AB" w:rsidRDefault="00924D5F">
      <w:pPr>
        <w:spacing w:before="120" w:after="120"/>
        <w:rPr>
          <w:noProof/>
          <w:lang w:val="es-ES_tradnl"/>
        </w:rPr>
      </w:pPr>
      <w:r>
        <w:rPr>
          <w:noProof/>
          <w:lang w:val="es-ES_tradnl"/>
        </w:rPr>
        <w:t>Hasta una tercera parte de los proyectos respaldados se centran en la digitalización. Otros temas importantes abordan la prestación de servicios, la formación genera</w:t>
      </w:r>
      <w:r>
        <w:rPr>
          <w:noProof/>
          <w:lang w:val="es-ES_tradnl"/>
        </w:rPr>
        <w:t>l, el sistema de funcionariado y la gestión de recursos humanos, así como la organización y gestión del gobierno. El apoyo a las administraciones públicas en los Estados miembros se usa principalmente a escala nacional, con solo un pequeño porcentaje desti</w:t>
      </w:r>
      <w:r>
        <w:rPr>
          <w:noProof/>
          <w:lang w:val="es-ES_tradnl"/>
        </w:rPr>
        <w:t>nado a los niveles regional y local.</w:t>
      </w:r>
    </w:p>
    <w:p w:rsidR="003861AB" w:rsidRDefault="00924D5F">
      <w:pPr>
        <w:spacing w:before="120" w:after="120"/>
        <w:rPr>
          <w:noProof/>
          <w:lang w:val="es-ES_tradnl"/>
        </w:rPr>
      </w:pPr>
      <w:r>
        <w:rPr>
          <w:noProof/>
          <w:lang w:val="es-ES_tradnl"/>
        </w:rPr>
        <w:t>La ejecución de los proyectos destinados a la capacitación de las partes interesadas que ofrecen educación, aprendizaje permanente, formación y empleo y que elaboran políticas sociales va con retraso (el 1 % del gasto d</w:t>
      </w:r>
      <w:r>
        <w:rPr>
          <w:noProof/>
          <w:lang w:val="es-ES_tradnl"/>
        </w:rPr>
        <w:t xml:space="preserve">eclarado). Los motivos de dicho retraso difieren entre Estados miembros e incluyen cambios jurídicos que afectan a la ejecución o dificultades relacionadas con las características innovadoras y complejas de la intervención. </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En Bulgaria, un proyecto del FS</w:t>
      </w:r>
      <w:r>
        <w:rPr>
          <w:i/>
          <w:noProof/>
          <w:sz w:val="20"/>
          <w:lang w:val="es-ES_tradnl"/>
        </w:rPr>
        <w:t>E ejecutado por el Instituto Nacional de Justicia, presta asistencia a la formación profesional de calidad, con el fin de mejorar la eficiencia del poder judicial. En 2017, un total de 5 600 magistrados y funcionarios de los tribunales y autoridades encarg</w:t>
      </w:r>
      <w:r>
        <w:rPr>
          <w:i/>
          <w:noProof/>
          <w:sz w:val="20"/>
          <w:lang w:val="es-ES_tradnl"/>
        </w:rPr>
        <w:t>adas de las investigaciones realizaron cursos de formación del Instituto Nacional de Justicia. Las novedades de los proyectos incluyen el desarrollo de la formación regional y en línea, la formación temática adaptada a necesidades regionales concretas y la</w:t>
      </w:r>
      <w:r>
        <w:rPr>
          <w:i/>
          <w:noProof/>
          <w:sz w:val="20"/>
          <w:lang w:val="es-ES_tradnl"/>
        </w:rPr>
        <w:t xml:space="preserve"> facilitación de la colaboración interinstitucional, así como «asociaciones para el conocimiento».</w:t>
      </w:r>
    </w:p>
    <w:p w:rsidR="003861AB" w:rsidRDefault="00924D5F">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es-ES_tradnl"/>
        </w:rPr>
      </w:pPr>
      <w:r>
        <w:rPr>
          <w:i/>
          <w:noProof/>
          <w:sz w:val="20"/>
          <w:lang w:val="es-ES_tradnl"/>
        </w:rPr>
        <w:t>En Lituania, un proyecto del FSE tiene como fin aumentar la eficacia de la contratación pública reduciendo las posibilidades de corrupción. Las acciones prev</w:t>
      </w:r>
      <w:r>
        <w:rPr>
          <w:i/>
          <w:noProof/>
          <w:sz w:val="20"/>
          <w:lang w:val="es-ES_tradnl"/>
        </w:rPr>
        <w:t>istas aumentarán la concienciación y las competencias del personal de la Oficina de contratación pública y de otras organizaciones de contratación y crearán documentación de apoyo (directrices, etc.) sobre metodologías de contratación pública. Se organizar</w:t>
      </w:r>
      <w:r>
        <w:rPr>
          <w:i/>
          <w:noProof/>
          <w:sz w:val="20"/>
          <w:lang w:val="es-ES_tradnl"/>
        </w:rPr>
        <w:t>án sesiones de formación para representantes de organizaciones de contratación y conferencias en distintas instituciones lituanas, y se modernizará la línea de consulta de la contratación pública.</w:t>
      </w:r>
    </w:p>
    <w:p w:rsidR="003861AB" w:rsidRDefault="00924D5F">
      <w:pPr>
        <w:pStyle w:val="Heading2"/>
        <w:rPr>
          <w:noProof/>
          <w:lang w:val="es-ES_tradnl"/>
        </w:rPr>
      </w:pPr>
      <w:r>
        <w:rPr>
          <w:noProof/>
          <w:lang w:val="es-ES_tradnl"/>
        </w:rPr>
        <w:t xml:space="preserve">Progresos en la ejecución de los instrumentos financieros </w:t>
      </w:r>
    </w:p>
    <w:p w:rsidR="003861AB" w:rsidRDefault="00924D5F">
      <w:pPr>
        <w:spacing w:before="120" w:after="120"/>
        <w:rPr>
          <w:noProof/>
          <w:lang w:val="es-ES_tradnl"/>
        </w:rPr>
      </w:pPr>
      <w:r>
        <w:rPr>
          <w:noProof/>
          <w:lang w:val="es-ES_tradnl"/>
        </w:rPr>
        <w:t>Los informes anuales de 2018 incluyen información detallada sobre los instrumentos financieros a finales de 2017 para veinticuatro Estados miembros. El progreso es, en general, satisfactorio, con 13 500 millones EUR comprometidos en los acuerdos de financi</w:t>
      </w:r>
      <w:r>
        <w:rPr>
          <w:noProof/>
          <w:lang w:val="es-ES_tradnl"/>
        </w:rPr>
        <w:t xml:space="preserve">ación, lo que representa el 65 % de las asignaciones indicativas, procedentes principalmente del FEDER. De los importes comprometidos, 1 500 millones EUR (el 11 %) ya se había entregado a los destinatarios finales con diferencias importantes entre Estados </w:t>
      </w:r>
      <w:r>
        <w:rPr>
          <w:noProof/>
          <w:lang w:val="es-ES_tradnl"/>
        </w:rPr>
        <w:t>miembros. En los resúmenes de datos publicados por la Comisión puede obtenerse una presentación más detallada.</w:t>
      </w:r>
    </w:p>
    <w:p w:rsidR="003861AB" w:rsidRDefault="00924D5F">
      <w:pPr>
        <w:pStyle w:val="Heading2"/>
        <w:rPr>
          <w:noProof/>
        </w:rPr>
      </w:pPr>
      <w:r>
        <w:rPr>
          <w:noProof/>
        </w:rPr>
        <w:t xml:space="preserve">Desarrollo territorial y urbano </w:t>
      </w:r>
    </w:p>
    <w:p w:rsidR="003861AB" w:rsidRDefault="00924D5F">
      <w:pPr>
        <w:spacing w:before="120" w:after="120"/>
        <w:rPr>
          <w:noProof/>
          <w:lang w:val="es-ES_tradnl"/>
        </w:rPr>
      </w:pPr>
      <w:r>
        <w:rPr>
          <w:noProof/>
          <w:lang w:val="es-ES_tradnl"/>
        </w:rPr>
        <w:t xml:space="preserve">En el período 2014-2020, se han asignado alrededor de 32 000 millones EUR al desarrollo territorial integrado y </w:t>
      </w:r>
      <w:r>
        <w:rPr>
          <w:noProof/>
          <w:lang w:val="es-ES_tradnl"/>
        </w:rPr>
        <w:t>al desarrollo urbano sostenible. La aplicación de estas estrategias, inicialmente lenta, está poniéndose al día. En el marco de los fondos de la política de cohesión, se han asignados unos 10 700 millones EUR a proyectos, lo que representa el 33 % de la as</w:t>
      </w:r>
      <w:r>
        <w:rPr>
          <w:noProof/>
          <w:lang w:val="es-ES_tradnl"/>
        </w:rPr>
        <w:t>ignación prevista. Aunque la selección de proyectos avanza ahora relativamente bien, el gasto está algo retrasado, con solo 1 000 millones EUR gastados (el 3,2 % del total previsto) a finales de 2017.</w:t>
      </w:r>
    </w:p>
    <w:p w:rsidR="003861AB" w:rsidRDefault="00924D5F">
      <w:pPr>
        <w:spacing w:before="120" w:after="120"/>
        <w:rPr>
          <w:noProof/>
          <w:lang w:val="es-ES_tradnl"/>
        </w:rPr>
      </w:pPr>
      <w:r>
        <w:rPr>
          <w:noProof/>
          <w:lang w:val="es-ES_tradnl"/>
        </w:rPr>
        <w:t xml:space="preserve">Las estrategias de desarrollo integrado seleccionadas, </w:t>
      </w:r>
      <w:r>
        <w:rPr>
          <w:noProof/>
          <w:lang w:val="es-ES_tradnl"/>
        </w:rPr>
        <w:t>dirigidas fundamentalmente a la integración social, cubren a una población de 39 millones de ciudadanos (el 87 % del objetivo). En términos de obras físicas, los proyectos seleccionados para renovar edificios y unidades de vivienda abordarán el 50 % de los</w:t>
      </w:r>
      <w:r>
        <w:rPr>
          <w:noProof/>
          <w:lang w:val="es-ES_tradnl"/>
        </w:rPr>
        <w:t xml:space="preserve"> objetivos planificados, con la previsión de que se renueven 1,1 millones de metros cuadrados y 10 500 unidades de vivienda. Asimismo, se están renovando más de 21 millones de metros cuadrados de espacios abiertos urbanos (el 73 % del objetivo) con el fin </w:t>
      </w:r>
      <w:r>
        <w:rPr>
          <w:noProof/>
          <w:lang w:val="es-ES_tradnl"/>
        </w:rPr>
        <w:t>de mejorar la calidad de vida y la seguridad de las zonas urbanas.</w:t>
      </w:r>
    </w:p>
    <w:p w:rsidR="003861AB" w:rsidRDefault="00924D5F">
      <w:pPr>
        <w:pStyle w:val="Heading2"/>
        <w:rPr>
          <w:noProof/>
        </w:rPr>
      </w:pPr>
      <w:r>
        <w:rPr>
          <w:noProof/>
        </w:rPr>
        <w:t>Interreg</w:t>
      </w:r>
      <w:bookmarkEnd w:id="10"/>
    </w:p>
    <w:p w:rsidR="003861AB" w:rsidRDefault="00924D5F">
      <w:pPr>
        <w:spacing w:before="120" w:after="120"/>
        <w:rPr>
          <w:noProof/>
          <w:lang w:val="es-ES_tradnl"/>
        </w:rPr>
      </w:pPr>
      <w:r>
        <w:rPr>
          <w:noProof/>
          <w:lang w:val="es-ES_tradnl"/>
        </w:rPr>
        <w:t>Los programas Interreg financiados por el FEDER que están incluidos en el objetivo Cooperación territorial (CT) habían generado un volumen financiero de 7 100 millones EUR de proye</w:t>
      </w:r>
      <w:r>
        <w:rPr>
          <w:noProof/>
          <w:lang w:val="es-ES_tradnl"/>
        </w:rPr>
        <w:t>ctos seleccionados a finales de 2017 (el 57 % del total previsto) aunque el gasto sobre el terreno sigue siendo bajo (un 5 % del total previsto).</w:t>
      </w:r>
    </w:p>
    <w:p w:rsidR="003861AB" w:rsidRDefault="00924D5F">
      <w:pPr>
        <w:spacing w:before="120" w:after="120"/>
        <w:rPr>
          <w:noProof/>
          <w:lang w:val="es-ES_tradnl"/>
        </w:rPr>
      </w:pPr>
      <w:r>
        <w:rPr>
          <w:noProof/>
          <w:lang w:val="es-ES_tradnl"/>
        </w:rPr>
        <w:t xml:space="preserve">Los datos sobre el progreso físico en el marco de Interreg se incluyen en los indicadores agregados en virtud </w:t>
      </w:r>
      <w:r>
        <w:rPr>
          <w:noProof/>
          <w:lang w:val="es-ES_tradnl"/>
        </w:rPr>
        <w:t>de los temas de inversión clave anteriormente mencionados y en la Plataforma de datos abiertos</w:t>
      </w:r>
      <w:r>
        <w:rPr>
          <w:rStyle w:val="FootnoteReference"/>
          <w:noProof/>
        </w:rPr>
        <w:footnoteReference w:id="11"/>
      </w:r>
      <w:r>
        <w:rPr>
          <w:noProof/>
          <w:lang w:val="es-ES_tradnl"/>
        </w:rPr>
        <w:t xml:space="preserve">. </w:t>
      </w:r>
    </w:p>
    <w:p w:rsidR="003861AB" w:rsidRDefault="00924D5F">
      <w:pPr>
        <w:pStyle w:val="Heading1"/>
        <w:rPr>
          <w:noProof/>
          <w:lang w:val="es-ES_tradnl"/>
        </w:rPr>
      </w:pPr>
      <w:r>
        <w:rPr>
          <w:noProof/>
          <w:lang w:val="es-ES_tradnl"/>
        </w:rPr>
        <w:t>Evolución en la evaluación</w:t>
      </w:r>
      <w:bookmarkEnd w:id="11"/>
      <w:r>
        <w:rPr>
          <w:noProof/>
          <w:lang w:val="es-ES_tradnl"/>
        </w:rPr>
        <w:t xml:space="preserve"> de los programas</w:t>
      </w:r>
    </w:p>
    <w:p w:rsidR="003861AB" w:rsidRDefault="00924D5F">
      <w:pPr>
        <w:spacing w:before="120" w:after="120"/>
        <w:rPr>
          <w:noProof/>
          <w:lang w:val="es-ES_tradnl"/>
        </w:rPr>
      </w:pPr>
      <w:r>
        <w:rPr>
          <w:noProof/>
          <w:lang w:val="es-ES_tradnl"/>
        </w:rPr>
        <w:t xml:space="preserve">La legislación para el período de programación 2014-2020 hace hincapié en la necesidad de evaluar la contribución </w:t>
      </w:r>
      <w:r>
        <w:rPr>
          <w:noProof/>
          <w:lang w:val="es-ES_tradnl"/>
        </w:rPr>
        <w:t xml:space="preserve">al crecimiento, el desarrollo sostenible y la creación de empleo de los programas de los Fondos EIE. Los programas definen objetivos que son específicos y articulan el cambio deseado en ámbitos concretos. Las evaluaciones son fundamentales para establecer </w:t>
      </w:r>
      <w:r>
        <w:rPr>
          <w:noProof/>
          <w:lang w:val="es-ES_tradnl"/>
        </w:rPr>
        <w:t>si dichos cambios se han producido y de qué manera han contribuido los programas.</w:t>
      </w:r>
    </w:p>
    <w:p w:rsidR="003861AB" w:rsidRDefault="00924D5F">
      <w:pPr>
        <w:spacing w:before="120" w:after="120"/>
        <w:rPr>
          <w:noProof/>
          <w:lang w:val="es-ES_tradnl"/>
        </w:rPr>
      </w:pPr>
      <w:r>
        <w:rPr>
          <w:noProof/>
          <w:lang w:val="es-ES_tradnl"/>
        </w:rPr>
        <w:t>El documento de trabajo de los servicios de la Comisión que acompaña al presente informe sintetiza el trabajo de evaluación realizado desde 2016. Se ha identificado un pequeñ</w:t>
      </w:r>
      <w:r>
        <w:rPr>
          <w:noProof/>
          <w:lang w:val="es-ES_tradnl"/>
        </w:rPr>
        <w:t>o número de evaluaciones que estaban principalmente dirigidas al proceso de ejecución y al progreso en la consecución de los objetivos fijados. Estas evaluaciones muestran, como media, un diseño más claro de la evaluación y una disponibilidad y un uso de l</w:t>
      </w:r>
      <w:r>
        <w:rPr>
          <w:noProof/>
          <w:lang w:val="es-ES_tradnl"/>
        </w:rPr>
        <w:t xml:space="preserve">os datos más adecuados que anteriormente. </w:t>
      </w:r>
    </w:p>
    <w:p w:rsidR="003861AB" w:rsidRDefault="00924D5F">
      <w:pPr>
        <w:spacing w:before="120" w:after="120"/>
        <w:rPr>
          <w:noProof/>
          <w:lang w:val="es-ES_tradnl"/>
        </w:rPr>
      </w:pPr>
      <w:r>
        <w:rPr>
          <w:noProof/>
          <w:lang w:val="es-ES_tradnl"/>
        </w:rPr>
        <w:t>Dado el escaso volumen de proyectos finalizados, es aún muy pronto para evaluar los resultados y las repercusiones de los programas para el período 2014-2020. El comienzo de las evaluaciones de impacto, por natura</w:t>
      </w:r>
      <w:r>
        <w:rPr>
          <w:noProof/>
          <w:lang w:val="es-ES_tradnl"/>
        </w:rPr>
        <w:t xml:space="preserve">leza realizadas más adelante en el ciclo de programación, probablemente se retrase en los casos en los que la ejecución ha sido más lenta de lo esperado en determinados Estados miembros u objetivos temáticos. </w:t>
      </w:r>
    </w:p>
    <w:p w:rsidR="003861AB" w:rsidRDefault="00924D5F">
      <w:pPr>
        <w:spacing w:before="120" w:after="120"/>
        <w:rPr>
          <w:noProof/>
          <w:lang w:val="es-ES_tradnl"/>
        </w:rPr>
      </w:pPr>
      <w:r>
        <w:rPr>
          <w:noProof/>
          <w:lang w:val="es-ES_tradnl"/>
        </w:rPr>
        <w:t>Por otra parte, un gran número de las evaluaci</w:t>
      </w:r>
      <w:r>
        <w:rPr>
          <w:noProof/>
          <w:lang w:val="es-ES_tradnl"/>
        </w:rPr>
        <w:t>ones nacionales realizadas en 2017 y 2018 se centraron en los programas del período 2007-2013 y se trata sobre todo de evaluaciones de impacto. En conjunto, los resultados de las evaluaciones de impacto relacionadas con los dos períodos de programación pue</w:t>
      </w:r>
      <w:r>
        <w:rPr>
          <w:noProof/>
          <w:lang w:val="es-ES_tradnl"/>
        </w:rPr>
        <w:t>den considerarse fiables solo en lo que respecta a un reducido número de las evaluaciones, lo que pone de manifiesto la necesidad de mejorar la calidad de los trabajos elaborados.</w:t>
      </w:r>
    </w:p>
    <w:p w:rsidR="003861AB" w:rsidRDefault="00924D5F">
      <w:pPr>
        <w:spacing w:before="120" w:after="120"/>
        <w:rPr>
          <w:noProof/>
          <w:lang w:val="es-ES_tradnl"/>
        </w:rPr>
      </w:pPr>
      <w:r>
        <w:rPr>
          <w:noProof/>
          <w:lang w:val="es-ES_tradnl"/>
        </w:rPr>
        <w:t xml:space="preserve">Un análisis actualizado sobre los planes de evaluación nacionales revisados </w:t>
      </w:r>
      <w:r>
        <w:rPr>
          <w:noProof/>
          <w:lang w:val="es-ES_tradnl"/>
        </w:rPr>
        <w:t>que la Comisión recibió en junio de 2018 muestra que todavía existen algunas deficiencias en los ámbitos de las capacidades necesarias, los métodos que se deben utilizar y los datos requeridos.</w:t>
      </w:r>
    </w:p>
    <w:p w:rsidR="003861AB" w:rsidRDefault="00924D5F">
      <w:pPr>
        <w:spacing w:before="120" w:after="120"/>
        <w:rPr>
          <w:noProof/>
          <w:lang w:val="es-ES_tradnl"/>
        </w:rPr>
      </w:pPr>
      <w:r>
        <w:rPr>
          <w:noProof/>
          <w:lang w:val="es-ES_tradnl"/>
        </w:rPr>
        <w:t>En 2018 y 2019 se espera un aumento significativo de las evalu</w:t>
      </w:r>
      <w:r>
        <w:rPr>
          <w:noProof/>
          <w:lang w:val="es-ES_tradnl"/>
        </w:rPr>
        <w:t>aciones realizadas de acuerdo con los planes de evaluación. Serán fundamentalmente evaluaciones de ejecución y evaluaciones centradas en los procesos. Está previsto que casi la mitad de las evaluaciones de impacto se realicen después de 2020, cuando se esp</w:t>
      </w:r>
      <w:r>
        <w:rPr>
          <w:noProof/>
          <w:lang w:val="es-ES_tradnl"/>
        </w:rPr>
        <w:t>era que los programas arrojen resultados.</w:t>
      </w:r>
    </w:p>
    <w:p w:rsidR="003861AB" w:rsidRDefault="00924D5F">
      <w:pPr>
        <w:spacing w:before="120" w:after="120"/>
        <w:rPr>
          <w:noProof/>
          <w:lang w:val="es-ES_tradnl"/>
        </w:rPr>
      </w:pPr>
      <w:r>
        <w:rPr>
          <w:noProof/>
          <w:lang w:val="es-ES_tradnl"/>
        </w:rPr>
        <w:t xml:space="preserve">El documento de trabajo de los servicios de la Comisión que acompaña al presente informe describe también las distintas líneas de trabajo que sigue la Comisión para apoyar la labor de los Estados miembros (trabajo </w:t>
      </w:r>
      <w:r>
        <w:rPr>
          <w:noProof/>
          <w:lang w:val="es-ES_tradnl"/>
        </w:rPr>
        <w:t>en red, orientación, servicios de asistencia técnica) y el trabajo de evaluación de la Comisión.</w:t>
      </w:r>
    </w:p>
    <w:p w:rsidR="003861AB" w:rsidRDefault="00924D5F">
      <w:pPr>
        <w:pStyle w:val="Heading1"/>
        <w:rPr>
          <w:noProof/>
        </w:rPr>
      </w:pPr>
      <w:bookmarkStart w:id="12" w:name="_Toc463018894"/>
      <w:r>
        <w:rPr>
          <w:noProof/>
        </w:rPr>
        <w:t>Conclusiones</w:t>
      </w:r>
      <w:bookmarkEnd w:id="12"/>
    </w:p>
    <w:p w:rsidR="003861AB" w:rsidRDefault="00924D5F">
      <w:pPr>
        <w:spacing w:before="120" w:after="120"/>
        <w:rPr>
          <w:noProof/>
          <w:lang w:val="es-ES_tradnl"/>
        </w:rPr>
      </w:pPr>
      <w:r>
        <w:rPr>
          <w:noProof/>
          <w:lang w:val="es-ES_tradnl"/>
        </w:rPr>
        <w:t>Los programas de los Fondos EIE son un importante instrumento de inversión de la Unión Europea y todas las regiones de la Unión se benefician de e</w:t>
      </w:r>
      <w:r>
        <w:rPr>
          <w:noProof/>
          <w:lang w:val="es-ES_tradnl"/>
        </w:rPr>
        <w:t xml:space="preserve">sta política. Las pruebas ya disponibles de la ejecución financiera y de los indicadores comunes de realización y resultados proporcionan un panorama más completo del progreso de la ejecución que el disponible en cualquier período previo. </w:t>
      </w:r>
    </w:p>
    <w:p w:rsidR="003861AB" w:rsidRDefault="00924D5F">
      <w:pPr>
        <w:spacing w:before="120" w:after="120"/>
        <w:rPr>
          <w:noProof/>
          <w:lang w:val="es-ES_tradnl"/>
        </w:rPr>
      </w:pPr>
      <w:r>
        <w:rPr>
          <w:noProof/>
          <w:lang w:val="es-ES_tradnl"/>
        </w:rPr>
        <w:t>En 2017 ha tenid</w:t>
      </w:r>
      <w:r>
        <w:rPr>
          <w:noProof/>
          <w:lang w:val="es-ES_tradnl"/>
        </w:rPr>
        <w:t xml:space="preserve">o lugar una importante aceleración en la ejecución general de programas cofinanciados por los Fondos EIE. El porcentaje de selección de programas casi se ha duplicado en comparación con finales de 2016, superando el 52 % de la financiación total. El gasto </w:t>
      </w:r>
      <w:r>
        <w:rPr>
          <w:noProof/>
          <w:lang w:val="es-ES_tradnl"/>
        </w:rPr>
        <w:t>generado por los proyectos también empieza a recuperarse, al igual que los valores de consecución de los indicadores de realización y resultados de los programas vinculados a importantes beneficios sociales y económicos. La aceleración ha continuado en 201</w:t>
      </w:r>
      <w:r>
        <w:rPr>
          <w:noProof/>
          <w:lang w:val="es-ES_tradnl"/>
        </w:rPr>
        <w:t>8, con el porcentaje de selección de los fondos de la política de cohesión al 67 % a 30 de septiembre de 2018.</w:t>
      </w:r>
    </w:p>
    <w:p w:rsidR="003861AB" w:rsidRDefault="00924D5F">
      <w:pPr>
        <w:spacing w:before="120" w:after="120"/>
        <w:rPr>
          <w:noProof/>
          <w:highlight w:val="yellow"/>
          <w:lang w:val="es-ES_tradnl"/>
        </w:rPr>
      </w:pPr>
      <w:r>
        <w:rPr>
          <w:noProof/>
          <w:lang w:val="es-ES_tradnl"/>
        </w:rPr>
        <w:t>La imagen de la ejecución que revelan los informes anuales de los programas es diversa, tanto entre regiones, como entre los Estados miembros y e</w:t>
      </w:r>
      <w:r>
        <w:rPr>
          <w:noProof/>
          <w:lang w:val="es-ES_tradnl"/>
        </w:rPr>
        <w:t xml:space="preserve">ntre los distintos temas de inversión. Basándose en la experiencia pasada, la Comisión espera que los porcentajes de ejecución relativos al gasto de inversión y la obtención de realizaciones y resultados continúe aumentando en 2019. La futura revisión del </w:t>
      </w:r>
      <w:r>
        <w:rPr>
          <w:noProof/>
          <w:lang w:val="es-ES_tradnl"/>
        </w:rPr>
        <w:t>rendimiento en 2019 incentivará aún más un mejor gasto de los Fondos EIE en lo que a consecución de los objetivos se refiere.</w:t>
      </w:r>
    </w:p>
    <w:p w:rsidR="003861AB" w:rsidRDefault="00924D5F">
      <w:pPr>
        <w:spacing w:before="120" w:after="120"/>
        <w:rPr>
          <w:noProof/>
          <w:lang w:val="es-ES_tradnl"/>
        </w:rPr>
      </w:pPr>
      <w:r>
        <w:rPr>
          <w:noProof/>
          <w:lang w:val="es-ES_tradnl"/>
        </w:rPr>
        <w:t>A medida que avance la ejecución de los Fondos EIE, esta proporcionará en último término material sobre el que realizar evaluacion</w:t>
      </w:r>
      <w:r>
        <w:rPr>
          <w:noProof/>
          <w:lang w:val="es-ES_tradnl"/>
        </w:rPr>
        <w:t>es de impacto. No obstante, un número significativo de evaluaciones realizadas por los Estados miembros aún tardará en iniciarse, en completarse y en que se conozcan sus resultados.</w:t>
      </w:r>
    </w:p>
    <w:p w:rsidR="003861AB" w:rsidRDefault="00924D5F">
      <w:pPr>
        <w:spacing w:before="120" w:after="120"/>
        <w:rPr>
          <w:noProof/>
          <w:lang w:val="es-ES_tradnl"/>
        </w:rPr>
      </w:pPr>
      <w:r>
        <w:rPr>
          <w:noProof/>
          <w:lang w:val="es-ES_tradnl"/>
        </w:rPr>
        <w:t>Mirando al futuro, se han establecido objetivos financieros importantes pa</w:t>
      </w:r>
      <w:r>
        <w:rPr>
          <w:noProof/>
          <w:lang w:val="es-ES_tradnl"/>
        </w:rPr>
        <w:t>ra finales de 2018 (regla «N+3»). Existe el riesgo de que algunos programas concretos pierdan la financiación de la UE.</w:t>
      </w:r>
    </w:p>
    <w:p w:rsidR="003861AB" w:rsidRDefault="00924D5F">
      <w:pPr>
        <w:spacing w:before="120" w:after="120"/>
        <w:rPr>
          <w:noProof/>
          <w:lang w:val="es-ES_tradnl"/>
        </w:rPr>
      </w:pPr>
      <w:r>
        <w:rPr>
          <w:noProof/>
          <w:lang w:val="es-ES_tradnl"/>
        </w:rPr>
        <w:t>El ciclo de presentación de informes del año próximo incluirá unos exhaustivos informes de programa para junio de 2019, e informes de pr</w:t>
      </w:r>
      <w:r>
        <w:rPr>
          <w:noProof/>
          <w:lang w:val="es-ES_tradnl"/>
        </w:rPr>
        <w:t xml:space="preserve">ogreso nacionales para agosto de 2019. Estos informes proporcionarán un panorama cuantitativo y cualitativo de la aplicación de los objetivos de inversión. Abarcarán una serie de cuestiones importantes. En particular, los Estados miembros informarán sobre </w:t>
      </w:r>
      <w:r>
        <w:rPr>
          <w:noProof/>
          <w:lang w:val="es-ES_tradnl"/>
        </w:rPr>
        <w:t>hitos físicos y financieros en el marco de rendimiento que se utilizarán para otorgar la reserva de rendimiento en 2019. La Comisión sintetizará los informes en un informe estratégico antes del fin de 2019.</w:t>
      </w:r>
    </w:p>
    <w:sectPr w:rsidR="003861A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AB" w:rsidRDefault="00924D5F">
      <w:pPr>
        <w:spacing w:after="0"/>
      </w:pPr>
      <w:r>
        <w:separator/>
      </w:r>
    </w:p>
  </w:endnote>
  <w:endnote w:type="continuationSeparator" w:id="0">
    <w:p w:rsidR="003861AB" w:rsidRDefault="00924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5F" w:rsidRPr="00924D5F" w:rsidRDefault="00924D5F" w:rsidP="00924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5F" w:rsidRPr="00924D5F" w:rsidRDefault="00924D5F" w:rsidP="00924D5F">
    <w:pPr>
      <w:pStyle w:val="FooterCoverPage"/>
      <w:rPr>
        <w:rFonts w:ascii="Arial" w:hAnsi="Arial" w:cs="Arial"/>
        <w:b/>
        <w:sz w:val="48"/>
      </w:rPr>
    </w:pPr>
    <w:r w:rsidRPr="00924D5F">
      <w:rPr>
        <w:rFonts w:ascii="Arial" w:hAnsi="Arial" w:cs="Arial"/>
        <w:b/>
        <w:sz w:val="48"/>
      </w:rPr>
      <w:t>ES</w:t>
    </w:r>
    <w:r w:rsidRPr="00924D5F">
      <w:rPr>
        <w:rFonts w:ascii="Arial" w:hAnsi="Arial" w:cs="Arial"/>
        <w:b/>
        <w:sz w:val="48"/>
      </w:rPr>
      <w:tab/>
    </w:r>
    <w:r w:rsidRPr="00924D5F">
      <w:rPr>
        <w:rFonts w:ascii="Arial" w:hAnsi="Arial" w:cs="Arial"/>
        <w:b/>
        <w:sz w:val="48"/>
      </w:rPr>
      <w:tab/>
    </w:r>
    <w:r w:rsidRPr="00924D5F">
      <w:tab/>
    </w:r>
    <w:r w:rsidRPr="00924D5F">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5F" w:rsidRPr="00924D5F" w:rsidRDefault="00924D5F" w:rsidP="00924D5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AB" w:rsidRDefault="003861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3861AB" w:rsidRDefault="00924D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61AB" w:rsidRDefault="00386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AB" w:rsidRDefault="0038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AB" w:rsidRDefault="00924D5F">
      <w:pPr>
        <w:spacing w:after="0"/>
      </w:pPr>
      <w:r>
        <w:separator/>
      </w:r>
    </w:p>
  </w:footnote>
  <w:footnote w:type="continuationSeparator" w:id="0">
    <w:p w:rsidR="003861AB" w:rsidRDefault="00924D5F">
      <w:pPr>
        <w:spacing w:after="0"/>
      </w:pPr>
      <w:r>
        <w:continuationSeparator/>
      </w:r>
    </w:p>
  </w:footnote>
  <w:footnote w:id="1">
    <w:p w:rsidR="003861AB" w:rsidRDefault="00924D5F">
      <w:pPr>
        <w:pStyle w:val="FootnoteText"/>
        <w:spacing w:after="0"/>
        <w:rPr>
          <w:lang w:val="es-ES_tradnl"/>
        </w:rPr>
      </w:pPr>
      <w:r>
        <w:rPr>
          <w:rStyle w:val="FootnoteReference"/>
        </w:rPr>
        <w:footnoteRef/>
      </w:r>
      <w:r>
        <w:rPr>
          <w:lang w:val="es-ES_tradnl"/>
        </w:rPr>
        <w:tab/>
        <w:t xml:space="preserve">Tal y </w:t>
      </w:r>
      <w:r>
        <w:rPr>
          <w:lang w:val="es-ES_tradnl"/>
        </w:rPr>
        <w:t>como dispone el artículo 53 del Reglamento (UE) n.º 1303/2013 sobre disposiciones comunes.</w:t>
      </w:r>
    </w:p>
  </w:footnote>
  <w:footnote w:id="2">
    <w:p w:rsidR="003861AB" w:rsidRDefault="00924D5F">
      <w:pPr>
        <w:pStyle w:val="FootnoteText"/>
        <w:spacing w:after="0"/>
        <w:rPr>
          <w:lang w:val="es-ES_tradnl"/>
        </w:rPr>
      </w:pPr>
      <w:r>
        <w:rPr>
          <w:rStyle w:val="FootnoteReference"/>
        </w:rPr>
        <w:footnoteRef/>
      </w:r>
      <w:r>
        <w:rPr>
          <w:lang w:val="es-ES_tradnl"/>
        </w:rPr>
        <w:tab/>
        <w:t>El presente informe complementa el informe sobre la ejecución presupuestaria de los Fondos EIE</w:t>
      </w:r>
      <w:r>
        <w:rPr>
          <w:rStyle w:val="Hyperlink"/>
          <w:lang w:val="es-ES_tradnl"/>
        </w:rPr>
        <w:t xml:space="preserve"> </w:t>
      </w:r>
      <w:hyperlink r:id="rId1">
        <w:r>
          <w:rPr>
            <w:rStyle w:val="Hyperlink"/>
            <w:lang w:val="es-ES_tradnl"/>
          </w:rPr>
          <w:t>http://ec.europa.eu/budget/library/biblio/publications/2018/AnalysisBudgImplem_ESIF_2017_EN.pdf</w:t>
        </w:r>
      </w:hyperlink>
      <w:r>
        <w:rPr>
          <w:lang w:val="es-ES_tradnl"/>
        </w:rPr>
        <w:t>.</w:t>
      </w:r>
    </w:p>
  </w:footnote>
  <w:footnote w:id="3">
    <w:p w:rsidR="003861AB" w:rsidRDefault="00924D5F">
      <w:pPr>
        <w:pStyle w:val="FootnoteText"/>
        <w:spacing w:before="30" w:after="30"/>
        <w:jc w:val="left"/>
        <w:rPr>
          <w:lang w:val="es-ES_tradnl"/>
        </w:rPr>
      </w:pPr>
      <w:r>
        <w:rPr>
          <w:rStyle w:val="FootnoteReference"/>
        </w:rPr>
        <w:footnoteRef/>
      </w:r>
      <w:r>
        <w:rPr>
          <w:lang w:val="es-ES_tradnl"/>
        </w:rPr>
        <w:tab/>
        <w:t xml:space="preserve">Plataforma de datos abiertos sobre los Fondos EIE: </w:t>
      </w:r>
      <w:hyperlink r:id="rId2">
        <w:r>
          <w:rPr>
            <w:rStyle w:val="Hyperlink"/>
            <w:lang w:val="es-ES_tradnl"/>
          </w:rPr>
          <w:t>https</w:t>
        </w:r>
        <w:r>
          <w:rPr>
            <w:rStyle w:val="Hyperlink"/>
            <w:lang w:val="es-ES_tradnl"/>
          </w:rPr>
          <w:t>://cohesiondata.ec.europa.eu/</w:t>
        </w:r>
      </w:hyperlink>
      <w:r>
        <w:rPr>
          <w:lang w:val="es-ES_tradnl"/>
        </w:rPr>
        <w:t>.</w:t>
      </w:r>
    </w:p>
  </w:footnote>
  <w:footnote w:id="4">
    <w:p w:rsidR="003861AB" w:rsidRDefault="00924D5F">
      <w:pPr>
        <w:pStyle w:val="FootnoteText"/>
        <w:tabs>
          <w:tab w:val="left" w:pos="426"/>
        </w:tabs>
        <w:spacing w:after="0"/>
        <w:rPr>
          <w:lang w:val="es-ES_tradnl"/>
        </w:rPr>
      </w:pPr>
      <w:r>
        <w:rPr>
          <w:rStyle w:val="FootnoteReference"/>
        </w:rPr>
        <w:footnoteRef/>
      </w:r>
      <w:r>
        <w:rPr>
          <w:lang w:val="es-ES_tradnl"/>
        </w:rPr>
        <w:tab/>
        <w:t>Esta cifra se refiere únicamente a proyectos de tipo inversión. La cifra de proyectos de no inversión apoyados por el Feader asciende a 2 664 000.</w:t>
      </w:r>
    </w:p>
  </w:footnote>
  <w:footnote w:id="5">
    <w:p w:rsidR="003861AB" w:rsidRDefault="00924D5F">
      <w:pPr>
        <w:pStyle w:val="ListParagraph"/>
        <w:tabs>
          <w:tab w:val="left" w:pos="426"/>
        </w:tabs>
        <w:spacing w:after="0"/>
        <w:ind w:left="357" w:hanging="357"/>
        <w:contextualSpacing w:val="0"/>
        <w:rPr>
          <w:lang w:val="es-ES_tradnl"/>
        </w:rPr>
      </w:pPr>
      <w:r>
        <w:rPr>
          <w:rStyle w:val="FootnoteReference"/>
          <w:sz w:val="20"/>
        </w:rPr>
        <w:footnoteRef/>
      </w:r>
      <w:r>
        <w:rPr>
          <w:lang w:val="es-ES_tradnl"/>
        </w:rPr>
        <w:tab/>
      </w:r>
      <w:r>
        <w:rPr>
          <w:sz w:val="20"/>
          <w:lang w:val="es-ES_tradnl"/>
        </w:rPr>
        <w:t>Todos los Fondos EIE se destinan al apoyo a empresas. Los proyectos selecc</w:t>
      </w:r>
      <w:r>
        <w:rPr>
          <w:sz w:val="20"/>
          <w:lang w:val="es-ES_tradnl"/>
        </w:rPr>
        <w:t>ionados prestarán apoyo (o lo han prestado) a 598 000 empresas en el marco del FEDER, 162 400 microempresas y pequeñas y medianas empresas en el marco del FSE y 248 600 empresas rurales en el marco del Feader (ayuda a 106 600 jóvenes agricultores e inversi</w:t>
      </w:r>
      <w:r>
        <w:rPr>
          <w:sz w:val="20"/>
          <w:lang w:val="es-ES_tradnl"/>
        </w:rPr>
        <w:t>ones en activos físicos en 142 000 explotaciones agrarias).</w:t>
      </w:r>
    </w:p>
  </w:footnote>
  <w:footnote w:id="6">
    <w:p w:rsidR="003861AB" w:rsidRDefault="00924D5F">
      <w:pPr>
        <w:pStyle w:val="FootnoteText"/>
        <w:spacing w:after="0"/>
        <w:rPr>
          <w:lang w:val="es-ES_tradnl"/>
        </w:rPr>
      </w:pPr>
      <w:r>
        <w:rPr>
          <w:rStyle w:val="FootnoteReference"/>
        </w:rPr>
        <w:footnoteRef/>
      </w:r>
      <w:r>
        <w:rPr>
          <w:lang w:val="es-ES_tradnl"/>
        </w:rPr>
        <w:tab/>
        <w:t>Una parte del volumen de selección del apartado «objetivos multitemáticos» pertenece a este ámbito (véase el anexo 1.1).</w:t>
      </w:r>
    </w:p>
  </w:footnote>
  <w:footnote w:id="7">
    <w:p w:rsidR="003861AB" w:rsidRDefault="00924D5F">
      <w:pPr>
        <w:pStyle w:val="FootnoteText"/>
        <w:spacing w:after="0"/>
        <w:rPr>
          <w:lang w:val="es-ES_tradnl"/>
        </w:rPr>
      </w:pPr>
      <w:r>
        <w:rPr>
          <w:rStyle w:val="FootnoteReference"/>
        </w:rPr>
        <w:footnoteRef/>
      </w:r>
      <w:r>
        <w:rPr>
          <w:lang w:val="es-ES_tradnl"/>
        </w:rPr>
        <w:tab/>
      </w:r>
      <w:hyperlink r:id="rId3">
        <w:r>
          <w:rPr>
            <w:rStyle w:val="Hyperlink"/>
            <w:lang w:val="es-ES_tradnl"/>
          </w:rPr>
          <w:t>https://cohesiondata.ec.europa.eu/themes</w:t>
        </w:r>
      </w:hyperlink>
      <w:r>
        <w:rPr>
          <w:lang w:val="es-ES_tradnl"/>
        </w:rPr>
        <w:t>.</w:t>
      </w:r>
    </w:p>
  </w:footnote>
  <w:footnote w:id="8">
    <w:p w:rsidR="003861AB" w:rsidRDefault="00924D5F">
      <w:pPr>
        <w:pStyle w:val="FootnoteText"/>
        <w:spacing w:after="0"/>
        <w:rPr>
          <w:lang w:val="es-ES_tradnl"/>
        </w:rPr>
      </w:pPr>
      <w:r>
        <w:rPr>
          <w:rStyle w:val="FootnoteReference"/>
        </w:rPr>
        <w:footnoteRef/>
      </w:r>
      <w:r>
        <w:rPr>
          <w:lang w:val="es-ES_tradnl"/>
        </w:rPr>
        <w:tab/>
        <w:t xml:space="preserve">El FSE contribuye a los objetivos de desarrollo sostenible (es decir, a las capacidades ecológicas), en particular, a través de los objetivos secundarios de apoyo en el marco de los objetivos temáticos 8 y 10. </w:t>
      </w:r>
    </w:p>
  </w:footnote>
  <w:footnote w:id="9">
    <w:p w:rsidR="003861AB" w:rsidRDefault="00924D5F">
      <w:pPr>
        <w:pStyle w:val="FootnoteText"/>
        <w:spacing w:after="0"/>
        <w:rPr>
          <w:lang w:val="es-ES_tradnl"/>
        </w:rPr>
      </w:pPr>
      <w:r>
        <w:rPr>
          <w:rStyle w:val="FootnoteReference"/>
        </w:rPr>
        <w:footnoteRef/>
      </w:r>
      <w:r>
        <w:rPr>
          <w:lang w:val="es-ES_tradnl"/>
        </w:rPr>
        <w:tab/>
        <w:t>Reglamento de Ejecución (UE) n.º 215/2014 de la Comisión, de 7 de marzo de 2014 (DO L 69 de 8.3.2014, p. 65).</w:t>
      </w:r>
    </w:p>
  </w:footnote>
  <w:footnote w:id="10">
    <w:p w:rsidR="003861AB" w:rsidRDefault="00924D5F">
      <w:pPr>
        <w:pStyle w:val="FootnoteText"/>
        <w:spacing w:after="0"/>
        <w:rPr>
          <w:lang w:val="es-ES_tradnl"/>
        </w:rPr>
      </w:pPr>
      <w:r>
        <w:rPr>
          <w:rStyle w:val="FootnoteReference"/>
        </w:rPr>
        <w:footnoteRef/>
      </w:r>
      <w:r>
        <w:rPr>
          <w:lang w:val="es-ES_tradnl"/>
        </w:rPr>
        <w:tab/>
        <w:t>Se están abordando las cuestiones relativas al uso coherente de estos indicadores a la hora de establecer objetivos y excluir el doble cómputo.</w:t>
      </w:r>
    </w:p>
  </w:footnote>
  <w:footnote w:id="11">
    <w:p w:rsidR="003861AB" w:rsidRDefault="00924D5F">
      <w:pPr>
        <w:pStyle w:val="FootnoteText"/>
        <w:rPr>
          <w:lang w:val="es-ES_tradnl"/>
        </w:rPr>
      </w:pPr>
      <w:r>
        <w:rPr>
          <w:rStyle w:val="FootnoteReference"/>
        </w:rPr>
        <w:footnoteRef/>
      </w:r>
      <w:r>
        <w:rPr>
          <w:lang w:val="es-ES_tradnl"/>
        </w:rPr>
        <w:tab/>
      </w:r>
      <w:hyperlink r:id="rId4">
        <w:r>
          <w:rPr>
            <w:rStyle w:val="Hyperlink"/>
            <w:lang w:val="es-ES_tradnl"/>
          </w:rPr>
          <w:t>https://cohesiondata.ec.europa.eu/countries/TC</w:t>
        </w:r>
      </w:hyperlink>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5F" w:rsidRPr="00924D5F" w:rsidRDefault="00924D5F" w:rsidP="00924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5F" w:rsidRPr="00924D5F" w:rsidRDefault="00924D5F" w:rsidP="00924D5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5F" w:rsidRPr="00924D5F" w:rsidRDefault="00924D5F" w:rsidP="00924D5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AB" w:rsidRDefault="003861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AB" w:rsidRDefault="003861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AB" w:rsidRDefault="00386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CORRIGENDUM_x000b_This document corrects document COM(2018)816 final of 19.12.2018_x000b_Concerns all language versions_x000b_Correction of errors in the act and annex and addition of the reference to the Staff Working Document SWD(2019) 145  linked to the Report_x000b_The text shall read as follows"/>
    <w:docVar w:name="LW_COVERPAGE_EXISTS" w:val="True"/>
    <w:docVar w:name="LW_COVERPAGE_GUID" w:val="C939FC5C-E6DE-4978-9B41-2B764A1A7942"/>
    <w:docVar w:name="LW_COVERPAGE_TYPE" w:val="1"/>
    <w:docVar w:name="LW_CROSSREFERENCE" w:val="{SWD(2019) 145 final}"/>
    <w:docVar w:name="LW_DocType" w:val="NORMAL"/>
    <w:docVar w:name="LW_EMISSION" w:val="1.4.2019"/>
    <w:docVar w:name="LW_EMISSION_ISODATE" w:val="2019-04-01"/>
    <w:docVar w:name="LW_EMISSION_LOCATION" w:val="BRX"/>
    <w:docVar w:name="LW_EMISSION_PREFIX" w:val="Bruselas, "/>
    <w:docVar w:name="LW_EMISSION_SUFFIX" w:val=" "/>
    <w:docVar w:name="LW_ID_DOCTYPE_NONLW" w:val="CP-008"/>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Fondos Estructurales y de Inversión Europeos 2014-2020_x000d__x000d__x000b_Informe resumido de 2018 de los informes de ejecución anuales de los programas _x000d__x000d__x000b_que abarcan la ejecución en el período 2014-2017_x000d__x000d__x000d__x000d__x000d__x000d__x000d__x000d__x000d__x000d__x000b__x000d__x000d__x000d__x000d__x000d__x000d__x000d__x000d__x000d_"/>
    <w:docVar w:name="LW_TYPE.DOC.CP" w:val="INFORME DE LA COMISIÓN AL PARLAMENTO EUROPEO, AL CONSEJO, AL COMITÉ ECONÓMICO Y SOCIAL EUROPEO Y AL COMITÉ DE LAS REGIONES"/>
  </w:docVars>
  <w:rsids>
    <w:rsidRoot w:val="003861AB"/>
    <w:rsid w:val="003861AB"/>
    <w:rsid w:val="00924D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88E12E-9E83-4DF4-8A05-DC7AE9B6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EA12-EA79-4306-834B-A746C38F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9361</Words>
  <Characters>47839</Characters>
  <Application>Microsoft Office Word</Application>
  <DocSecurity>0</DocSecurity>
  <Lines>735</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21</cp:revision>
  <dcterms:created xsi:type="dcterms:W3CDTF">2019-03-20T09:54:00Z</dcterms:created>
  <dcterms:modified xsi:type="dcterms:W3CDTF">2019-04-01T12:17:00Z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