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5ECCC05E-AD45-4398-A2BA-F7473A839A53"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BILAGA </w:t>
      </w:r>
    </w:p>
    <w:p>
      <w:pPr>
        <w:pStyle w:val="Heading1"/>
        <w:numPr>
          <w:ilvl w:val="0"/>
          <w:numId w:val="3"/>
        </w:numPr>
        <w:rPr>
          <w:noProof/>
        </w:rPr>
      </w:pPr>
      <w:r>
        <w:rPr>
          <w:noProof/>
        </w:rPr>
        <w:t>REGLERNAS OCH ÅTAGANDENAS ART OCH TILLÄMPNINGSOMRÅDE</w:t>
      </w:r>
    </w:p>
    <w:p>
      <w:pPr>
        <w:pStyle w:val="NumPar1"/>
        <w:numPr>
          <w:ilvl w:val="0"/>
          <w:numId w:val="2"/>
        </w:numPr>
        <w:rPr>
          <w:noProof/>
        </w:rPr>
      </w:pPr>
      <w:r>
        <w:rPr>
          <w:noProof/>
        </w:rPr>
        <w:t>På grundval av rådets befintliga bemyndigande för förhandlingar i Världshandelsorganisationen (WTO) inom ramen för utvecklingsagendan från Doha, bör syftet med de plurilaterala förhandlingarna vara att införa bestämmelser i WTO om handelsrelaterade aspekter av elektronisk handel i syfte att stärka den globala elektroniska handeln, underlätta verksamheten för företag, inbegripet mikroföretag och små och medelstora företag, i synnerhet genom att stärka konsumenternas förtroende för onlinemiljön och genom att skapa nya möjligheter att främja en inkluderande och hållbar tillväxt och utveckling. Förhandlingarna bör också syfta till att liberalisera handeln med tjänster och varor inom vissa sektorer som är direkt relevanta när det gäller att möjliggöra elektronisk handel.</w:t>
      </w:r>
    </w:p>
    <w:p>
      <w:pPr>
        <w:pStyle w:val="NumPar1"/>
        <w:rPr>
          <w:noProof/>
        </w:rPr>
      </w:pPr>
      <w:r>
        <w:rPr>
          <w:noProof/>
        </w:rPr>
        <w:t xml:space="preserve">Förhandlingarna bör föras och slutföras med vederbörlig hänsyn till medlemmarnas rättigheter och skyldigheter enligt WTO, med iakttagande av principerna om transparens och delaktighet och med utgångspunkt i befintliga WTO-avtal, inklusive de undantag som anges i dessa. </w:t>
      </w:r>
    </w:p>
    <w:p>
      <w:pPr>
        <w:pStyle w:val="NumPar1"/>
        <w:rPr>
          <w:noProof/>
        </w:rPr>
      </w:pPr>
      <w:r>
        <w:rPr>
          <w:noProof/>
        </w:rPr>
        <w:t>Förhandlingarna bör syfta till att komma fram till bestämmelser och åtaganden som håller en hög standard och omfattar  så många WTO-medlemmar som möjligt. Förhandlingarna bör ta hänsyn till WTO:s medlemmars unika möjligheter och utmaningar när det gäller elektronisk handel. Därför bör reglerna och åtagandena ge tillräcklig flexibilitet.</w:t>
      </w:r>
    </w:p>
    <w:p>
      <w:pPr>
        <w:pStyle w:val="NumPar1"/>
        <w:rPr>
          <w:b/>
          <w:noProof/>
        </w:rPr>
      </w:pPr>
      <w:r>
        <w:rPr>
          <w:noProof/>
        </w:rPr>
        <w:t xml:space="preserve">De regler och åtaganden som Europeiska unionen (EU) når en överenskommelse om bör ta hänsyn till skyldigheten att iaktta principen om behandling som mest gynnad nation i befintliga WTO-avtal, såvida inte WTO-medlemmarna enas om något annat. </w:t>
      </w:r>
    </w:p>
    <w:p>
      <w:pPr>
        <w:pStyle w:val="Heading1"/>
        <w:rPr>
          <w:noProof/>
          <w:szCs w:val="24"/>
        </w:rPr>
      </w:pPr>
      <w:r>
        <w:rPr>
          <w:noProof/>
        </w:rPr>
        <w:t>FÖRESLAGET INNEHÅLL I  REGLERNA OCH ÅTAGANDENA</w:t>
      </w:r>
    </w:p>
    <w:p>
      <w:pPr>
        <w:pStyle w:val="NumPar1"/>
        <w:rPr>
          <w:noProof/>
        </w:rPr>
      </w:pPr>
      <w:r>
        <w:rPr>
          <w:noProof/>
        </w:rPr>
        <w:t>Förhandlingarna bör syfta till att utarbeta nya bestämmelser för de handelsrelaterade aspekterna av elektronisk handel inom ramen för WTO. Dessa bör syfta till att förbättra villkoren för den globala elektroniska handeln till förmån för företag och konsumenter i Europeiska unionen samt till att få mikroföretag, små och medelstora företag samt utvecklingsländerna och de minst utvecklade länderna att i ökad utsträckning delta i de globala värdekedjorna.</w:t>
      </w:r>
    </w:p>
    <w:p>
      <w:pPr>
        <w:pStyle w:val="NumPar1"/>
        <w:rPr>
          <w:noProof/>
        </w:rPr>
      </w:pPr>
      <w:r>
        <w:rPr>
          <w:noProof/>
        </w:rPr>
        <w:t>Förhandlingarna ska föras på ett öppet och inkluderande sätt. De kan således omfatta alla handelsrelaterade aspekter av elektronisk handel som föreslås av de deltagande medlemmarna. Med tanke på den elektroniska handelns övergripande karaktär kan förhandlingarna omfatta följande områden:</w:t>
      </w:r>
    </w:p>
    <w:p>
      <w:pPr>
        <w:pStyle w:val="Tiret1"/>
        <w:numPr>
          <w:ilvl w:val="0"/>
          <w:numId w:val="1"/>
        </w:numPr>
        <w:rPr>
          <w:noProof/>
        </w:rPr>
      </w:pPr>
      <w:r>
        <w:rPr>
          <w:noProof/>
        </w:rPr>
        <w:t>Underlättande av elektroniska transaktioner (t.ex. elektroniska signaturer och andra betrodda tjänster, elektronisk autentisering).</w:t>
      </w:r>
    </w:p>
    <w:p>
      <w:pPr>
        <w:pStyle w:val="Tiret1"/>
        <w:rPr>
          <w:noProof/>
        </w:rPr>
      </w:pPr>
      <w:r>
        <w:rPr>
          <w:noProof/>
        </w:rPr>
        <w:t>Tullar på elektroniska överföringar och överfört innehåll.</w:t>
      </w:r>
    </w:p>
    <w:p>
      <w:pPr>
        <w:pStyle w:val="Tiret1"/>
        <w:rPr>
          <w:noProof/>
        </w:rPr>
      </w:pPr>
      <w:r>
        <w:rPr>
          <w:noProof/>
        </w:rPr>
        <w:t xml:space="preserve">Konsumenternas förtroende (t.ex. konsumentskydd på nätet, icke begärd elektronisk kommunikation, tillgång till rättslig prövning). </w:t>
      </w:r>
    </w:p>
    <w:p>
      <w:pPr>
        <w:pStyle w:val="Tiret1"/>
        <w:rPr>
          <w:noProof/>
        </w:rPr>
      </w:pPr>
      <w:r>
        <w:rPr>
          <w:noProof/>
        </w:rPr>
        <w:t>Regleringsbestämmelser för telekommunikationstjänster för att säkerställa lika villkor och effektiv konkurrens inom telekommunikationssektorn.</w:t>
      </w:r>
    </w:p>
    <w:p>
      <w:pPr>
        <w:pStyle w:val="Tiret1"/>
        <w:rPr>
          <w:noProof/>
        </w:rPr>
      </w:pPr>
      <w:r>
        <w:rPr>
          <w:noProof/>
        </w:rPr>
        <w:t>Gränsöverskridande dataflöden, datalokaliseringskrav och skydd av personuppgifter.</w:t>
      </w:r>
    </w:p>
    <w:p>
      <w:pPr>
        <w:pStyle w:val="Tiret1"/>
        <w:rPr>
          <w:noProof/>
        </w:rPr>
      </w:pPr>
      <w:r>
        <w:rPr>
          <w:noProof/>
        </w:rPr>
        <w:t>Företagens förtroende (t.ex. skydd av datakällkod, påtvingad tekniköverföring).</w:t>
      </w:r>
    </w:p>
    <w:p>
      <w:pPr>
        <w:pStyle w:val="Tiret1"/>
        <w:rPr>
          <w:noProof/>
        </w:rPr>
      </w:pPr>
      <w:r>
        <w:rPr>
          <w:noProof/>
        </w:rPr>
        <w:t>Förbättrad tillgång till elektronisk handel (t.ex. tillgång till internet, onlinetjänster och offentliga uppgifter eller ansvar för och tillgång till mellanhänder på internet).</w:t>
      </w:r>
    </w:p>
    <w:p>
      <w:pPr>
        <w:pStyle w:val="Tiret1"/>
        <w:rPr>
          <w:noProof/>
        </w:rPr>
      </w:pPr>
      <w:r>
        <w:rPr>
          <w:noProof/>
        </w:rPr>
        <w:t>Åtgärder för förenklade handelsprocedurer av relevans för elektronisk handel (t.ex. papperslös handel), med vederbörlig hänsyn till WTO-avtalet om förenklade handelsprocedurer,</w:t>
      </w:r>
    </w:p>
    <w:p>
      <w:pPr>
        <w:pStyle w:val="Tiret1"/>
        <w:rPr>
          <w:noProof/>
        </w:rPr>
      </w:pPr>
      <w:r>
        <w:rPr>
          <w:noProof/>
        </w:rPr>
        <w:t>E-handelsrelaterade aspekter av immateriella rättigheter, inbegripet företagshemligheter.</w:t>
      </w:r>
    </w:p>
    <w:p>
      <w:pPr>
        <w:pStyle w:val="Tiret1"/>
        <w:rPr>
          <w:noProof/>
        </w:rPr>
      </w:pPr>
      <w:r>
        <w:rPr>
          <w:noProof/>
        </w:rPr>
        <w:t>Utvecklingsrelaterade frågor.</w:t>
      </w:r>
    </w:p>
    <w:p>
      <w:pPr>
        <w:pStyle w:val="Tiret1"/>
        <w:rPr>
          <w:noProof/>
        </w:rPr>
      </w:pPr>
      <w:r>
        <w:rPr>
          <w:noProof/>
        </w:rPr>
        <w:t xml:space="preserve">Transparens. </w:t>
      </w:r>
    </w:p>
    <w:p>
      <w:pPr>
        <w:pStyle w:val="Tiret1"/>
        <w:rPr>
          <w:noProof/>
        </w:rPr>
      </w:pPr>
      <w:r>
        <w:rPr>
          <w:noProof/>
        </w:rPr>
        <w:t xml:space="preserve">Samarbete (t.ex. mellan deltagande medlemmar, konsumentskyddsmyndigheter). </w:t>
      </w:r>
    </w:p>
    <w:p>
      <w:pPr>
        <w:pStyle w:val="NumPar1"/>
        <w:rPr>
          <w:noProof/>
        </w:rPr>
      </w:pPr>
      <w:r>
        <w:rPr>
          <w:noProof/>
        </w:rPr>
        <w:t xml:space="preserve">Europeiska unionen får också inleda förhandlingar om andra handelsrelaterade aspekter av elektronisk handel som föreslås av de deltagande medlemmarna, i enlighet med dessa direktiv. </w:t>
      </w:r>
    </w:p>
    <w:p>
      <w:pPr>
        <w:pStyle w:val="NumPar1"/>
        <w:rPr>
          <w:noProof/>
        </w:rPr>
      </w:pPr>
      <w:r>
        <w:rPr>
          <w:noProof/>
        </w:rPr>
        <w:t xml:space="preserve">Förhandlingarna bör också syfta till en gradvis liberalisering av handeln med tjänster och varor genom att minska begränsningarna av marknadstillträde och nationell behandling inom vissa specifika sektorer som är direkt relevanta när det gäller att möjliggöra elektronisk handel, i synnerhet telekommunikationstjänster och datatjänster och tillhörande tjänster, utöver medlemmarnas befintliga WTO-åtaganden. </w:t>
      </w:r>
    </w:p>
    <w:p>
      <w:pPr>
        <w:pStyle w:val="NumPar1"/>
        <w:rPr>
          <w:noProof/>
        </w:rPr>
      </w:pPr>
      <w:r>
        <w:rPr>
          <w:noProof/>
        </w:rPr>
        <w:t xml:space="preserve">Alla regler eller åtaganden som Europeiska unionen kommer överens om bör vara förenliga med EU:s rättsliga ram. </w:t>
      </w:r>
    </w:p>
    <w:p>
      <w:pPr>
        <w:pStyle w:val="NumPar1"/>
        <w:rPr>
          <w:noProof/>
          <w:sz w:val="22"/>
        </w:rPr>
      </w:pPr>
      <w:r>
        <w:rPr>
          <w:noProof/>
        </w:rPr>
        <w:t>Europeiska unionen ska i synnerhet inte komma överens om bestämmelser eller åtaganden som skulle kunna påverka den rättsliga ramen för cybersäkerhet, särskilt vad gäller en hög gemensam nivå på säkerhet i nätverks- och informationssystem i hela Europeiska unionen.</w:t>
      </w:r>
    </w:p>
    <w:p>
      <w:pPr>
        <w:pStyle w:val="NumPar1"/>
        <w:rPr>
          <w:noProof/>
        </w:rPr>
      </w:pPr>
      <w:r>
        <w:rPr>
          <w:noProof/>
        </w:rPr>
        <w:t xml:space="preserve">Dessutom ska Europeiska unionen inte komma överens om bestämmelser eller åtaganden som skulle kunna påverka dess rättsliga ram för skydd av personuppgifter. När det gäller gränsöverskridande dataflöden (krav på datalokalisering och skydd av personuppgifter) ska Europeiska unionen följa den horisontella strategi som godkänts i samband med bilaterala handels- och investeringsavtal. </w:t>
      </w:r>
    </w:p>
    <w:p>
      <w:pPr>
        <w:pStyle w:val="NumPar1"/>
        <w:rPr>
          <w:noProof/>
        </w:rPr>
      </w:pPr>
      <w:r>
        <w:rPr>
          <w:noProof/>
        </w:rPr>
        <w:t xml:space="preserve">Dessutom ska Europeiska unionen och dess medlemsstater behålla möjligheten att bevara och utveckla sin kapacitet att utforma och genomföra sin egen politik på det kulturella och audiovisuella området i syfte att bevara sin kulturella mångfald. Europeiska unionen ska inte komma överens om regler eller åtaganden för audiovisuella tjänster. Europeiska unionen ska inte göra några åtaganden om tjänster som tillhandahålls eller verksamhet som bedrivs i samband med utövandet av statliga befogenheter. </w:t>
      </w:r>
    </w:p>
    <w:p>
      <w:pPr>
        <w:pStyle w:val="NumPar1"/>
        <w:rPr>
          <w:noProof/>
        </w:rPr>
      </w:pPr>
      <w:r>
        <w:rPr>
          <w:noProof/>
        </w:rPr>
        <w:t>Reglerna och åtagandena ska inte hindra Europeiska unionen och dess medlemsstater och deras nationella, regionala och lokala myndigheter från att reglera ekonomisk verksamhet i allmänhetens intresse, för att uppnå legitima offentligpolitiska mål, t.ex. skydd och främjande av folkhälsa, sociala tjänster, offentlig utbildning, säkerhet, miljö, allmän moral, socialt skydd eller konsumentskydd, integritetsskydd och skydd av personuppgifter samt främjandet och skyddet av den kulturella mångfalden. Den höga kvaliteten på de offentliga tjänsterna i Europeiska unionen bör bevaras i enlighet med fördraget om Europeiska unionens funktionssätt, särskilt protokoll nr 26 om tjänster av allmänt intresse, och beakta Europeiska unionens förbehåll på detta område, bland annat inom ramen för Gats.</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2CCC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269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0475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EC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F838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8E64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B269E1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483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46: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5ECCC05E-AD45-4398-A2BA-F7473A839A53"/>
    <w:docVar w:name="LW_COVERPAGE_TYPE" w:val="1"/>
    <w:docVar w:name="LW_CROSSREFERENCE" w:val="&lt;UNUSED&gt;"/>
    <w:docVar w:name="LW_DocType" w:val="ANNEX"/>
    <w:docVar w:name="LW_EMISSION" w:val="2.4.2019"/>
    <w:docVar w:name="LW_EMISSION_ISODATE" w:val="2019-04-02"/>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komplettering av förhandlingsdirektiven för utvecklingsagendan från Doha vad gäller de plurilaterala förhandlingarna om regler och åtaganden om elektronisk handel _x000b_"/>
    <w:docVar w:name="LW_OBJETACTEPRINCIPAL.CP" w:val="om komplettering av förhandlingsdirektiven för utvecklingsagendan från Doha vad gäller de plurilaterala förhandlingarna om regler och åtaganden om elektronisk handel _x000b_"/>
    <w:docVar w:name="LW_PART_NBR" w:val="1"/>
    <w:docVar w:name="LW_PART_NBR_TOTAL" w:val="1"/>
    <w:docVar w:name="LW_REF.INST.NEW" w:val="COM"/>
    <w:docVar w:name="LW_REF.INST.NEW_ADOPTED" w:val="final"/>
    <w:docVar w:name="LW_REF.INST.NEW_TEXT" w:val="(2019)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Rekommendation till rådets beslut_x000b_"/>
    <w:docVar w:name="LW_TYPEACTEPRINCIPAL.CP" w:val="Rekommendation till rådets beslut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823</Words>
  <Characters>5500</Characters>
  <Application>Microsoft Office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2019-04-03T08:20:00Z</dcterms:created>
  <dcterms:modified xsi:type="dcterms:W3CDTF">2019-04-04T14:46:00Z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