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9195A61-0DE1-46FC-BA5E-B7356DB00C36" style="width:450.8pt;height:38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PRIEDAS </w:t>
      </w:r>
    </w:p>
    <w:p>
      <w:pPr>
        <w:pStyle w:val="Heading1"/>
        <w:numPr>
          <w:ilvl w:val="0"/>
          <w:numId w:val="3"/>
        </w:numPr>
        <w:rPr>
          <w:noProof/>
        </w:rPr>
      </w:pPr>
      <w:r>
        <w:rPr>
          <w:noProof/>
        </w:rPr>
        <w:t>TAISYKLIŲ IR ĮSIPAREIGOJIMŲ POBŪDIS IR APRĖPTIS</w:t>
      </w:r>
    </w:p>
    <w:p>
      <w:pPr>
        <w:pStyle w:val="NumPar1"/>
        <w:numPr>
          <w:ilvl w:val="0"/>
          <w:numId w:val="2"/>
        </w:numPr>
        <w:rPr>
          <w:noProof/>
        </w:rPr>
      </w:pPr>
      <w:r>
        <w:rPr>
          <w:noProof/>
        </w:rPr>
        <w:t>Remiantis galiojančiu Tarybos suteiktu įgaliojimu vesti derybas Pasaulio prekybos organizacijoje (PPO) pagal Dohos vystymosi darbotvarkę, daugiašalėmis derybomis turėtų būti siekiama nustatyti PPO taisykles dėl su prekyba susijusių elektroninės prekybos aspektų, siekiant didinti pasaulinės elektroninės prekybos mastą ir lengvinti įmonių, įskaitant labai mažas, mažas ir vidutines įmones, veiklą, visų pirma stiprinant vartotojų pasitikėjimą interneto aplinka ir suteikiant naujų galimybių skatinti integracinį ir tvarų augimą ir vystymąsi. Derybomis taip pat turėtų būti siekiama liberalizuoti prekybą paslaugomis ir prekėmis tam tikruose sektoriuose, tiesiogiai svarbiuose vykdant elektroninę prekybą.</w:t>
      </w:r>
    </w:p>
    <w:p>
      <w:pPr>
        <w:pStyle w:val="NumPar1"/>
        <w:rPr>
          <w:noProof/>
        </w:rPr>
      </w:pPr>
      <w:r>
        <w:rPr>
          <w:noProof/>
        </w:rPr>
        <w:t xml:space="preserve">Derybos turėtų būti vedamos ir užbaigtos tinkamai atsižvelgiant į narių teises ir prievoles PPO, laikantis skaidrumo bei įtraukumo principų ir remiantis galiojančiais PPO susitarimais, taip pat atsižvelgiant į juose nustatytas išimtis. </w:t>
      </w:r>
    </w:p>
    <w:p>
      <w:pPr>
        <w:pStyle w:val="NumPar1"/>
        <w:rPr>
          <w:noProof/>
        </w:rPr>
      </w:pPr>
      <w:r>
        <w:rPr>
          <w:noProof/>
        </w:rPr>
        <w:t>Derybomis turėtų būti siekiama parengti aukštus standartus atitinkančias taisykles ir įsipareigojimus, dalyvaujant kuo daugiau PPO narių. Vedant derybas turėtų būti atsižvelgiama į unikalias PPO narėms atsiveriančias galimybes ir joms kylančias problemas, susijusias su elektronine prekyba. Todėl taisyklėmis ir įsipareigojimais turėtų būti užtikrinamas deramas lankstumas.</w:t>
      </w:r>
    </w:p>
    <w:p>
      <w:pPr>
        <w:pStyle w:val="NumPar1"/>
        <w:rPr>
          <w:b/>
          <w:noProof/>
        </w:rPr>
      </w:pPr>
      <w:r>
        <w:rPr>
          <w:noProof/>
        </w:rPr>
        <w:t xml:space="preserve">Taisyklėse ir įsipareigojimuose, kuriems pritartų Europos Sąjunga (ES), turėtų būti atsižvelgiama į galiojančiuose PPO susitarimuose nustatytą didžiausio palankumo režimo prievolę, nebent PPO narės susitartų kitaip. </w:t>
      </w:r>
    </w:p>
    <w:p>
      <w:pPr>
        <w:pStyle w:val="Heading1"/>
        <w:rPr>
          <w:noProof/>
          <w:szCs w:val="24"/>
        </w:rPr>
      </w:pPr>
      <w:r>
        <w:rPr>
          <w:noProof/>
        </w:rPr>
        <w:t>SIŪLOMAS TAISYKLIŲ IR ĮSIPAREIGOJIMŲ TURINYS</w:t>
      </w:r>
    </w:p>
    <w:p>
      <w:pPr>
        <w:pStyle w:val="NumPar1"/>
        <w:rPr>
          <w:noProof/>
        </w:rPr>
      </w:pPr>
      <w:r>
        <w:rPr>
          <w:noProof/>
        </w:rPr>
        <w:t>Derybose turėtų būti parengtos naujos PPO taisyklės dėl su prekyba susijusių elektroninės prekybos aspektų. Šiomis taisyklėmis turėtų būti siekiama gerinti pasaulinės elektroninės prekybos sąlygas, kad ji būtų naudingesnė Europos Sąjungos įmonėms ir vartotojams, ir įtraukti į pasaulinės vertės grandines daugiau labai mažų, mažų ir vidutinių įmonių bei besivystančių ir mažiausiai išsivysčiusių šalių.</w:t>
      </w:r>
    </w:p>
    <w:p>
      <w:pPr>
        <w:pStyle w:val="NumPar1"/>
        <w:rPr>
          <w:noProof/>
        </w:rPr>
      </w:pPr>
      <w:r>
        <w:rPr>
          <w:noProof/>
        </w:rPr>
        <w:t>Derybos turi vykti atvirai ir įtraukiai. Todėl jos gali apimti bet kokį dalyvaujančių narių pasiūlytą su prekyba susijusį elektroninės prekybos aspektą. Pripažįstant kompleksinį elektroninės prekybos pobūdį derybos gali apimti tokius klausimus kaip:</w:t>
      </w:r>
    </w:p>
    <w:p>
      <w:pPr>
        <w:pStyle w:val="Tiret1"/>
        <w:numPr>
          <w:ilvl w:val="0"/>
          <w:numId w:val="1"/>
        </w:numPr>
        <w:rPr>
          <w:noProof/>
        </w:rPr>
      </w:pPr>
      <w:r>
        <w:rPr>
          <w:noProof/>
        </w:rPr>
        <w:t>elektroninių sandorių lengvinimas (pvz., elektroniniai parašai ir kitos patikimumo užtikrinimo paslaugos, elektroninis tapatumo nustatymas);</w:t>
      </w:r>
    </w:p>
    <w:p>
      <w:pPr>
        <w:pStyle w:val="Tiret1"/>
        <w:rPr>
          <w:noProof/>
        </w:rPr>
      </w:pPr>
      <w:r>
        <w:rPr>
          <w:noProof/>
        </w:rPr>
        <w:t>perdavimo elektroninėmis priemonėmis ir perduodamo turinio muitai;</w:t>
      </w:r>
    </w:p>
    <w:p>
      <w:pPr>
        <w:pStyle w:val="Tiret1"/>
        <w:rPr>
          <w:noProof/>
        </w:rPr>
      </w:pPr>
      <w:r>
        <w:rPr>
          <w:noProof/>
        </w:rPr>
        <w:t xml:space="preserve">vartotojų pasitikėjimas (pvz., vartotojų apsauga internete, nepageidaujami elektroniniai pranešimai, teisių gynimo galimybės); </w:t>
      </w:r>
    </w:p>
    <w:p>
      <w:pPr>
        <w:pStyle w:val="Tiret1"/>
        <w:rPr>
          <w:noProof/>
        </w:rPr>
      </w:pPr>
      <w:r>
        <w:rPr>
          <w:noProof/>
        </w:rPr>
        <w:t>telekomunikacijų paslaugoms taikomos reglamentuojamojo pobūdžio taisyklės, siekiant užtikrinti, kad telekomunikacijų sektoriuje būtų veikiama vienodomis sąlygomis ir veiksmingai konkuruojama;</w:t>
      </w:r>
    </w:p>
    <w:p>
      <w:pPr>
        <w:pStyle w:val="Tiret1"/>
        <w:rPr>
          <w:noProof/>
        </w:rPr>
      </w:pPr>
      <w:r>
        <w:rPr>
          <w:noProof/>
        </w:rPr>
        <w:t>tarpvalstybiniai duomenų srautai, duomenų vietos nustatymo reikalavimai ir asmens duomenų apsauga;</w:t>
      </w:r>
    </w:p>
    <w:p>
      <w:pPr>
        <w:pStyle w:val="Tiret1"/>
        <w:rPr>
          <w:noProof/>
        </w:rPr>
      </w:pPr>
      <w:r>
        <w:rPr>
          <w:noProof/>
        </w:rPr>
        <w:t>verslo pasitikėjimas (pvz., kompiuterinio pirminio kodo apsauga, priverstinio technologijų perdavimo klausimai);</w:t>
      </w:r>
    </w:p>
    <w:p>
      <w:pPr>
        <w:pStyle w:val="Tiret1"/>
        <w:rPr>
          <w:noProof/>
        </w:rPr>
      </w:pPr>
      <w:r>
        <w:rPr>
          <w:noProof/>
        </w:rPr>
        <w:t>geresnė prieiga prie elektroninės prekybos (pvz., interneto prieiga, internetinės paslaugos ir viešojo sektoriaus informacija arba interneto tarpininkų atsakomybė ir galimybė naudotis jų paslaugomis);</w:t>
      </w:r>
    </w:p>
    <w:p>
      <w:pPr>
        <w:pStyle w:val="Tiret1"/>
        <w:rPr>
          <w:noProof/>
        </w:rPr>
      </w:pPr>
      <w:r>
        <w:rPr>
          <w:noProof/>
        </w:rPr>
        <w:t>elektroninei prekybai svarbios prekybos lengvinimo priemonės (pvz., bepopieris prekiavimas), atsižvelgiant į PPO susitarimą dėl prekybos lengvinimo;</w:t>
      </w:r>
    </w:p>
    <w:p>
      <w:pPr>
        <w:pStyle w:val="Tiret1"/>
        <w:rPr>
          <w:noProof/>
        </w:rPr>
      </w:pPr>
      <w:r>
        <w:rPr>
          <w:noProof/>
        </w:rPr>
        <w:t>su elektronine prekyba susiję intelektinės nuosavybės teisių aspektai, įskaitant komercines paslaptis;</w:t>
      </w:r>
    </w:p>
    <w:p>
      <w:pPr>
        <w:pStyle w:val="Tiret1"/>
        <w:rPr>
          <w:noProof/>
        </w:rPr>
      </w:pPr>
      <w:r>
        <w:rPr>
          <w:noProof/>
        </w:rPr>
        <w:t>su vystymusi susiję klausimai;</w:t>
      </w:r>
    </w:p>
    <w:p>
      <w:pPr>
        <w:pStyle w:val="Tiret1"/>
        <w:rPr>
          <w:noProof/>
        </w:rPr>
      </w:pPr>
      <w:r>
        <w:rPr>
          <w:noProof/>
        </w:rPr>
        <w:t xml:space="preserve">skaidrumas ir </w:t>
      </w:r>
    </w:p>
    <w:p>
      <w:pPr>
        <w:pStyle w:val="Tiret1"/>
        <w:rPr>
          <w:noProof/>
        </w:rPr>
      </w:pPr>
      <w:r>
        <w:rPr>
          <w:noProof/>
        </w:rPr>
        <w:t xml:space="preserve">bendradarbiavimas (pvz., dalyvaujančių narių, vartotojų apsaugos institucijų). </w:t>
      </w:r>
    </w:p>
    <w:p>
      <w:pPr>
        <w:pStyle w:val="NumPar1"/>
        <w:rPr>
          <w:noProof/>
        </w:rPr>
      </w:pPr>
      <w:r>
        <w:rPr>
          <w:noProof/>
        </w:rPr>
        <w:t xml:space="preserve">Laikydamasi šių nurodymų Europos Sąjunga taip pat gali dalyvauti derybose dėl dalyvaujančių narių pasiūlytų kitų su prekyba susijusių elektroninės prekybos aspektų. </w:t>
      </w:r>
    </w:p>
    <w:p>
      <w:pPr>
        <w:pStyle w:val="NumPar1"/>
        <w:rPr>
          <w:noProof/>
        </w:rPr>
      </w:pPr>
      <w:r>
        <w:rPr>
          <w:noProof/>
        </w:rPr>
        <w:t xml:space="preserve">Derybomis taip pat turėtų būti siekiama palaipsniui liberalizuoti prekybą paslaugomis ir prekėmis, mažinant patekimo į rinką ir nacionalinio režimo apribojimus tam tikruose sektoriuose, kurie tiesiogiai svarbūs vykdant elektroninę prekybą, visų pirma telekomunikacijų paslaugų ir kompiuterių ir su jais susijusių paslaugų, praplečiant galiojančius narių įsipareigojimus PPO. </w:t>
      </w:r>
    </w:p>
    <w:p>
      <w:pPr>
        <w:pStyle w:val="NumPar1"/>
        <w:rPr>
          <w:noProof/>
        </w:rPr>
      </w:pPr>
      <w:r>
        <w:rPr>
          <w:noProof/>
        </w:rPr>
        <w:t xml:space="preserve">Bet kokia taisyklė ar įsipareigojimas, su kuriais Europos Sąjunga sutiktų, turėtų atitikti ES teisinę sistemą. </w:t>
      </w:r>
    </w:p>
    <w:p>
      <w:pPr>
        <w:pStyle w:val="NumPar1"/>
        <w:rPr>
          <w:noProof/>
          <w:sz w:val="22"/>
        </w:rPr>
      </w:pPr>
      <w:r>
        <w:rPr>
          <w:noProof/>
        </w:rPr>
        <w:t>Konkrečiai, Europos Sąjunga neturi sutikti su taisyklėmis ar įsipareigojimais, kurie galėtų paveikti jos kibernetinio saugumo teisinę sistemą, visų pirma visos Europos Sąjungos aukštą bendrą tinklų ir informacinių sistemų saugumo lygį.</w:t>
      </w:r>
    </w:p>
    <w:p>
      <w:pPr>
        <w:pStyle w:val="NumPar1"/>
        <w:rPr>
          <w:noProof/>
        </w:rPr>
      </w:pPr>
      <w:r>
        <w:rPr>
          <w:noProof/>
        </w:rPr>
        <w:t xml:space="preserve">Be to, Europos Sąjunga neturi sutikti su taisyklėmis ar įsipareigojimais, kurie galėtų paveikti jos asmens duomenų apsaugos teisinę sistemą. Dėl tarpvalstybinių duomenų srautų (duomenų vietos nustatymo reikalavimų ir asmens duomenų apsaugos) Europos Sąjunga turi laikytis horizontaliojo požiūrio, patvirtinto ryšium su dvišaliais prekybos ir investicijų susitarimais. </w:t>
      </w:r>
    </w:p>
    <w:p>
      <w:pPr>
        <w:pStyle w:val="NumPar1"/>
        <w:rPr>
          <w:noProof/>
        </w:rPr>
      </w:pPr>
      <w:r>
        <w:rPr>
          <w:noProof/>
        </w:rPr>
        <w:t xml:space="preserve">Be to, Europos Sąjunga ir jos valstybės narės turi išlaikyti galimybę išsaugoti ir plėtoti savo kompetenciją formuluoti ir įgyvendinti kultūros ir audiovizualinę politiką savo kultūrų įvairovei išsaugoti. Europos Sąjunga neturi sutikti su taisyklėmis ar įsipareigojimais, skirtais audiovizualinėms paslaugoms. Europos Sąjunga neturi prisiimti įsipareigojimų dėl paslaugų, teikiamų vykdant oficialias valdžios funkcijas, arba veiklos, įgyvendinamos vykdant šias funkcijas. </w:t>
      </w:r>
    </w:p>
    <w:p>
      <w:pPr>
        <w:pStyle w:val="NumPar1"/>
        <w:rPr>
          <w:noProof/>
        </w:rPr>
      </w:pPr>
      <w:r>
        <w:rPr>
          <w:noProof/>
        </w:rPr>
        <w:t>Taisyklėmis ir įsipareigojimais Europos Sąjungai bei jos valstybėms narėms ir jų nacionalinėms, regioninėms ir vietos valdžios institucijoms neturėtų būti užkertamas kelias reglamentuoti ekonominę veiklą atsižvelgiant į viešąjį interesą, kad būtų pasiekti teisėti viešosios politikos tikslai, pavyzdžiui, susiję su visuomenės sveikatos apsauga ir propagavimu, socialinėmis paslaugomis, valstybiniu švietimu, sauga, aplinka, visuomenės dorove, socialine ir vartotojų apsauga, privatumo ir asmens duomenų apsauga ir kultūrų įvairovės propagavimu ir apsauga. Aukšta Europos Sąjungos viešųjų paslaugų kokybė turėtų būti išlaikyta, kaip nustatyta Sutartyje dėl Europos Sąjungos veikimo ir visų pirma Protokole Nr. 26 dėl bendrus interesus tenkinančių paslaugų, atsižvelgiant į šios srities Europos Sąjungos išlygas, įskaitant nustatytąsias GATS.</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2CCC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269F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30475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CEC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FF838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E8E648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B269E1A"/>
    <w:lvl w:ilvl="0">
      <w:start w:val="1"/>
      <w:numFmt w:val="decimal"/>
      <w:pStyle w:val="ListNumber"/>
      <w:lvlText w:val="%1."/>
      <w:lvlJc w:val="left"/>
      <w:pPr>
        <w:tabs>
          <w:tab w:val="num" w:pos="360"/>
        </w:tabs>
        <w:ind w:left="360" w:hanging="360"/>
      </w:pPr>
    </w:lvl>
  </w:abstractNum>
  <w:abstractNum w:abstractNumId="7">
    <w:nsid w:val="FFFFFF89"/>
    <w:multiLevelType w:val="singleLevel"/>
    <w:tmpl w:val="013483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4:38: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D9195A61-0DE1-46FC-BA5E-B7356DB00C36"/>
    <w:docVar w:name="LW_COVERPAGE_TYPE" w:val="1"/>
    <w:docVar w:name="LW_CROSSREFERENCE" w:val="&lt;UNUSED&gt;"/>
    <w:docVar w:name="LW_DocType" w:val="ANNEX"/>
    <w:docVar w:name="LW_EMISSION" w:val="2019 04 02"/>
    <w:docVar w:name="LW_EMISSION_ISODATE" w:val="2019-04-02"/>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kuriuo papildomi pagal Dohos vystymosi darbotvark\u281? suteikti derybiniai nurodymai d\u279?l daugia\u353?ali\u371? deryb\u371? d\u279?l elektronin\u279?s prekybos taisykli\u371? ir \u303?sipareigojim\u371?"/>
    <w:docVar w:name="LW_OBJETACTEPRINCIPAL.CP" w:val="kuriuo papildomi pagal Dohos vystymosi darbotvark\u281? suteikti derybiniai nurodymai d\u279?l daugia\u353?ali\u371? deryb\u371? d\u279?l elektronin\u279?s prekybos taisykli\u371? ir \u303?sipareigojim\u371?"/>
    <w:docVar w:name="LW_PART_NBR" w:val="1"/>
    <w:docVar w:name="LW_PART_NBR_TOTAL" w:val="1"/>
    <w:docVar w:name="LW_REF.INST.NEW" w:val="COM"/>
    <w:docVar w:name="LW_REF.INST.NEW_ADOPTED" w:val="final"/>
    <w:docVar w:name="LW_REF.INST.NEW_TEXT" w:val="(2019) 1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Rekomendacijos d\u279?l Tarybos sprendimo"/>
    <w:docVar w:name="LW_TYPEACTEPRINCIPAL.CP" w:val="Rekomendacijos d\u279?l Tarybos sprendim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740</Words>
  <Characters>5443</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2019-04-04T08:02:00Z</dcterms:created>
  <dcterms:modified xsi:type="dcterms:W3CDTF">2019-04-04T12:38:00Z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ies>
</file>