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42D0FE4-B22A-45D3-885D-3F6E88B2D149" style="width:450.75pt;height:366pt">
            <v:imagedata r:id="rId11" o:title=""/>
          </v:shape>
        </w:pict>
      </w:r>
    </w:p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noProof/>
        </w:rPr>
      </w:pPr>
      <w:r>
        <w:rPr>
          <w:noProof/>
        </w:rPr>
        <w:t>Din il-proposta tikkonċerna d-deċiżjoni li tistabbilixxi l-pożizzjoni li għandha tittieħed f’isem l-Unjoni fit-18-il laqgħa tal-Konferenza tal-Partijiet għall-Konvenzjoni dwar il-Kummerċ Internazzjonali fl-Ispeċijiet ta’ Fawna u Flora Selvaġġi fil-Periklu (CoP18 tas-CITES) b’konnessjoni mal-adozzjoni prevista ta’ deċiżjonijiet, fost affarijiet oħra, li jemendaw l-Appendiċi għall-Konvenzjoni.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dwar il-Kummerċ Internazzjonali fl-Ispeċijiet ta’ Fawna u Flora Selvaġġi fil-Periklu</w:t>
      </w:r>
    </w:p>
    <w:p>
      <w:pPr>
        <w:rPr>
          <w:noProof/>
        </w:rPr>
      </w:pPr>
      <w:r>
        <w:rPr>
          <w:noProof/>
        </w:rPr>
        <w:t>Il-Konvenzjoni dwar il-Kummerċ Internazzjonali fl-Ispeċijiet ta’ Fawna u Flora Selvaġġi fil-Periklu (“il-Konvenzjoni” jew CITES) għandha l-għan li tipproteġi annimali u pjanti selvaġġi kontra sfruttament żejjed permezz tal-kummerċ internazzjonali. Il-Konvenzjoni daħlet fis-seħħ fl-1 ta’ Lulju 1975.</w:t>
      </w:r>
    </w:p>
    <w:p>
      <w:pPr>
        <w:rPr>
          <w:noProof/>
        </w:rPr>
      </w:pPr>
      <w:r>
        <w:rPr>
          <w:noProof/>
        </w:rPr>
        <w:t>L-Unjoni Ewropea u l-Istati Membri kollha tagħha huma Partijiet għall-Konvenzjoni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Il-Konferenza tal-Partijiet għall-Konvenzjoni</w:t>
      </w:r>
    </w:p>
    <w:p>
      <w:pPr>
        <w:rPr>
          <w:noProof/>
        </w:rPr>
      </w:pPr>
      <w:r>
        <w:rPr>
          <w:noProof/>
        </w:rPr>
        <w:t>Stabbilita skont l-Artikolu XI tal-Konvenzjoni, il-Konferenza tal-Partijiet (CoP) hi l-korp ta’ tmexxija tal-Konvenzjoni. Il-CoP tiltaqa’ kull sentejn tlieta biex tirrevedi l-implimentazzjoni tal-Konvenzjoni. B’mod partikolari, tikkunsidra u tadotta proposti biex temenda l-listi ta’ speċijiet fl-Appendiċi I u II tal-Konvenzjoni. Il-CoP tqis ukoll dokumenti ta’ diskussjoni u rapporti mill-Partijiet, mill-kumitati permanenti, mis-Segretarjat u mill-gruppi ta’ ħidma, u tirrakkomanda miżuri biex tittejjeb l-effettività tal-implimentazzjoni tal-Konvenzjoni.</w:t>
      </w:r>
    </w:p>
    <w:p>
      <w:r>
        <w:rPr>
          <w:noProof/>
        </w:rPr>
        <w:t>Kemm jista’ jkun, il-CoP tiddeċiedi dwar proposti għal emendi tal-Appendiċi I u II b’kunsens. Meta l-CoP ma tilħaqx kunsens, id-deċiżjonijiet jitpoġġew għal vot u jistgħu jiġu adottati b’maġġoranza ta’ żewġ terzi tar-rappreżentanti preżenti u li jivvotaw skont l-Artikolu XV(1)(b) tal-Konvenzjoni. Kull Parti għandha vot wieħed, ħlief organizzazzjonijiet tal-integrazzjoni ekonomika reġjonali li, fl-oqsma tal-kompetenza tagħhom, għandhom id-“dritt li jivvutaw b’numru ta’ voti ugwali għan-numru tal-Istati Membri tagħhom li huma Partijiet għall-Konvenzjoni” skont l-Artikolu XXI(5) tal-Konvenzjoni. L-Unjoni u l-Istati Membri jeżerċitaw id-drittijiet tal-vot tagħhom b’mod alternattiv, skont is-suġġett tad-deċiżjoni li għandha tittieħed. Dwar deċiżjonijiet biex jiġu emendati l-Appendiċi, id-drittijiet tal-vot huma eżerċitati mill-Unjoni, minħabba li l-Appendiċijiet tas-CITES huma trasposti fil-leġiżlazzjoni tal-Unjoni rilevanti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Id-deċiżjonijiet previsti tal-Konferenza tal-Partijiet</w:t>
      </w:r>
    </w:p>
    <w:p>
      <w:pPr>
        <w:rPr>
          <w:rFonts w:eastAsia="Arial Unicode MS"/>
          <w:noProof/>
        </w:rPr>
      </w:pPr>
      <w:r>
        <w:rPr>
          <w:noProof/>
        </w:rPr>
        <w:t>Bejn it-23 ta’ Mejju u t-3 ta’ Ġunju 2019, matul it-18-il laqgħa tagħha, il-Konferenza tal-Partijiet għandha tiddeċiedi dwar 57 proposta biex temenda l-Appendiċi tas-CITES (“proposti ta’ elenkar”). L-iskop li jiġu inklużi (gruppi ta’) speċijiet partikolari fl-Appendiċijiet huwa li jkun hemm monitoraġġ u regolamentazzjoni (Appendiċi II) jew li jkun hemm projbizzjoni b’mod ġenerali (Appendiċi I) ta’ negozjar kummerċjali f’dawk l-ispeċi.</w:t>
      </w:r>
    </w:p>
    <w:p>
      <w:pPr>
        <w:rPr>
          <w:noProof/>
        </w:rPr>
      </w:pPr>
    </w:p>
    <w:p>
      <w:pPr>
        <w:rPr>
          <w:rFonts w:eastAsia="Arial Unicode MS"/>
          <w:i/>
          <w:noProof/>
        </w:rPr>
      </w:pPr>
      <w:r>
        <w:rPr>
          <w:noProof/>
        </w:rPr>
        <w:t>Bħala partijiet integrali tal-Konvenzjoni, l-Appendiċijiet huma legalment vinkolanti. Skont l-Artikolu XV(1)(c) tal-Konvenzjoni, l-emendi deċiżi mill-CoP isiru applikabbli fi żmien 90 jum mit-tmiem tal-CoP.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rPr>
          <w:noProof/>
        </w:rPr>
      </w:pPr>
      <w:r>
        <w:rPr>
          <w:noProof/>
        </w:rPr>
        <w:t xml:space="preserve">Bħala Parti għall-Konvenzjoni, l-Unjoni għandha tieħu pożizzjoni dwar kull waħda mill-proposti ta’ elenkar kif ukoll fuq id-diversi abbozzi ta’ deċiżjonijiet oħra fuq l-aġenda tal-CoP. Il-proposti ta’ elenkar – inkluż dawk li ġew sottomessi mill-Unjoni nnifisha – kif ukoll id-deċiżjonijiet proposti l-oħrajn tal-CoP ġew riveduti minn esperti mill-Kummissjoni u l-Istati Membri, inkluż fir-rigward tal-impatti potenzjali tagħhom fuq ir-regoli u l-politiki rilevanti tal-Unjoni. Il-pożizzjoni proposta mill-Kummissjoni hija bbażata fuq dawn id-diskussjonijiet ta’ esperti, li saru fil-kuntest tal-gruppi ta’ esperti rilevanti tal-Kummissjoni. </w:t>
      </w:r>
    </w:p>
    <w:p>
      <w:pPr>
        <w:rPr>
          <w:noProof/>
        </w:rPr>
      </w:pPr>
      <w:r>
        <w:rPr>
          <w:noProof/>
        </w:rPr>
        <w:t>Il-proposti ta’ elenkar kif ukoll bosta mill-abbozzi tad-deċiżjonijiet l-oħra tal-CoP jistgħu jaffettwaw ir-regoli tal-UE jew jibdlu l-kamp ta’ applikazzjoni tagħhom, l-aktar minħabba li jkunu jinvolvu emendi għal leġiżlazzjoni rilevanti u r-regoli ta’ implimentazzjoni tal-Unjoni. Bidliet fl-Appendiċi tal-Konvenzjoni jeħtieġ li jiġu riflessi fl-acquis tal-UE, permezz ta’ bidliet korrispondenti għar-Regolament tal-Kunsill (KE) Nru 338/97 u, fejn relevanti, mir-Regolamenti ta’ implimentazzjoni. Dan se jirriżulta fl-istabbiliment jew fit-tneħħija ta’ restrizzjonijiet għall-kummerċ mill-UE, fiha jew madwarha għall-ispeċijiet ikkonċernati minn dawn il-bidliet.</w:t>
      </w:r>
    </w:p>
    <w:p>
      <w:pPr>
        <w:rPr>
          <w:noProof/>
        </w:rPr>
      </w:pPr>
      <w:r>
        <w:rPr>
          <w:noProof/>
        </w:rPr>
        <w:t>Il-Kummissjoni tinsab f’kuntatt regolari ma’ partijiet ikkonċernati li għandhom interess fi kwistjonijiet koperti mill-Konvenzjoni, bħal organizzazzjonijiet mhux governattivi ambjentali, rappreżentanti ta’ setturi tan-negozju involuti fil-kummerċ jew fl-użu ta’ prodotti ta’ fawna selvaġġa, u organizzazzjonijiet tal-kaċċa jew tas-sajd. Fid-29 ta’ Jannar 2019, is-servizzi tal-Kummissjoni kellhom laqgħa konsultattiva speċifika mal-partijiet ikkonċernati interessati sabiex jiksbu l-fehmiet tagħhom dwar il-kwistjonijiet li qed jiġu diskussi għall-CoP18 tas-CITES. Il-kontribut ipprovdut mill-partijiet interessati ġie kkunsidrat bix-xieraq mill-Kummissjoni fl-abbozzar tad-Deċiżjoni tal-Kunsill proposta.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Analiżijiet ulterjuri tal-proposti tal-CoP jitwettqu mis-Segretarjat tas-CITES u minn esperti minn organizzazzjonijiet speċjalizzati bħall-Unjoni Internazzjonali għall-Konservazzjoni tan-Natura (IUCN), TRAFFIC, u l-Bord Konsultattiv Espert tal-FAO għall-valutazzjoni ta’ proposti ta’ emenda għall-elenkar tal-ispeċi CITES. Ħafna minn dawn l-analiżijiet ma kinux disponibbli fil-ħin għall-proposta tal-Kummissjoni; kollha għandhom jiġu kkunsidrati bis-sħiħ meta l-proposta tiġi diskussa mal-Istati Membri fil-Kunsill. </w:t>
      </w:r>
    </w:p>
    <w:p>
      <w:pPr>
        <w:rPr>
          <w:noProof/>
        </w:rPr>
      </w:pPr>
      <w:r>
        <w:rPr>
          <w:noProof/>
        </w:rPr>
        <w:t>Bosta dokumenti ta’ ħidma għall-CoP 18 tas-CITES ma kinux disponibbli kmieni biżżejjed biex il-Kummissjoni tipproponi pożizzjoni tal-Unjoni bħalissa. Il-Kummissjoni għalhekk tipproponi li l-pożizzjoni dwar dawk il-kwistjonijiet tiġi stabbilita waqt id-diskussjonijiet fil-grupp ta’ ħidma tal-Kunsill, jew matul il-laqgħa tal-CoP għal dokumenti li jsiru disponibbli dakinhar.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</w:t>
      </w:r>
      <w:r>
        <w:rPr>
          <w:i/>
          <w:noProof/>
        </w:rPr>
        <w:t xml:space="preserve">l-pożizzjonijiet li għandhom jiġu adottati f’isem l-Unjoni f’sede </w:t>
      </w:r>
      <w:r>
        <w:rPr>
          <w:i/>
          <w:noProof/>
        </w:rPr>
        <w:lastRenderedPageBreak/>
        <w:t>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skont ir-regoli tad-dritt internazzjonali li jirregolaw is-sede kkonċernata. Dan jinkludi wkoll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mil-leġiżlatura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Il-Konferenza tal-Partijiet hija korp stabbilit bi ftehim, jiġifieri s-CITES.</w:t>
      </w:r>
    </w:p>
    <w:p>
      <w:pPr>
        <w:rPr>
          <w:noProof/>
        </w:rPr>
      </w:pPr>
      <w:r>
        <w:rPr>
          <w:noProof/>
          <w:color w:val="000000" w:themeColor="text1"/>
        </w:rPr>
        <w:t>Bosta mill-atti li l-</w:t>
      </w:r>
      <w:r>
        <w:rPr>
          <w:noProof/>
        </w:rPr>
        <w:t xml:space="preserve">CoP </w:t>
      </w:r>
      <w:r>
        <w:rPr>
          <w:noProof/>
          <w:color w:val="000000" w:themeColor="text1"/>
        </w:rPr>
        <w:t xml:space="preserve">hija mitluba tadotta jikkostitwixxu atti li għandhom effetti legali. L-Appendiċijiet emendati, li huma parti integrali tal-Konvenzjoni, se jkunu vinkolanti skont il-liġi internazzjonali. </w:t>
      </w:r>
      <w:r>
        <w:rPr>
          <w:noProof/>
        </w:rPr>
        <w:t>Uħud mid-deċiżjonijiet l-oħra tal-CoP jistgħu jinfluwenzaw b’mod deċiżiv il-kontenut tal-leġiżlazzjoni tal-UE, partikolarment ir-Regolament tal-Kummissjoni (KE) Nru 865/2006 li jistabbilixxi regoli dettaljati dwar l-implimentazzjoni tar-Regolament tal-Kunsill (KE) Nru 338/97 dwar il-protezzjoni ta’ speċi ta’ fawna u flora selvaġġi billi jkun regolat il-kummerċ fihom, u r-Regolament ta’ Implimentazzjoni tal-Kummissjoni (UE) Nru 792/2012 li jistipula regoli għat-tfassil ta’ permessi, ċertifikati u dokumenti oħrajn ipprovduti fir-Regolament tal-Kunsill (KE) Nru 338/97 dwar il-protezzjoni ta’ speċi ta’ fawna u flora selvaġġi billi jkun regolat il-kummerċ fihom u li jemenda r-Regolament tal-Kummissjoni (KE) Nru 865/2006.</w:t>
      </w:r>
      <w:r>
        <w:rPr>
          <w:noProof/>
          <w:color w:val="000000" w:themeColor="text1"/>
        </w:rPr>
        <w:t xml:space="preserve"> Dan għaliex</w:t>
      </w:r>
      <w:r>
        <w:rPr>
          <w:noProof/>
        </w:rPr>
        <w:t xml:space="preserve"> iż-żewġ atti huma allinjati mill-qrib mar-regoli rilevanti għall-implimentazzjoni tal-Konvenzjoni kif deċiż mill-CoP</w:t>
      </w:r>
      <w:r>
        <w:rPr>
          <w:noProof/>
          <w:color w:val="000000" w:themeColor="text1"/>
        </w:rPr>
        <w:t>.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tad-deċiżjoni proposta hi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 218(9) tat-TFUE tiddependi primarjament mill-għan u mill-kontenut tal-att previst li dwarhom tittieħed pożizzjoni f’isem l-Unjoni. Jekk l-att previst ikollu żewġ għanijiet jew ikollu żewġ komponenti, u jekk wieħed minn dawk l-għanijiet jew il-komponenti jkun jista’ jiġi identifikat bħala dak ewlieni, filwaqt li l-ieħor ikun sempliċement inċidentali, id-deċiżjoni skont l-Artikolu 218(9) tat-TFUE trid tissejjes fuq bażi ġuridika sostantiva unika, jiġifieri dik meħtieġa mill-għan jew mill-komponent ewlieni jew predominanti.</w:t>
      </w:r>
    </w:p>
    <w:p>
      <w:pPr>
        <w:rPr>
          <w:noProof/>
        </w:rPr>
      </w:pPr>
      <w:r>
        <w:rPr>
          <w:noProof/>
        </w:rPr>
        <w:t>Fir-rigward ta’ att previst li jkollu għadd ta’ objettivi f’daqqa, jew li jkollu diversi komponenti, li jkunu marbuta b’mod inseparabbli mingħajr ma wieħed ikun inċidentali għall-ieħor, il-bażi ġuridika sostantiva ta’ deċiżjoni skont l-Artikolu 218(9) tat-TFUE jkollha tinkludi, b’mod eċċezzjonali, id-diversi bażijiet ġuridiċi korrispondenti.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Id-deċiżjonijiet tal-CoP previsti għandhom objettivi u komponenti fil-qasam tal-“ambjent” u tal-“kummerċ”. Dawn l-elementi tal-att previst huma marbuta b’mod inseparabbli ma’ xulxin u l-ebda wieħed minnhom ma hu inċidentali għall-ieħor.</w:t>
      </w:r>
    </w:p>
    <w:p>
      <w:pPr>
        <w:rPr>
          <w:noProof/>
        </w:rPr>
      </w:pPr>
      <w:r>
        <w:rPr>
          <w:noProof/>
        </w:rPr>
        <w:t>Għaldaqstant, il-bażi ġuridika sostantiva tad-deċiżjoni proposta hi magħmula mid-dispożizzjonijiet li ġejjin: l-Artikoli 192(1) u 207</w:t>
      </w:r>
      <w:r>
        <w:t>.</w:t>
      </w:r>
    </w:p>
    <w:p>
      <w:pPr>
        <w:pStyle w:val="ManualHeading2"/>
        <w:rPr>
          <w:noProof/>
        </w:rPr>
      </w:pPr>
      <w:r>
        <w:lastRenderedPageBreak/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li tkun l-Artikoli 192(1) u 207 flimkien mal-Artikolu 218(9) tat-TFUE.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8"/>
          <w:footerReference w:type="first" r:id="rId19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2019/0083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fit-18-il laqgħa tal-Konferenza tal-Partijiet għall-Konvenzjoni dwar il-Kummerċ Internazzjonali fl-Ispeċijiet ta’ Fawna u Flora Selvaġġi fil-Periklu (CoP18 tas-CITES)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l-Artikoli 192(1) u 207(3) u (4), l-ewwel subparagrafu, flimkien mal-Artikolu 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Il-Konvenzjoni dwar il-Kummerċ Internazzjonali fl-Ispeċijiet ta’ Fawna u Flora Selvaġġi fil-Periklu (“il-Konvenzjoni”) ġiet konkluża mill-Unjoni bid-Deċiżjoni tal-Kunsill (UE) 2015/451 tas-6 ta’ Marzu 2015</w:t>
      </w:r>
      <w:r>
        <w:rPr>
          <w:rStyle w:val="FootnoteReference"/>
          <w:noProof/>
          <w:color w:val="000000" w:themeColor="text1"/>
        </w:rPr>
        <w:footnoteReference w:id="4"/>
      </w:r>
      <w:r>
        <w:rPr>
          <w:noProof/>
        </w:rPr>
        <w:t xml:space="preserve"> u daħlet fis-seħħ fl-1 ta’ Lulju 1975. </w:t>
      </w:r>
    </w:p>
    <w:p>
      <w:pPr>
        <w:pStyle w:val="ManualConsidrant"/>
        <w:rPr>
          <w:noProof/>
          <w:color w:val="000000" w:themeColor="text1"/>
        </w:rPr>
      </w:pPr>
      <w:r>
        <w:t>(2)</w:t>
      </w:r>
      <w:r>
        <w:tab/>
      </w:r>
      <w:r>
        <w:rPr>
          <w:noProof/>
          <w:color w:val="000000" w:themeColor="text1"/>
        </w:rPr>
        <w:t xml:space="preserve">Skont l-Artikolu </w:t>
      </w:r>
      <w:r>
        <w:rPr>
          <w:noProof/>
        </w:rPr>
        <w:t xml:space="preserve">XI(3) </w:t>
      </w:r>
      <w:r>
        <w:rPr>
          <w:noProof/>
          <w:color w:val="000000" w:themeColor="text1"/>
        </w:rPr>
        <w:t>tal-Konvenzjoni, il-</w:t>
      </w:r>
      <w:r>
        <w:rPr>
          <w:noProof/>
        </w:rPr>
        <w:t xml:space="preserve">Konferenza tal-Partijiet </w:t>
      </w:r>
      <w:r>
        <w:rPr>
          <w:noProof/>
          <w:color w:val="000000" w:themeColor="text1"/>
        </w:rPr>
        <w:t xml:space="preserve">tista’, fost affarijiet oħra, tadotta </w:t>
      </w:r>
      <w:r>
        <w:rPr>
          <w:noProof/>
        </w:rPr>
        <w:t>deċiżjonijiet biex ikunu emendati l-Appendiċijiet għall-Konvenzjoni.</w:t>
      </w:r>
    </w:p>
    <w:p>
      <w:pPr>
        <w:pStyle w:val="ManualConsidrant"/>
        <w:rPr>
          <w:noProof/>
          <w:color w:val="000000" w:themeColor="text1"/>
        </w:rPr>
      </w:pPr>
      <w:r>
        <w:t>(3)</w:t>
      </w:r>
      <w:r>
        <w:tab/>
      </w:r>
      <w:r>
        <w:rPr>
          <w:noProof/>
          <w:color w:val="000000" w:themeColor="text1"/>
        </w:rPr>
        <w:t>Il-</w:t>
      </w:r>
      <w:r>
        <w:rPr>
          <w:noProof/>
        </w:rPr>
        <w:t xml:space="preserve">Konferenza tal-Partijiet, </w:t>
      </w:r>
      <w:r>
        <w:rPr>
          <w:noProof/>
          <w:color w:val="000000" w:themeColor="text1"/>
        </w:rPr>
        <w:t>matul it-</w:t>
      </w:r>
      <w:r>
        <w:rPr>
          <w:noProof/>
        </w:rPr>
        <w:t>18-il</w:t>
      </w:r>
      <w:r>
        <w:rPr>
          <w:noProof/>
          <w:color w:val="000000" w:themeColor="text1"/>
        </w:rPr>
        <w:t xml:space="preserve"> laqgħa tagħha mit-23 ta’ Mejju sat-3 ta’ Ġunju 2019, għandha tadotta </w:t>
      </w:r>
      <w:r>
        <w:rPr>
          <w:noProof/>
        </w:rPr>
        <w:t xml:space="preserve">deċiżjonijiet </w:t>
      </w:r>
      <w:r>
        <w:rPr>
          <w:noProof/>
          <w:color w:val="000000" w:themeColor="text1"/>
        </w:rPr>
        <w:t>dwar</w:t>
      </w:r>
      <w:r>
        <w:rPr>
          <w:noProof/>
        </w:rPr>
        <w:t xml:space="preserve"> 57 proposta li jemendaw l-Appendiċijiet, kif ukoll dwar bosta kwistjonijiet oħra dwar l-implimentazzjoni u l-interpretazzjoni tal-Konvenzjoni</w:t>
      </w:r>
      <w:r>
        <w:rPr>
          <w:noProof/>
          <w:color w:val="000000" w:themeColor="text1"/>
        </w:rPr>
        <w:t>.</w:t>
      </w:r>
    </w:p>
    <w:p>
      <w:pPr>
        <w:pStyle w:val="Text1"/>
        <w:ind w:left="720"/>
        <w:rPr>
          <w:noProof/>
          <w:color w:val="000000" w:themeColor="text1"/>
        </w:rPr>
      </w:pPr>
      <w:r>
        <w:rPr>
          <w:noProof/>
          <w:color w:val="000000" w:themeColor="text1"/>
        </w:rPr>
        <w:t>Huwa xieraq li tiġi stabbilita l-pożizzjoni li għandha tittieħed f’isem l-Unjoni fil-</w:t>
      </w:r>
      <w:r>
        <w:rPr>
          <w:noProof/>
        </w:rPr>
        <w:t>Konferenza tal-Partijiet,</w:t>
      </w:r>
      <w:r>
        <w:rPr>
          <w:noProof/>
          <w:color w:val="000000" w:themeColor="text1"/>
        </w:rPr>
        <w:t xml:space="preserve"> peress li l-</w:t>
      </w:r>
      <w:r>
        <w:rPr>
          <w:noProof/>
        </w:rPr>
        <w:t>emendi għall-Appendiċi</w:t>
      </w:r>
      <w:r>
        <w:rPr>
          <w:noProof/>
          <w:color w:val="000000" w:themeColor="text1"/>
        </w:rPr>
        <w:t xml:space="preserve"> jorbtu lill-Unjoni u bosta deċiżjonijiet oħra jkunu jistgħu jinfluwenzaw b’mod deċiżiv il-kontenut tal-liġi tal-Unjoni, </w:t>
      </w:r>
      <w:r>
        <w:rPr>
          <w:noProof/>
        </w:rPr>
        <w:t xml:space="preserve">b’mod partikolari </w:t>
      </w:r>
      <w:r>
        <w:rPr>
          <w:noProof/>
          <w:color w:val="000000" w:themeColor="text1"/>
        </w:rPr>
        <w:t>r-Regolament tal-Kummissjoni (KE) Nru 865/2006 li jistabbilixxi regoli dettaljati dwar l-implimentazzjoni tar-Regolament tal-Kunsill (KE) Nru 338/97 dwar il-protezzjoni ta’ speċi ta’ fawna u flora selvaġġi billi jkun regolat il-kummerċ fihom, u r-Regolament ta’ Implimentazzjoni tal-Kummissjoni (UE) Nru 792/2012 li jistipula regoli għat-tfassil ta’ permessi, ċertifikati u dokumenti oħrajn ipprovduti fir-Regolament tal-Kunsill (KE) Nru 338/97 dwar il-protezzjoni ta’ speċi ta’ fawna u flora selvaġġi billi jkun regolat il-kummerċ fihom u li jemenda r-Regolament tal-Kummissjoni (KE) Nru 865/2006.</w:t>
      </w:r>
    </w:p>
    <w:p>
      <w:pPr>
        <w:pStyle w:val="ManualConsidrant"/>
        <w:rPr>
          <w:noProof/>
          <w:color w:val="000000" w:themeColor="text1"/>
        </w:rPr>
      </w:pPr>
      <w:r>
        <w:t>(4)</w:t>
      </w:r>
      <w:r>
        <w:tab/>
      </w:r>
      <w:r>
        <w:rPr>
          <w:noProof/>
        </w:rPr>
        <w:t>Il-pożizzjoni proposta li għandha tittieħed fuq il-proposti differenti qabel il-Konferenza tal-Partijiet hija bbażata fuq analiżi esperta tal-merti tagħhom, fid-dawl tal-aqwa evidenza xjentifika disponibbli, kif ukoll fuq il-livell tal-allinjament tagħhom mar-regoli u l-politiki rilevanti tal-Unjoni.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Il-pożizzjoni li għandha tittieħed f’isem l-Unjoni fit-18-il laqgħa tal-Konferenza tal-Partijiet għall-Konvenzjoni dwar il-Kummerċ Internazzjonali fl-Ispeċijiet ta’ Fawna u Flora Selvaġġi fil-Periklu hija stabbilita fl-Annessi.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color w:val="0000FF"/>
        </w:rPr>
      </w:pPr>
      <w:r>
        <w:rPr>
          <w:rStyle w:val="FootnoteReference"/>
        </w:rPr>
        <w:footnoteRef/>
      </w:r>
      <w:r>
        <w:tab/>
        <w:t>Id-Deċiżjoni tal-Kunsill (UE) 2015/451 tas-6 ta’ Marzu 2015 dwar l-adeżjoni tal-Unjoni Ewropea għall-Konvenzjoni dwar il-Kummerċ Internazzjonali fl-Ispeċijiet ta’ Fawna u Flora Selvaġġi fil-Periklu (CITES) (ĠU L 75, 19.3.2015, p. 1-3).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338/97 dwar il-protezzjoni ta’ speċi ta’ fawna u flora selvaġġi billi jkun regolat il-kummerċ fihom, ĠU L 61, 3.3.1997, p. 1, u l-atti ta’ implimentazzjoni rilevanti.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C-399/12, ECLI:EU:C:2014:2258, il-paragrafi minn 61 sa 64. 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ĠU L 75, 19.3.2015, p. 1-3.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656A5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39E0D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FB22C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96C9D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28E8E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DCCE4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C3AE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432F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05 10:05:1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42D0FE4-B22A-45D3-885D-3F6E88B2D149"/>
    <w:docVar w:name="LW_COVERPAGE_TYPE" w:val="1"/>
    <w:docVar w:name="LW_CROSSREFERENCE" w:val="&lt;UNUSED&gt;"/>
    <w:docVar w:name="LW_DocType" w:val="COM"/>
    <w:docVar w:name="LW_EMISSION" w:val="21.3.2019"/>
    <w:docVar w:name="LW_EMISSION_ISODATE" w:val="2019-03-21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3"/>
    <w:docVar w:name="LW_REF.II.NEW.CP_YEAR" w:val="2019"/>
    <w:docVar w:name="LW_REF.INST.NEW" w:val="COM"/>
    <w:docVar w:name="LW_REF.INST.NEW_ADOPTED" w:val="final"/>
    <w:docVar w:name="LW_REF.INST.NEW_TEXT" w:val="(2019) 14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t-18-il laqg\u295?a tal-Konferenza tal-Partijiet g\u295?all-Konvenzjoni dwar il-Kummer\u267? Internazzjonali fl-Ispe\u267?ijiet ta\u8217? Fawna u Flora Selva\u289?\u289?i fil-Periklu (CoP18 tas-CITES)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A856C34D8E478D8680B911FA8A3D" ma:contentTypeVersion="0" ma:contentTypeDescription="Create a new document." ma:contentTypeScope="" ma:versionID="a1b2f863b13fb1eec5060ba3f8e2a5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8fc8648fa84460f5661d9ecf385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BBEC3-24D6-4C99-99F0-3B0F81564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D6177-C651-42FF-9E7D-2F4B8EB33A4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9E4CB3-9D64-4409-B6C4-420EFB7E6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7</Pages>
  <Words>1486</Words>
  <Characters>11242</Characters>
  <Application>Microsoft Office Word</Application>
  <DocSecurity>0</DocSecurity>
  <Lines>178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2019-04-03T14:14:00Z</dcterms:created>
  <dcterms:modified xsi:type="dcterms:W3CDTF">2019-04-05T08:05:00Z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ContentTypeId">
    <vt:lpwstr>0x010100135AA856C34D8E478D8680B911FA8A3D</vt:lpwstr>
  </property>
  <property fmtid="{D5CDD505-2E9C-101B-9397-08002B2CF9AE}" pid="11" name="IsMyDocuments">
    <vt:bool>true</vt:bool>
  </property>
  <property fmtid="{D5CDD505-2E9C-101B-9397-08002B2CF9AE}" pid="12" name="DQCStatus">
    <vt:lpwstr>Green (DQC version 03)</vt:lpwstr>
  </property>
</Properties>
</file>