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FDA52EBE-C7C9-40C3-81DA-6B9EAEF23DC1" style="width:450.15pt;height:398pt">
            <v:imagedata r:id="rId12" o:title=""/>
          </v:shape>
        </w:pict>
      </w:r>
    </w:p>
    <w:p>
      <w:pPr>
        <w:rPr>
          <w:noProof/>
          <w:highlight w:val="yellow"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ZAŁĄCZNIK I</w:t>
      </w:r>
    </w:p>
    <w:p>
      <w:pPr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Stanowisko Unii w sprawie kluczowych kwestii, które należy poruszyć na 18. sesji Konferencji Stron Konwencji o międzynarodowym handlu dzikimi zwierzętami i roślinami gatunków zagrożonych wyginięciem (CITES) w Kolombo na Sri Lance w dniach 23 maja – 3 czerwca 2019 r.</w:t>
      </w:r>
    </w:p>
    <w:p>
      <w:pPr>
        <w:pStyle w:val="ManualHeading1"/>
        <w:rPr>
          <w:noProof/>
        </w:rPr>
      </w:pPr>
      <w:r>
        <w:rPr>
          <w:noProof/>
        </w:rPr>
        <w:t>A.</w:t>
      </w:r>
      <w:r>
        <w:rPr>
          <w:noProof/>
        </w:rPr>
        <w:tab/>
        <w:t>Uwagi ogólne</w:t>
      </w:r>
    </w:p>
    <w:p>
      <w:pPr>
        <w:pStyle w:val="NumPar1"/>
        <w:numPr>
          <w:ilvl w:val="0"/>
          <w:numId w:val="9"/>
        </w:numPr>
        <w:rPr>
          <w:noProof/>
        </w:rPr>
      </w:pPr>
      <w:r>
        <w:rPr>
          <w:noProof/>
        </w:rPr>
        <w:t xml:space="preserve">Unia uważa CITES za kluczową międzynarodową konwencję w sprawie ochrony różnorodności biologicznej i walki z nielegalnym handlem dziką fauną i florą. </w:t>
      </w:r>
    </w:p>
    <w:p>
      <w:pPr>
        <w:pStyle w:val="NumPar1"/>
        <w:rPr>
          <w:noProof/>
        </w:rPr>
      </w:pPr>
      <w:r>
        <w:rPr>
          <w:noProof/>
        </w:rPr>
        <w:t>Podczas 18. sesji Konferencji Stron CITES Unia powinna przyjąć ambitne stanowisko, działając zgodnie z odpowiednimi strategiami politycznymi Unii i jej międzynarodowymi zobowiązaniami w tych obszarach, w szczególności z zadaniami związanymi z dziką fauną i florą w ramach 15. celu zrównoważonego rozwoju, ze strategicznym planem na rzecz różnorodności biologicznej na okres 2011–2020 oraz celami z Aichi uzgodnionymi w ramach Konwencji o różnorodności biologicznej (CBD), zgodnie z wizją strategiczną CITES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i rezolucją Zgromadzenia Ogólnego ONZ nr 71/326 w sprawie nielegalnego handlu dziką fauną i florą. Stanowisko Unii powinno również służyć osiągnięciu celów wskazanych na szczeblu UE w ramach unijnej strategii ochrony różnorodności biologicznej na okres do 2020 r., planu działania UE przeciwko nielegalnemu handlowi dziką fauną i florą, w ramach podejścia UE do promowania handlu i zrównoważonego rozwoju, co odzwierciedlono w unijnej strategii „Handel z korzyścią dla wszystkich”, wspólnej polityce rybołówstwa i w unijnym planie działania na rzecz ochrony rekinów i zarządzania ich zasobami.</w:t>
      </w:r>
    </w:p>
    <w:p>
      <w:pPr>
        <w:pStyle w:val="NumPar1"/>
        <w:rPr>
          <w:noProof/>
        </w:rPr>
      </w:pPr>
      <w:r>
        <w:rPr>
          <w:noProof/>
        </w:rPr>
        <w:t>Priorytetami Unii podczas 18. sesji Konferencji Stron CITES powinny być:</w:t>
      </w:r>
    </w:p>
    <w:p>
      <w:pPr>
        <w:pStyle w:val="Bullet1"/>
        <w:numPr>
          <w:ilvl w:val="0"/>
          <w:numId w:val="10"/>
        </w:numPr>
        <w:rPr>
          <w:noProof/>
        </w:rPr>
      </w:pPr>
      <w:r>
        <w:rPr>
          <w:noProof/>
        </w:rPr>
        <w:t>pełne wykorzystanie instrumentów CITES w celu regulowania międzynarodowego handlu zwierzętami i roślinami zagrożonymi wyginięciem, które podlegają niezrównoważonym poziomom wymiany handlowej, przy kierowaniu się podejściem o podstawach naukowych;</w:t>
      </w:r>
    </w:p>
    <w:p>
      <w:pPr>
        <w:pStyle w:val="Bullet1"/>
        <w:rPr>
          <w:noProof/>
        </w:rPr>
      </w:pPr>
      <w:r>
        <w:rPr>
          <w:noProof/>
        </w:rPr>
        <w:t xml:space="preserve">wzmocnienie reakcji społeczności międzynarodowej na nielegalny handel dziką fauną i florą; </w:t>
      </w:r>
    </w:p>
    <w:p>
      <w:pPr>
        <w:pStyle w:val="Bullet1"/>
        <w:rPr>
          <w:noProof/>
        </w:rPr>
      </w:pPr>
      <w:r>
        <w:rPr>
          <w:noProof/>
        </w:rPr>
        <w:t xml:space="preserve">zapewnienie, aby status i prawa UE jako strony konwencji nadal znajdowały odzwierciedlenie w stosownych zasadach i uzgodnieniach proceduralnych. </w:t>
      </w:r>
    </w:p>
    <w:p>
      <w:pPr>
        <w:pStyle w:val="NumPar1"/>
        <w:rPr>
          <w:noProof/>
        </w:rPr>
      </w:pPr>
      <w:r>
        <w:rPr>
          <w:noProof/>
        </w:rPr>
        <w:t>Stanowisko Unii powinno uwzględniać fakt, że kontrole CITES mogą przyczynić się do poprawy stanu ochrony gatunków, a jednocześnie powinno uznawać starania tych krajów, które wprowadziły już skuteczne środki ochrony. Unia powinna zapewnić, aby decyzje podjęte podczas 18. sesji Konferencji Stron zwiększały skuteczność CITES w możliwie największym stopniu poprzez ograniczenie do minimum zbędnych obciążeń administracyjnych i poprzez przyjęcie praktycznych, opłacalnych i funkcjonalnych rozwiązań problemów związanych z wdrażaniem i monitorowaniem.</w:t>
      </w:r>
    </w:p>
    <w:p>
      <w:pPr>
        <w:pStyle w:val="NumPar1"/>
        <w:rPr>
          <w:noProof/>
        </w:rPr>
      </w:pPr>
      <w:r>
        <w:rPr>
          <w:noProof/>
        </w:rPr>
        <w:t xml:space="preserve">Konferencja Stron jest organem zarządzającym CITES, a liczne decyzje przyjęte podczas 18. sesji Konferencji Stron CITES zostaną wdrożone przez Stały Komitet, </w:t>
      </w:r>
      <w:r>
        <w:rPr>
          <w:noProof/>
        </w:rPr>
        <w:lastRenderedPageBreak/>
        <w:t>który jest głównym organem pomocniczym Konferencji Stron. Stanowisko Unii określone podczas 18. sesji Konferencji Stron CITES powinno również wyznaczać podejście Unii na 71. i 72. spotkaniu Stałego Komitetu, które odbędą się bezpośrednio przed i po 18. sesji Konferencji Stron CITES.</w:t>
      </w:r>
    </w:p>
    <w:p>
      <w:pPr>
        <w:pStyle w:val="ManualHeading1"/>
        <w:rPr>
          <w:noProof/>
        </w:rPr>
      </w:pPr>
      <w:r>
        <w:rPr>
          <w:noProof/>
        </w:rPr>
        <w:t>B.</w:t>
      </w:r>
      <w:r>
        <w:rPr>
          <w:noProof/>
        </w:rPr>
        <w:tab/>
        <w:t>Kwestie szczegółowe</w:t>
      </w:r>
    </w:p>
    <w:p>
      <w:pPr>
        <w:pStyle w:val="NumPar1"/>
        <w:rPr>
          <w:noProof/>
        </w:rPr>
      </w:pPr>
      <w:r>
        <w:rPr>
          <w:noProof/>
        </w:rPr>
        <w:t xml:space="preserve">Podczas 18. sesji Konferencji Stron CITES do rozważenia przedstawiono pięćdziesiąt siedem </w:t>
      </w:r>
      <w:r>
        <w:rPr>
          <w:b/>
          <w:noProof/>
        </w:rPr>
        <w:t>wniosków dotyczących zmian w załącznikach do CITES</w:t>
      </w:r>
      <w:r>
        <w:rPr>
          <w:noProof/>
        </w:rPr>
        <w:t>. Dwanaście z tych wniosków przedłożyła Unia, działając jako główny wnioskodawca lub jako współwnioskodawca, a ich przyjęcie powinno oczywiście również uzyskać poparcie Unii. Stanowisko Unii w sprawie wszystkich wniosków powinno być uzależnione od stanu ochrony odnośnych gatunków oraz od wpływu, jaki handel wywiera lub może wywierać na te gatunki, zgodnie z rezolucją konferencji 9.24 w sprawie kryteriów zmiany załączników I i II. Szczególną uwagę należy zwrócić na poglądy państw zasięgu, w których występują gatunki uwzględnione we wnioskach. Unia uważa również, że należy ogólnie poprzeć wnioski dotyczące zmian w załącznikach do CITES, które są wynikiem prac Komitetu CITES ds. Zwierząt i Komitetu CITES ds. Roślin oraz Stałego Komitetu. Pod uwagę należy wziąć również ocenę wniosków przedstawionych przez Sekretariat CITES oraz przez Międzynarodową Unię Ochrony Przyrody / organizację Traffic</w:t>
      </w:r>
      <w:r>
        <w:rPr>
          <w:rStyle w:val="FootnoteReference"/>
          <w:noProof/>
        </w:rPr>
        <w:footnoteReference w:id="2"/>
      </w:r>
      <w:r>
        <w:rPr>
          <w:noProof/>
        </w:rPr>
        <w:t>, a także – w przypadku gospodarczo wykorzystywanych gatunków morskich – ocenę specjalnego panelu ekspertów FAO, jeżeli będzie ona dostępna.</w:t>
      </w:r>
    </w:p>
    <w:p>
      <w:pPr>
        <w:pStyle w:val="NumPar1"/>
        <w:rPr>
          <w:noProof/>
        </w:rPr>
      </w:pPr>
      <w:r>
        <w:rPr>
          <w:noProof/>
        </w:rPr>
        <w:t xml:space="preserve">Zgodnie ze swoim utrwalonym stanowiskiem UE ponownie stwierdza, że CITES stanowi właściwy instrument regulacji handlu międzynarodowego </w:t>
      </w:r>
      <w:r>
        <w:rPr>
          <w:b/>
          <w:noProof/>
        </w:rPr>
        <w:t>gatunkami morskimi</w:t>
      </w:r>
      <w:r>
        <w:rPr>
          <w:noProof/>
        </w:rPr>
        <w:t xml:space="preserve">, w przypadkach gdy handel wywiera wpływ na stan ochrony tych gatunków i gdy są one lub mogą zostać zagrożone wyginięciem. Unia szczególnie wspiera włączenie do załącznika II do CITES trzech gatunków strzykw z rodzaju </w:t>
      </w:r>
      <w:r>
        <w:rPr>
          <w:i/>
          <w:noProof/>
        </w:rPr>
        <w:t>Holothuria (Microthele)</w:t>
      </w:r>
      <w:r>
        <w:rPr>
          <w:noProof/>
        </w:rPr>
        <w:t>, biorąc pod uwagę nadmierne wykorzystywanie i znaczącą wielkość handlu międzynarodowego tymi gatunkami.</w:t>
      </w:r>
    </w:p>
    <w:p>
      <w:pPr>
        <w:pStyle w:val="NumPar1"/>
        <w:rPr>
          <w:noProof/>
        </w:rPr>
      </w:pPr>
      <w:r>
        <w:rPr>
          <w:noProof/>
        </w:rPr>
        <w:t xml:space="preserve">Unia zauważa, że w ciągu ostatnich lat włożono wiele wysiłku, aby </w:t>
      </w:r>
      <w:r>
        <w:rPr>
          <w:b/>
          <w:noProof/>
        </w:rPr>
        <w:t>budować zdolności w zakresie wdrażania</w:t>
      </w:r>
      <w:r>
        <w:rPr>
          <w:noProof/>
        </w:rPr>
        <w:t xml:space="preserve"> CITES, zwłaszcza w odniesieniu do gatunków morskich, w tym za pomocą wsparcia finansowego Unii. Unia wspiera lepszą koordynację między CITES, regionalnymi organizacjami ds. zarządzania rybołówstwem i innymi odpowiednimi organami, działając w ramach swoich odpowiednich kompetencji w celu usprawnienia zarządzania i zwiększenia komplementarności. W szczególności Unia była współwnioskodawcą wniosków dotyczących włączenia określonych gatunków rekinów (rekina ostronosa i ostronosa długopłetwego – </w:t>
      </w:r>
      <w:r>
        <w:rPr>
          <w:i/>
          <w:noProof/>
        </w:rPr>
        <w:t>Isurus oxyrinchus</w:t>
      </w:r>
      <w:r>
        <w:rPr>
          <w:noProof/>
        </w:rPr>
        <w:t xml:space="preserve"> i </w:t>
      </w:r>
      <w:r>
        <w:rPr>
          <w:i/>
          <w:noProof/>
        </w:rPr>
        <w:t>Isurus paucus</w:t>
      </w:r>
      <w:r>
        <w:rPr>
          <w:noProof/>
        </w:rPr>
        <w:t xml:space="preserve">) i płaszczek (olbrzymich rochowatych – </w:t>
      </w:r>
      <w:r>
        <w:rPr>
          <w:i/>
          <w:noProof/>
        </w:rPr>
        <w:t>Glaucostegus</w:t>
      </w:r>
      <w:r>
        <w:rPr>
          <w:noProof/>
        </w:rPr>
        <w:t xml:space="preserve"> spp. – i rajokształtnych z gatunku </w:t>
      </w:r>
      <w:r>
        <w:rPr>
          <w:i/>
          <w:iCs/>
          <w:noProof/>
        </w:rPr>
        <w:t>Rhinidae</w:t>
      </w:r>
      <w:r>
        <w:rPr>
          <w:noProof/>
        </w:rPr>
        <w:t xml:space="preserve"> spp.) do załącznika II do CITES. W przypadku rekina ostronosa (</w:t>
      </w:r>
      <w:r>
        <w:rPr>
          <w:i/>
          <w:noProof/>
        </w:rPr>
        <w:t>Isurus oxyrinchus</w:t>
      </w:r>
      <w:r>
        <w:rPr>
          <w:noProof/>
        </w:rPr>
        <w:t>) Unia powinna zająć ostateczne stanowisko, biorąc pod uwagę wyniki ocen przeprowadzonych przez panel doradczy zespołu ekspertów FAO, Sekretariat CITES i Międzynarodową Unię Ochrony Przyrody.</w:t>
      </w:r>
    </w:p>
    <w:p>
      <w:pPr>
        <w:pStyle w:val="NumPar1"/>
        <w:rPr>
          <w:noProof/>
        </w:rPr>
      </w:pPr>
      <w:r>
        <w:rPr>
          <w:noProof/>
        </w:rPr>
        <w:t>Na 17. sesji Konferencji Stron do załącznika II do CITES wprowadzono dodatkowe gatunki palisandru (</w:t>
      </w:r>
      <w:r>
        <w:rPr>
          <w:i/>
          <w:noProof/>
        </w:rPr>
        <w:t>Pterocarpus erinaceus</w:t>
      </w:r>
      <w:r>
        <w:rPr>
          <w:noProof/>
        </w:rPr>
        <w:t xml:space="preserve">, trzy gatunki </w:t>
      </w:r>
      <w:r>
        <w:rPr>
          <w:i/>
          <w:noProof/>
        </w:rPr>
        <w:t>Guibourtia</w:t>
      </w:r>
      <w:r>
        <w:rPr>
          <w:noProof/>
        </w:rPr>
        <w:t xml:space="preserve"> i </w:t>
      </w:r>
      <w:r>
        <w:rPr>
          <w:i/>
          <w:noProof/>
        </w:rPr>
        <w:t>Dalbergia spp.</w:t>
      </w:r>
      <w:r>
        <w:rPr>
          <w:noProof/>
        </w:rPr>
        <w:t xml:space="preserve">) </w:t>
      </w:r>
      <w:r>
        <w:rPr>
          <w:noProof/>
        </w:rPr>
        <w:lastRenderedPageBreak/>
        <w:t xml:space="preserve">w celu zapewnienia lepszej kontroli nad handlem międzynarodowym tych gatunków </w:t>
      </w:r>
      <w:r>
        <w:rPr>
          <w:b/>
          <w:noProof/>
        </w:rPr>
        <w:t>drewna tropikalnego</w:t>
      </w:r>
      <w:r>
        <w:rPr>
          <w:noProof/>
        </w:rPr>
        <w:t>. Istotne jest, aby Unia zapewniła zmianę obecnego komentarza nr 15, tak by koncentrował się on na tych gatunkach, które po raz pierwszy pojawiają się w handlu międzynarodowym, a także by uniknąć zbędnego obciążenia administracyjnego oraz obciążenia związanego z egzekwowaniem przepisów. W związku z tym UE powinna poprzeć uzgodnioną w drodze konsensusu poprawkę do komentarza nr 15 uzgodnioną w trakcie 70. posiedzenia Stałego Komitetu, a jednocześnie pozostać otwarta na możliwe końcowe usprawnienia, które mogą wyniknąć z konsultacji z innymi stronami. Zgodnie z przyjętym zobowiązaniem do zapewnienia ściślejszej kontroli przywozu drewna z Afryki Środkowej Unia powinna również poprzeć zwiększenie zakresu obecnego wykazu CITES w odniesieniu do gatunku afromosia (</w:t>
      </w:r>
      <w:r>
        <w:rPr>
          <w:i/>
          <w:noProof/>
        </w:rPr>
        <w:t>Pericopsis elata</w:t>
      </w:r>
      <w:r>
        <w:rPr>
          <w:noProof/>
        </w:rPr>
        <w:t xml:space="preserve">) w załączniku II do konwencji. </w:t>
      </w:r>
    </w:p>
    <w:p>
      <w:pPr>
        <w:pStyle w:val="NumPar1"/>
        <w:rPr>
          <w:noProof/>
        </w:rPr>
      </w:pPr>
      <w:r>
        <w:rPr>
          <w:noProof/>
        </w:rPr>
        <w:t xml:space="preserve">Unia powinna również poprzeć starania horyzontalne mające na celu poprawę skuteczności regulacji handlu międzynarodowego w obszarze zagrożonej dzikiej fauny i flory, w tym proponowaną rezolucję w sprawie </w:t>
      </w:r>
      <w:r>
        <w:rPr>
          <w:b/>
          <w:noProof/>
        </w:rPr>
        <w:t>weryfikacji legalnego pozyskiwania</w:t>
      </w:r>
      <w:r>
        <w:rPr>
          <w:noProof/>
        </w:rPr>
        <w:t xml:space="preserve">, opracowaną na podstawie wyników specjalnych warsztatów zorganizowanych przez UE w czerwcu 2018 r. Przyjęcie w trakcie 18. sesji Konferencji Stron nowej </w:t>
      </w:r>
      <w:r>
        <w:rPr>
          <w:b/>
          <w:noProof/>
        </w:rPr>
        <w:t>wizji strategicznej</w:t>
      </w:r>
      <w:r>
        <w:rPr>
          <w:noProof/>
        </w:rPr>
        <w:t xml:space="preserve"> dla CITES na lata 2021–2030 zapewni możliwość konsolidacji, a w stosownych przypadkach doprecyzowania, roli konwencji w szerszym kontekście międzynarodowego zarządzania środowiskiem, w tym ram dotyczących różnorodności biologicznej na okres po 2020 r. na podstawie Konwencji o różnorodności biologicznej. </w:t>
      </w:r>
    </w:p>
    <w:p>
      <w:pPr>
        <w:pStyle w:val="NumPar1"/>
        <w:rPr>
          <w:noProof/>
        </w:rPr>
      </w:pPr>
      <w:r>
        <w:rPr>
          <w:noProof/>
        </w:rPr>
        <w:t>Stanowisko Unii w sprawie wniosków związanych z </w:t>
      </w:r>
      <w:r>
        <w:rPr>
          <w:b/>
          <w:noProof/>
        </w:rPr>
        <w:t>nielegalnym handlem dziką fauną i florą</w:t>
      </w:r>
      <w:r>
        <w:rPr>
          <w:noProof/>
        </w:rPr>
        <w:t xml:space="preserve"> powinno być zgodne z trzema priorytetami określonymi w planie działania UE przeciwko nielegalnemu handlowi dziką fauną i florą oraz powiązanymi z nim konkluzjami Rady. Stanowisko to powinno również uwzględniać najnowsze sprawozdanie Komisji z wykonania planu działania.</w:t>
      </w:r>
    </w:p>
    <w:p>
      <w:pPr>
        <w:pStyle w:val="NumPar1"/>
        <w:rPr>
          <w:noProof/>
        </w:rPr>
      </w:pPr>
      <w:r>
        <w:rPr>
          <w:noProof/>
        </w:rPr>
        <w:t xml:space="preserve">Działając zgodnie z pierwszym priorytetem planu działania, Unia wspiera zapewnienie za pomocą CITES wzmożonej ochrony gatunków przywożonych obecnie do UE w sposób niezrównoważony lub nielegalny (w szczególności w przypadku </w:t>
      </w:r>
      <w:r>
        <w:rPr>
          <w:b/>
          <w:noProof/>
        </w:rPr>
        <w:t>handlu egzotycznymi zwierzętami domowymi</w:t>
      </w:r>
      <w:r>
        <w:rPr>
          <w:noProof/>
        </w:rPr>
        <w:t xml:space="preserve">). Unia popiera zatem wnioski dotyczące zmian w załącznikach w odniesieniu do różnych gatunków gadów i płazów, w szczególności szeregu gatunków gekonowatych i traszek. </w:t>
      </w:r>
    </w:p>
    <w:p>
      <w:pPr>
        <w:pStyle w:val="NumPar1"/>
        <w:rPr>
          <w:noProof/>
        </w:rPr>
      </w:pPr>
      <w:r>
        <w:rPr>
          <w:noProof/>
        </w:rPr>
        <w:t xml:space="preserve">Działając zgodnie z drugim i trzecim priorytetem, Unia popiera wprowadzenie zdecydowanych środków na potrzeby </w:t>
      </w:r>
      <w:r>
        <w:rPr>
          <w:b/>
          <w:noProof/>
        </w:rPr>
        <w:t>wdrażania</w:t>
      </w:r>
      <w:r>
        <w:rPr>
          <w:noProof/>
        </w:rPr>
        <w:t xml:space="preserve"> konwencji przez jej strony. Opowiada się za wprowadzeniem jasnego harmonogramu wraz z mechanizmami monitorowania (w tym możliwymi sankcjami handlowymi) w stosunku do tych stron, które nagminnie nie przestrzegają swoich obowiązków wynikających z CITES. Ma to szczególne znaczenie dla przeciwdziałania kłusownictwu i nielegalnemu handlowi mającemu wpływ na słonie (zob. poniżej), nosorożce, azjatyckie wielkie koty, palisander i łuskowce.</w:t>
      </w:r>
    </w:p>
    <w:p>
      <w:pPr>
        <w:pStyle w:val="NumPar1"/>
        <w:rPr>
          <w:noProof/>
        </w:rPr>
      </w:pPr>
      <w:r>
        <w:rPr>
          <w:noProof/>
        </w:rPr>
        <w:t xml:space="preserve">Szereg wniosków, które mają zostać przedstawione na 18. sesji Konferencji Stron koncentruje się na kwestiach związanych ze </w:t>
      </w:r>
      <w:r>
        <w:rPr>
          <w:b/>
          <w:noProof/>
        </w:rPr>
        <w:t>zrównoważonym użytkowaniem</w:t>
      </w:r>
      <w:r>
        <w:rPr>
          <w:noProof/>
        </w:rPr>
        <w:t>, środkami utrzymania i społecznościami wiejskimi. Unia powinna popierać takie wnioski w zakresie, w jakim mogą one pomóc w zapewnieniu, aby stosowne informacje znajdowały odzwierciedlenie w istniejących procesach, zgodnie z przepisami konwencji. Należy unikać tworzenia dodatkowych procesów lub struktur generujących znaczne koszty lub przynoszących niepewne korzyści.</w:t>
      </w:r>
    </w:p>
    <w:p>
      <w:pPr>
        <w:pStyle w:val="NumPar1"/>
        <w:rPr>
          <w:noProof/>
        </w:rPr>
      </w:pPr>
      <w:r>
        <w:rPr>
          <w:b/>
          <w:noProof/>
        </w:rPr>
        <w:t>Nielegalne polowania na słonie oraz nielegalny handel kością słoniową</w:t>
      </w:r>
      <w:r>
        <w:rPr>
          <w:noProof/>
        </w:rPr>
        <w:t xml:space="preserve"> nadal mają miejsce na niepokojąco dużą skalę. Zarówno Unia, jak i należące do niej państwa członkowskie udzieliły znacznego wsparcia państwom afrykańskim, którego celem było zwiększenie ochrony dzikiej fauny i flory oraz walka z nielegalnym handlem dziką fauną i florą. Unia zobowiązuje się do dalszej współpracy z afrykańskimi partnerami oraz do dołożenia wzmożonych starań w tym zakresie, zgodnie z Planem działania UE przeciwko nielegalnemu handlowi dziką fauną i florą. Nasilenie zjawiska kłusownictwa i nielegalnego handlu pozostaje poważnym źródłem obaw dla UE, przy czym celem UE w ramach wszystkich punktów porządku obrad 18. Konferencji Stron dotyczących słoni powinno być wspieranie działań mających na celu bezpośrednie przeciwdziałanie temu problemowi. </w:t>
      </w:r>
    </w:p>
    <w:p>
      <w:pPr>
        <w:pStyle w:val="NumPar1"/>
        <w:rPr>
          <w:noProof/>
        </w:rPr>
      </w:pPr>
      <w:r>
        <w:rPr>
          <w:noProof/>
        </w:rPr>
        <w:t xml:space="preserve">Unia zauważa, że strony przedstawiły liczne, częściowo sprzeczne wnioski w odniesieniu do </w:t>
      </w:r>
      <w:r>
        <w:rPr>
          <w:b/>
          <w:noProof/>
        </w:rPr>
        <w:t>legalnego</w:t>
      </w:r>
      <w:r>
        <w:rPr>
          <w:noProof/>
        </w:rPr>
        <w:t xml:space="preserve"> </w:t>
      </w:r>
      <w:r>
        <w:rPr>
          <w:b/>
          <w:noProof/>
        </w:rPr>
        <w:t>handlu kością słoniową</w:t>
      </w:r>
      <w:r>
        <w:rPr>
          <w:noProof/>
        </w:rPr>
        <w:t>. Handel międzynarodowy kością słoniową jest obecnie zakazany w ramach CITES. Unia uważa, że nie spełniono warunków ponownego zezwolenia na taki handel i nie popiera wniosków o ponowne otwarcie takiego handlu, składanych podczas 18. sesji Konferencji Stron. W odniesieniu do krajowych rynków kości słoniowej Unia powinna nadal popierać – w zakresie przewidzianym w konwencji – stosowanie proporcjonalnych, skutecznych środków opartych na najlepszych dostępnych dowodach.</w:t>
      </w:r>
    </w:p>
    <w:p>
      <w:pPr>
        <w:pStyle w:val="NumPar1"/>
        <w:rPr>
          <w:noProof/>
        </w:rPr>
      </w:pPr>
      <w:r>
        <w:rPr>
          <w:noProof/>
        </w:rPr>
        <w:t xml:space="preserve">Unia uważa, że </w:t>
      </w:r>
      <w:r>
        <w:rPr>
          <w:b/>
          <w:noProof/>
        </w:rPr>
        <w:t>regulamin wewnętrzny</w:t>
      </w:r>
      <w:r>
        <w:rPr>
          <w:noProof/>
        </w:rPr>
        <w:t xml:space="preserve"> Konferencji Stron nie może odbiegać od treści konwencji, w tym jej art. XXI ust. 2–6. Należy stanowczo odrzucić wszelkie próby dodawania postanowień, w których wykonywanie praw Unii jako strony podporządkowuje się warunkom nieprzewidzianym w konwencji. </w:t>
      </w:r>
    </w:p>
    <w:p>
      <w:pPr>
        <w:pStyle w:val="NumPar1"/>
        <w:rPr>
          <w:noProof/>
        </w:rPr>
      </w:pPr>
      <w:r>
        <w:rPr>
          <w:noProof/>
        </w:rPr>
        <w:t xml:space="preserve">Kryzys nielegalnego handlu dziką fauną i florą w połączeniu z rozszerzeniem zakresu stosowania konwencji CITES na nowe gatunki i strony oznacza, że w ostatnich latach </w:t>
      </w:r>
      <w:r>
        <w:rPr>
          <w:b/>
          <w:noProof/>
        </w:rPr>
        <w:t>w</w:t>
      </w:r>
      <w:r>
        <w:rPr>
          <w:noProof/>
        </w:rPr>
        <w:t> </w:t>
      </w:r>
      <w:r>
        <w:rPr>
          <w:b/>
          <w:noProof/>
        </w:rPr>
        <w:t>ramy CITES włączono więcej działań</w:t>
      </w:r>
      <w:r>
        <w:rPr>
          <w:noProof/>
        </w:rPr>
        <w:t xml:space="preserve"> i że znacznie wzrosła liczba zadań spoczywających na Sekretariacie CITES. Unia powinna uwzględnić te zmiany przy podejmowaniu decyzji w sprawie swoich priorytetów podczas 18. sesji Konferencji Stron i w sprawie przyszłego budżetu Sekretariatu CITES. </w:t>
      </w:r>
    </w:p>
    <w:sectPr>
      <w:footerReference w:type="default" r:id="rId19"/>
      <w:footerReference w:type="first" r:id="rId20"/>
      <w:pgSz w:w="11907" w:h="16839"/>
      <w:pgMar w:top="1134" w:right="1417" w:bottom="1134" w:left="1417" w:header="709" w:footer="709" w:gutter="0"/>
      <w:pgNumType w:start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9BD307" w16cid:durableId="20119FF9"/>
  <w16cid:commentId w16cid:paraId="09FB7257" w16cid:durableId="20119FFA"/>
  <w16cid:commentId w16cid:paraId="0E5E1FF7" w16cid:durableId="2011A050"/>
  <w16cid:commentId w16cid:paraId="4BFD0E96" w16cid:durableId="20119FFB"/>
  <w16cid:commentId w16cid:paraId="462571C0" w16cid:durableId="20119FFC"/>
  <w16cid:commentId w16cid:paraId="2589A3C0" w16cid:durableId="2011A0AC"/>
  <w16cid:commentId w16cid:paraId="2C5BBDCA" w16cid:durableId="20119F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Rezolucja konferencji CITES 14.2, która ma zostać zaktualizowana na 18. sesji Konferencji Stron (zob. pkt 5 poniżej).</w:t>
      </w:r>
    </w:p>
  </w:footnote>
  <w:footnote w:id="2">
    <w:p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>Międzynarodowa Unia Ochrony Przyrody i organizacja Traffic specjalizują się w kwestiach związanych z handlem dziką fauną i florą, a przed każdą sesją Konferencji Stron przedstawiają dokładną ocenę wniosków dotyczących zmian w załącznikach do CITES.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4EAF8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CC82490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01C63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93EBC3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A4C9F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66A71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42ABA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BB825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2"/>
  <w:hideSpellingErrors/>
  <w:hideGrammaticalErrors/>
  <w:attachedTemplate r:id="rId1"/>
  <w:revisionView w:markup="0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4-05 10:04:5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o"/>
    <w:docVar w:name="LW_ACCOMPAGNANT.CP" w:val="do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FDA52EBE-C7C9-40C3-81DA-6B9EAEF23DC1"/>
    <w:docVar w:name="LW_COVERPAGE_TYPE" w:val="1"/>
    <w:docVar w:name="LW_CROSSREFERENCE" w:val="&lt;UNUSED&gt;"/>
    <w:docVar w:name="LW_DocType" w:val="ANNEX"/>
    <w:docVar w:name="LW_EMISSION" w:val="21.3.2019"/>
    <w:docVar w:name="LW_EMISSION_ISODATE" w:val="2019-03-21"/>
    <w:docVar w:name="LW_EMISSION_LOCATION" w:val="BRX"/>
    <w:docVar w:name="LW_EMISSION_PREFIX" w:val="Bruksela, dnia "/>
    <w:docVar w:name="LW_EMISSION_SUFFIX" w:val=" r."/>
    <w:docVar w:name="LW_ID_DOCSTRUCTURE" w:val="COM/ANNEX"/>
    <w:docVar w:name="LW_ID_DOCTYPE" w:val="SG-017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OBJETACTEPRINCIPAL" w:val="w sprawie stanowiska, jakie ma zosta\u263? zaj\u281?te w imieniu Unii Europejskiej podczas 18. sesji Konferencji Stron Konwencji o mi\u281?dzynarodowym handlu dzikimi zwierz\u281?tami i ro\u347?linami gatunków zagro\u380?onych wygini\u281?ciem (CITES CoP 18)"/>
    <w:docVar w:name="LW_OBJETACTEPRINCIPAL.CP" w:val="w sprawie stanowiska, jakie ma zosta\u263? zaj\u281?te w imieniu Unii Europejskiej podczas 18. sesji Konferencji Stron Konwencji o mi\u281?dzynarodowym handlu dzikimi zwierz\u281?tami i ro\u347?linami gatunków zagro\u380?onych wygini\u281?ciem (CITES CoP 18)"/>
    <w:docVar w:name="LW_PART_NBR" w:val="1"/>
    <w:docVar w:name="LW_PART_NBR_TOTAL" w:val="1"/>
    <w:docVar w:name="LW_REF.INST.NEW" w:val="COM"/>
    <w:docVar w:name="LW_REF.INST.NEW_ADOPTED" w:val="final"/>
    <w:docVar w:name="LW_REF.INST.NEW_TEXT" w:val="(2019) 14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ZA\u321?\u260?CZNIK"/>
    <w:docVar w:name="LW_TYPE.DOC.CP" w:val="ZA\u321?\u260?CZNIK"/>
    <w:docVar w:name="LW_TYPEACTEPRINCIPAL" w:val="wniosku dotycz\u261?cego DECYZJI RADY"/>
    <w:docVar w:name="LW_TYPEACTEPRINCIPAL.CP" w:val="wniosku dotycz\u261?cego DECYZJI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AA856C34D8E478D8680B911FA8A3D" ma:contentTypeVersion="0" ma:contentTypeDescription="Create a new document." ma:contentTypeScope="" ma:versionID="a1b2f863b13fb1eec5060ba3f8e2a5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28fc8648fa84460f5661d9ecf385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210B5-82C2-49CE-8CEE-0588BD883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55E34B-72E3-43DE-A94E-25E96730B8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52D4C4-F5F4-4E05-8D9B-20F6F4D6C69A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670C7C3-9049-405B-AC89-8948E876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5</Pages>
  <Words>1558</Words>
  <Characters>10084</Characters>
  <Application>Microsoft Office Word</Application>
  <DocSecurity>0</DocSecurity>
  <Lines>165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 Matthias Leonhard (ENV)</dc:creator>
  <cp:keywords/>
  <dc:description/>
  <cp:lastModifiedBy>WES PDFC Administrator</cp:lastModifiedBy>
  <cp:revision>8</cp:revision>
  <cp:lastPrinted>2019-02-15T18:13:00Z</cp:lastPrinted>
  <dcterms:created xsi:type="dcterms:W3CDTF">2019-04-03T12:47:00Z</dcterms:created>
  <dcterms:modified xsi:type="dcterms:W3CDTF">2019-04-05T08:04:00Z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6.0.1, Build 20180503</vt:lpwstr>
  </property>
  <property fmtid="{D5CDD505-2E9C-101B-9397-08002B2CF9AE}" pid="3" name="Level of sensitivity">
    <vt:lpwstr>Standard treatment</vt:lpwstr>
  </property>
  <property fmtid="{D5CDD505-2E9C-101B-9397-08002B2CF9AE}" pid="4" name="Category">
    <vt:lpwstr>COM/ANNEX</vt:lpwstr>
  </property>
  <property fmtid="{D5CDD505-2E9C-101B-9397-08002B2CF9AE}" pid="5" name="First annex">
    <vt:lpwstr>1</vt:lpwstr>
  </property>
  <property fmtid="{D5CDD505-2E9C-101B-9397-08002B2CF9AE}" pid="6" name="Last annex">
    <vt:lpwstr>1</vt:lpwstr>
  </property>
  <property fmtid="{D5CDD505-2E9C-101B-9397-08002B2CF9AE}" pid="7" name="Unique annex">
    <vt:lpwstr>0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LWTemplateID">
    <vt:lpwstr>SG-017</vt:lpwstr>
  </property>
  <property fmtid="{D5CDD505-2E9C-101B-9397-08002B2CF9AE}" pid="11" name="ContentTypeId">
    <vt:lpwstr>0x010100135AA856C34D8E478D8680B911FA8A3D</vt:lpwstr>
  </property>
  <property fmtid="{D5CDD505-2E9C-101B-9397-08002B2CF9AE}" pid="12" name="IsMyDocuments">
    <vt:bool>true</vt:bool>
  </property>
  <property fmtid="{D5CDD505-2E9C-101B-9397-08002B2CF9AE}" pid="13" name="DQCStatus">
    <vt:lpwstr>Green (DQC version 03)</vt:lpwstr>
  </property>
</Properties>
</file>