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EEAD1F5-3194-455C-854B-B8CE6FF041A3" style="width:450.8pt;height:397.5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color w:val="000000" w:themeColor="text1"/>
          <w:u w:val="single"/>
        </w:rPr>
      </w:pPr>
      <w:bookmarkStart w:id="0" w:name="_GoBack"/>
      <w:bookmarkEnd w:id="0"/>
      <w:r>
        <w:rPr>
          <w:b/>
          <w:noProof/>
          <w:color w:val="000000" w:themeColor="text1"/>
          <w:u w:val="single"/>
        </w:rPr>
        <w:t>ALLEGATO II</w:t>
      </w:r>
    </w:p>
    <w:p>
      <w:pPr>
        <w:jc w:val="center"/>
        <w:rPr>
          <w:b/>
          <w:noProof/>
          <w:color w:val="000000" w:themeColor="text1"/>
          <w:u w:val="single"/>
        </w:rPr>
      </w:pPr>
      <w:r>
        <w:rPr>
          <w:b/>
          <w:noProof/>
          <w:color w:val="000000" w:themeColor="text1"/>
          <w:u w:val="single"/>
        </w:rPr>
        <w:t>Posizione dell'Unione in merito ad alcune proposte presentate alla 18</w:t>
      </w:r>
      <w:r>
        <w:rPr>
          <w:b/>
          <w:noProof/>
          <w:color w:val="000000" w:themeColor="text1"/>
          <w:u w:val="single"/>
          <w:vertAlign w:val="superscript"/>
        </w:rPr>
        <w:t>a</w:t>
      </w:r>
      <w:r>
        <w:rPr>
          <w:b/>
          <w:noProof/>
          <w:color w:val="000000" w:themeColor="text1"/>
          <w:u w:val="single"/>
        </w:rPr>
        <w:t xml:space="preserve"> riunione della Conferenza delle parti della convenzione sul commercio internazionale delle specie di flora e di fauna selvatiche minacciate di estinzione (CITES), Colombo, Sri Lanka, 23 maggio - 3 giugno 2019</w:t>
      </w:r>
    </w:p>
    <w:tbl>
      <w:tblPr>
        <w:tblStyle w:val="TableGrid"/>
        <w:tblW w:w="5000" w:type="pct"/>
        <w:tblLook w:val="04A0" w:firstRow="1" w:lastRow="0" w:firstColumn="1" w:lastColumn="0" w:noHBand="0" w:noVBand="1"/>
      </w:tblPr>
      <w:tblGrid>
        <w:gridCol w:w="3097"/>
        <w:gridCol w:w="3097"/>
        <w:gridCol w:w="3095"/>
      </w:tblGrid>
      <w:tr>
        <w:tc>
          <w:tcPr>
            <w:tcW w:w="1667" w:type="pct"/>
          </w:tcPr>
          <w:p>
            <w:pPr>
              <w:rPr>
                <w:noProof/>
                <w:color w:val="000000" w:themeColor="text1"/>
                <w:sz w:val="20"/>
                <w:szCs w:val="20"/>
              </w:rPr>
            </w:pPr>
            <w:r>
              <w:rPr>
                <w:noProof/>
                <w:color w:val="000000" w:themeColor="text1"/>
                <w:sz w:val="20"/>
              </w:rPr>
              <w:t>+ = posizione favorevole</w:t>
            </w:r>
          </w:p>
        </w:tc>
        <w:tc>
          <w:tcPr>
            <w:tcW w:w="1667" w:type="pct"/>
          </w:tcPr>
          <w:p>
            <w:pPr>
              <w:rPr>
                <w:noProof/>
                <w:color w:val="000000" w:themeColor="text1"/>
                <w:sz w:val="20"/>
                <w:szCs w:val="20"/>
              </w:rPr>
            </w:pPr>
            <w:r>
              <w:rPr>
                <w:noProof/>
                <w:color w:val="000000" w:themeColor="text1"/>
                <w:sz w:val="20"/>
              </w:rPr>
              <w:t>– = posizione contraria</w:t>
            </w:r>
          </w:p>
        </w:tc>
        <w:tc>
          <w:tcPr>
            <w:tcW w:w="1666" w:type="pct"/>
          </w:tcPr>
          <w:p>
            <w:pPr>
              <w:rPr>
                <w:noProof/>
                <w:color w:val="000000" w:themeColor="text1"/>
                <w:sz w:val="20"/>
                <w:szCs w:val="20"/>
              </w:rPr>
            </w:pPr>
            <w:r>
              <w:rPr>
                <w:noProof/>
                <w:color w:val="000000" w:themeColor="text1"/>
                <w:sz w:val="20"/>
              </w:rPr>
              <w:t>0 = posizione aperta alla discussione</w:t>
            </w:r>
          </w:p>
        </w:tc>
      </w:tr>
      <w:tr>
        <w:tc>
          <w:tcPr>
            <w:tcW w:w="5000" w:type="pct"/>
            <w:gridSpan w:val="3"/>
          </w:tcPr>
          <w:p>
            <w:pPr>
              <w:jc w:val="center"/>
              <w:rPr>
                <w:noProof/>
                <w:color w:val="000000" w:themeColor="text1"/>
                <w:sz w:val="20"/>
                <w:szCs w:val="20"/>
              </w:rPr>
            </w:pPr>
            <w:r>
              <w:rPr>
                <w:noProof/>
                <w:color w:val="000000" w:themeColor="text1"/>
                <w:sz w:val="20"/>
              </w:rPr>
              <w:t>( ) = necessità di un'ulteriore analisi</w:t>
            </w:r>
          </w:p>
        </w:tc>
      </w:tr>
    </w:tbl>
    <w:p>
      <w:pPr>
        <w:pStyle w:val="Heading1"/>
        <w:numPr>
          <w:ilvl w:val="0"/>
          <w:numId w:val="14"/>
        </w:numPr>
        <w:rPr>
          <w:noProof/>
        </w:rPr>
      </w:pPr>
      <w:r>
        <w:rPr>
          <w:noProof/>
        </w:rPr>
        <w:t>Documenti di lavoro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620"/>
        <w:gridCol w:w="635"/>
        <w:gridCol w:w="340"/>
        <w:gridCol w:w="341"/>
        <w:gridCol w:w="2266"/>
        <w:gridCol w:w="1600"/>
        <w:gridCol w:w="2482"/>
        <w:gridCol w:w="1059"/>
      </w:tblGrid>
      <w:tr>
        <w:trPr>
          <w:cantSplit/>
          <w:tblHeader/>
        </w:trPr>
        <w:tc>
          <w:tcPr>
            <w:tcW w:w="0" w:type="auto"/>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i/>
                <w:noProof/>
                <w:color w:val="000000" w:themeColor="text1"/>
                <w:sz w:val="20"/>
              </w:rPr>
              <w:t>N.</w:t>
            </w:r>
          </w:p>
        </w:tc>
        <w:tc>
          <w:tcPr>
            <w:tcW w:w="0" w:type="auto"/>
            <w:gridSpan w:val="4"/>
          </w:tcPr>
          <w:p>
            <w:pPr>
              <w:spacing w:before="0" w:after="0" w:line="240" w:lineRule="atLeast"/>
              <w:rPr>
                <w:rFonts w:eastAsia="Times New Roman"/>
                <w:b/>
                <w:bCs/>
                <w:i/>
                <w:noProof/>
                <w:color w:val="000000" w:themeColor="text1"/>
                <w:sz w:val="20"/>
                <w:szCs w:val="20"/>
              </w:rPr>
            </w:pPr>
            <w:r>
              <w:rPr>
                <w:b/>
                <w:i/>
                <w:noProof/>
                <w:color w:val="000000" w:themeColor="text1"/>
                <w:sz w:val="20"/>
              </w:rPr>
              <w:t>Punto all'ordine del giorno</w:t>
            </w:r>
          </w:p>
        </w:tc>
        <w:tc>
          <w:tcPr>
            <w:tcW w:w="0" w:type="auto"/>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i/>
                <w:noProof/>
                <w:color w:val="000000" w:themeColor="text1"/>
                <w:sz w:val="20"/>
              </w:rPr>
              <w:t>Proponente</w:t>
            </w:r>
            <w:r>
              <w:rPr>
                <w:rStyle w:val="Heading1Char"/>
                <w:noProof/>
                <w:vertAlign w:val="superscript"/>
              </w:rPr>
              <w:footnoteReference w:id="1"/>
            </w:r>
          </w:p>
        </w:tc>
        <w:tc>
          <w:tcPr>
            <w:tcW w:w="0" w:type="auto"/>
            <w:tcMar>
              <w:top w:w="60" w:type="dxa"/>
              <w:left w:w="135" w:type="dxa"/>
              <w:bottom w:w="60" w:type="dxa"/>
              <w:right w:w="135" w:type="dxa"/>
            </w:tcMar>
          </w:tcPr>
          <w:p>
            <w:pPr>
              <w:spacing w:before="0" w:after="0" w:line="240" w:lineRule="atLeast"/>
              <w:jc w:val="left"/>
              <w:rPr>
                <w:rFonts w:eastAsia="Times New Roman"/>
                <w:b/>
                <w:bCs/>
                <w:i/>
                <w:noProof/>
                <w:color w:val="000000" w:themeColor="text1"/>
                <w:sz w:val="20"/>
                <w:szCs w:val="20"/>
              </w:rPr>
            </w:pPr>
            <w:r>
              <w:rPr>
                <w:b/>
                <w:i/>
                <w:noProof/>
                <w:color w:val="000000" w:themeColor="text1"/>
                <w:sz w:val="20"/>
              </w:rPr>
              <w:t>Osservazioni</w:t>
            </w:r>
          </w:p>
        </w:tc>
        <w:tc>
          <w:tcPr>
            <w:tcW w:w="0" w:type="auto"/>
            <w:tcMar>
              <w:top w:w="60" w:type="dxa"/>
              <w:left w:w="135" w:type="dxa"/>
              <w:bottom w:w="60" w:type="dxa"/>
              <w:right w:w="135" w:type="dxa"/>
            </w:tcMar>
          </w:tcPr>
          <w:p>
            <w:pPr>
              <w:spacing w:before="0" w:after="0" w:line="240" w:lineRule="atLeast"/>
              <w:rPr>
                <w:rFonts w:eastAsia="Times New Roman"/>
                <w:b/>
                <w:bCs/>
                <w:i/>
                <w:noProof/>
                <w:color w:val="000000" w:themeColor="text1"/>
                <w:sz w:val="20"/>
                <w:szCs w:val="20"/>
              </w:rPr>
            </w:pPr>
            <w:r>
              <w:rPr>
                <w:b/>
                <w:i/>
                <w:noProof/>
                <w:color w:val="000000" w:themeColor="text1"/>
                <w:sz w:val="20"/>
              </w:rPr>
              <w:t>Posizione</w:t>
            </w:r>
          </w:p>
        </w:tc>
      </w:tr>
      <w:tr>
        <w:trPr>
          <w:cantSplit/>
        </w:trPr>
        <w:tc>
          <w:tcPr>
            <w:tcW w:w="0" w:type="auto"/>
            <w:gridSpan w:val="5"/>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Cerimonia di apertura</w:t>
            </w: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Nessun documento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rPr>
              <w:t>Questioni amministrative e finanziarie</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Elezione</w:t>
            </w:r>
            <w:r>
              <w:rPr>
                <w:noProof/>
                <w:color w:val="000000" w:themeColor="text1"/>
                <w:sz w:val="20"/>
              </w:rPr>
              <w:t xml:space="preserve"> del presidente, del presidente supplente, dei vicepresidenti della riunione e dei presidenti dei Comitati I e II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Nessun documento</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Adozione dell'</w:t>
            </w:r>
            <w:r>
              <w:rPr>
                <w:b/>
                <w:noProof/>
                <w:color w:val="000000" w:themeColor="text1"/>
                <w:sz w:val="20"/>
              </w:rPr>
              <w:t>ordine del giorno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Adozione del </w:t>
            </w:r>
            <w:r>
              <w:rPr>
                <w:b/>
                <w:noProof/>
                <w:color w:val="000000" w:themeColor="text1"/>
                <w:sz w:val="20"/>
              </w:rPr>
              <w:t>programma di lavoro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Regolamento interno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4.1</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Regolamento interno per la 18ª riunione della conferenza delle parti della convenzione </w:t>
            </w:r>
            <w:r>
              <w:rPr>
                <w:noProof/>
                <w:color w:val="000000" w:themeColor="text1"/>
                <w:sz w:val="20"/>
                <w:u w:val="single"/>
              </w:rPr>
              <w:t>Doc. 4.1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Prendere nota del doc. contenente l'attuale RI, che rimarrà valido finché non sarà eventualmente modificato dalla COP (cfr. regola 32).</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4.2</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Revisione del regolamento interno </w:t>
            </w:r>
            <w:r>
              <w:rPr>
                <w:noProof/>
                <w:color w:val="000000" w:themeColor="text1"/>
                <w:sz w:val="20"/>
                <w:u w:val="single"/>
              </w:rPr>
              <w:t>Doc. 4.2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la proposta di non apportare modifiche al RI in occasione della COP 18; sostenere anche il nuovo mandato del CP per rivedere la regola 25 (</w:t>
            </w:r>
            <w:r>
              <w:rPr>
                <w:i/>
                <w:noProof/>
                <w:color w:val="000000" w:themeColor="text1"/>
                <w:sz w:val="20"/>
              </w:rPr>
              <w:t>Procedura per decidere in merito alle modifiche delle appendici</w:t>
            </w:r>
            <w:r>
              <w:rPr>
                <w:noProof/>
                <w:color w:val="000000" w:themeColor="text1"/>
                <w:sz w:val="20"/>
              </w:rPr>
              <w:t xml:space="preserve">) da parte della COP 19.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Comitato</w:t>
            </w:r>
            <w:r>
              <w:rPr>
                <w:noProof/>
              </w:rPr>
              <w:t xml:space="preserve"> "</w:t>
            </w:r>
            <w:r>
              <w:rPr>
                <w:b/>
                <w:noProof/>
                <w:color w:val="000000" w:themeColor="text1"/>
                <w:sz w:val="20"/>
              </w:rPr>
              <w:t>Credenziali"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5.1</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Istituzione del comitato "Credenziali"</w:t>
            </w:r>
            <w:r>
              <w:rPr>
                <w:rFonts w:eastAsia="Times New Roman"/>
                <w:noProof/>
                <w:color w:val="000000" w:themeColor="text1"/>
                <w:sz w:val="20"/>
                <w:szCs w:val="20"/>
              </w:rPr>
              <w:br/>
            </w:r>
            <w:r>
              <w:rPr>
                <w:noProof/>
                <w:color w:val="000000" w:themeColor="text1"/>
                <w:sz w:val="20"/>
              </w:rPr>
              <w:t>(nessun documento)</w:t>
            </w: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Nessun documento</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5.2</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comitato "Credenziali"</w:t>
            </w:r>
            <w:r>
              <w:rPr>
                <w:rFonts w:eastAsia="Times New Roman"/>
                <w:noProof/>
                <w:color w:val="000000" w:themeColor="text1"/>
                <w:sz w:val="20"/>
                <w:szCs w:val="20"/>
              </w:rPr>
              <w:br/>
            </w:r>
            <w:r>
              <w:rPr>
                <w:noProof/>
                <w:color w:val="000000" w:themeColor="text1"/>
                <w:sz w:val="20"/>
              </w:rPr>
              <w:t>(nessun documento)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Nessun documento</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Ammissione di </w:t>
            </w:r>
            <w:r>
              <w:rPr>
                <w:b/>
                <w:noProof/>
                <w:color w:val="000000" w:themeColor="text1"/>
                <w:sz w:val="20"/>
              </w:rPr>
              <w:t>osservatori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Amministrazione, finanziamento e bilancio</w:t>
            </w:r>
            <w:r>
              <w:rPr>
                <w:noProof/>
                <w:color w:val="000000" w:themeColor="text1"/>
                <w:sz w:val="20"/>
              </w:rPr>
              <w:t xml:space="preserve"> del Segretariato e delle riunioni della COP</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7.1</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Amministrazione del Segretariato</w:t>
            </w:r>
            <w:r>
              <w:rPr>
                <w:rFonts w:eastAsia="Times New Roman"/>
                <w:noProof/>
                <w:color w:val="000000" w:themeColor="text1"/>
                <w:sz w:val="20"/>
                <w:szCs w:val="20"/>
              </w:rPr>
              <w:br/>
            </w:r>
            <w:r>
              <w:rPr>
                <w:noProof/>
                <w:color w:val="000000" w:themeColor="text1"/>
                <w:sz w:val="20"/>
                <w:u w:val="single"/>
              </w:rPr>
              <w:t>Doc. 7.1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7.2</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direttore esecutivo dell'UNEP su questioni amministrative e di altra natura</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7.3</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Relazioni finanziarie per il periodo 2016-2019</w:t>
            </w:r>
            <w:r>
              <w:rPr>
                <w:rFonts w:eastAsia="Times New Roman"/>
                <w:noProof/>
                <w:color w:val="000000" w:themeColor="text1"/>
                <w:sz w:val="20"/>
                <w:szCs w:val="20"/>
              </w:rPr>
              <w:br/>
            </w:r>
            <w:r>
              <w:rPr>
                <w:noProof/>
                <w:color w:val="000000" w:themeColor="text1"/>
                <w:sz w:val="20"/>
                <w:u w:val="single"/>
              </w:rPr>
              <w:t>Doc. 7.3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1: Relazione finanziaria sul programma di lavoro con indicazione dei costi per il 2016 </w:t>
            </w:r>
            <w:r>
              <w:rPr>
                <w:noProof/>
                <w:color w:val="000000" w:themeColor="text1"/>
                <w:sz w:val="20"/>
              </w:rPr>
              <w:br/>
            </w:r>
            <w:r>
              <w:rPr>
                <w:noProof/>
                <w:color w:val="000000" w:themeColor="text1"/>
                <w:sz w:val="20"/>
                <w:u w:val="single"/>
              </w:rPr>
              <w:t>Doc. 7.3 A1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2: Fondo fiduciario della CITES – situazione dei contributi al 31 dicembre 2016</w:t>
            </w:r>
            <w:r>
              <w:rPr>
                <w:rFonts w:eastAsia="Times New Roman"/>
                <w:noProof/>
                <w:color w:val="000000" w:themeColor="text1"/>
                <w:sz w:val="20"/>
                <w:szCs w:val="20"/>
              </w:rPr>
              <w:br/>
            </w:r>
            <w:r>
              <w:rPr>
                <w:noProof/>
                <w:color w:val="000000" w:themeColor="text1"/>
                <w:sz w:val="20"/>
                <w:u w:val="single"/>
              </w:rPr>
              <w:t>Doc. 7.3 A2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3: Fondo fiduciario esterno della CITES – situazione dei contributi al 31 dicembre 2016</w:t>
            </w:r>
            <w:r>
              <w:rPr>
                <w:rFonts w:eastAsia="Times New Roman"/>
                <w:noProof/>
                <w:color w:val="000000" w:themeColor="text1"/>
                <w:sz w:val="20"/>
                <w:szCs w:val="20"/>
              </w:rPr>
              <w:br/>
            </w:r>
            <w:r>
              <w:rPr>
                <w:noProof/>
                <w:color w:val="000000" w:themeColor="text1"/>
                <w:sz w:val="20"/>
                <w:u w:val="single"/>
              </w:rPr>
              <w:t>Doc. 7.3 A3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4: Relazione finanziaria sul programma di lavoro con indicazione dei costi per il 2017</w:t>
            </w:r>
            <w:r>
              <w:rPr>
                <w:rFonts w:eastAsia="Times New Roman"/>
                <w:noProof/>
                <w:color w:val="000000" w:themeColor="text1"/>
                <w:sz w:val="20"/>
                <w:szCs w:val="20"/>
              </w:rPr>
              <w:br/>
            </w:r>
            <w:r>
              <w:rPr>
                <w:noProof/>
                <w:color w:val="000000" w:themeColor="text1"/>
                <w:sz w:val="20"/>
                <w:u w:val="single"/>
              </w:rPr>
              <w:t>Doc. 7.3 A4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5: Fondo fiduciario della CITES – situazione dei contributi al 31 dicembre 2017</w:t>
            </w:r>
            <w:r>
              <w:rPr>
                <w:rFonts w:eastAsia="Times New Roman"/>
                <w:noProof/>
                <w:color w:val="000000" w:themeColor="text1"/>
                <w:sz w:val="20"/>
                <w:szCs w:val="20"/>
              </w:rPr>
              <w:br/>
            </w:r>
            <w:r>
              <w:rPr>
                <w:noProof/>
                <w:color w:val="000000" w:themeColor="text1"/>
                <w:sz w:val="20"/>
                <w:u w:val="single"/>
              </w:rPr>
              <w:t>Doc. 7.3 A5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6: Fondo fiduciario esterno della CITES – situazione dei contributi al 31 dicembre 2017 </w:t>
            </w:r>
            <w:r>
              <w:rPr>
                <w:noProof/>
                <w:color w:val="000000" w:themeColor="text1"/>
                <w:sz w:val="20"/>
              </w:rPr>
              <w:br/>
            </w:r>
            <w:r>
              <w:rPr>
                <w:noProof/>
                <w:color w:val="000000" w:themeColor="text1"/>
                <w:sz w:val="20"/>
                <w:u w:val="single"/>
              </w:rPr>
              <w:t>Doc. 7.3 A6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7: Relazione finanziaria sul programma di lavoro con indicazione dei costi per il 2018 </w:t>
            </w:r>
            <w:r>
              <w:rPr>
                <w:noProof/>
                <w:color w:val="000000" w:themeColor="text1"/>
                <w:sz w:val="20"/>
              </w:rPr>
              <w:br/>
            </w:r>
            <w:r>
              <w:rPr>
                <w:noProof/>
                <w:color w:val="000000" w:themeColor="text1"/>
                <w:sz w:val="20"/>
                <w:u w:val="single"/>
              </w:rPr>
              <w:t>Doc. 7.3 A7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8: Fondo fiduciario della CITES – situazione dei contributi al 31 dicembre 2018 </w:t>
            </w:r>
            <w:r>
              <w:rPr>
                <w:rFonts w:eastAsia="Times New Roman"/>
                <w:noProof/>
                <w:color w:val="000000" w:themeColor="text1"/>
                <w:sz w:val="20"/>
                <w:szCs w:val="20"/>
              </w:rPr>
              <w:br/>
            </w:r>
            <w:r>
              <w:rPr>
                <w:noProof/>
                <w:color w:val="000000" w:themeColor="text1"/>
                <w:sz w:val="20"/>
                <w:u w:val="single"/>
              </w:rPr>
              <w:t>Doc. 7.3 A8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9: Fondo fiduciario della CITES – distribuzione annuale dei contributi non pagati al 31 dicembre 2018 </w:t>
            </w:r>
            <w:r>
              <w:rPr>
                <w:rFonts w:eastAsia="Times New Roman"/>
                <w:noProof/>
                <w:color w:val="000000" w:themeColor="text1"/>
                <w:sz w:val="20"/>
                <w:szCs w:val="20"/>
              </w:rPr>
              <w:br/>
            </w:r>
            <w:r>
              <w:rPr>
                <w:noProof/>
                <w:color w:val="000000" w:themeColor="text1"/>
                <w:sz w:val="20"/>
                <w:u w:val="single"/>
              </w:rPr>
              <w:t>Doc. 7.3 A9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10: Fondo fiduciario esterno della CITES – situazione dei contributi al 31 dicembre 2018 </w:t>
            </w:r>
            <w:r>
              <w:rPr>
                <w:noProof/>
                <w:color w:val="000000" w:themeColor="text1"/>
                <w:sz w:val="20"/>
                <w:u w:val="single"/>
              </w:rPr>
              <w:t>Doc. 7.3 A10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11: Conto economico e stato patrimoniale per l'esercizio chiuso al 31 dicembre 2017</w:t>
            </w:r>
            <w:r>
              <w:rPr>
                <w:rFonts w:eastAsia="Times New Roman"/>
                <w:noProof/>
                <w:color w:val="000000" w:themeColor="text1"/>
                <w:sz w:val="20"/>
                <w:szCs w:val="20"/>
              </w:rPr>
              <w:br/>
            </w:r>
            <w:r>
              <w:rPr>
                <w:noProof/>
                <w:color w:val="000000" w:themeColor="text1"/>
                <w:sz w:val="20"/>
                <w:u w:val="single"/>
              </w:rPr>
              <w:t>Doc. 7.3 A11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12: Relazione finanziaria sul programma di lavoro con indicazione dei costi per il 2019 (fino al 31 marzo 2019)</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13: Fondo fiduciario della CITES – situazione dei contributi al 31 marzo 2019</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Allegato 14: Fondo fiduciario esterno della CITES – situazione dei contributi al 31 marzo 2019</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7.4</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Bilancio e programma di lavoro per il 2020-2022 </w:t>
            </w:r>
            <w:r>
              <w:rPr>
                <w:noProof/>
                <w:color w:val="000000" w:themeColor="text1"/>
                <w:sz w:val="20"/>
              </w:rPr>
              <w:br/>
            </w:r>
            <w:r>
              <w:rPr>
                <w:noProof/>
                <w:color w:val="000000" w:themeColor="text1"/>
                <w:sz w:val="20"/>
                <w:u w:val="single"/>
              </w:rPr>
              <w:t>Doc. 7.4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1: Progetto di risoluzione sul </w:t>
            </w:r>
            <w:r>
              <w:rPr>
                <w:i/>
                <w:noProof/>
                <w:color w:val="000000" w:themeColor="text1"/>
                <w:sz w:val="20"/>
              </w:rPr>
              <w:t xml:space="preserve">finanziamento e sul programma di lavoro con indicazione dei costi per il Segretariato in relazione al triennio 2020-2022 </w:t>
            </w:r>
            <w:r>
              <w:rPr>
                <w:rFonts w:eastAsia="Times New Roman"/>
                <w:i/>
                <w:iCs/>
                <w:noProof/>
                <w:color w:val="000000" w:themeColor="text1"/>
                <w:sz w:val="20"/>
                <w:szCs w:val="20"/>
              </w:rPr>
              <w:br/>
            </w:r>
            <w:r>
              <w:rPr>
                <w:noProof/>
                <w:color w:val="000000" w:themeColor="text1"/>
                <w:sz w:val="20"/>
                <w:u w:val="single"/>
              </w:rPr>
              <w:t>Doc. 7.4 A1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2: Scenario di bilancio con crescita reale pari a zero </w:t>
            </w:r>
            <w:r>
              <w:rPr>
                <w:rFonts w:eastAsia="Times New Roman"/>
                <w:noProof/>
                <w:color w:val="000000" w:themeColor="text1"/>
                <w:sz w:val="20"/>
                <w:szCs w:val="20"/>
              </w:rPr>
              <w:br/>
            </w:r>
            <w:r>
              <w:rPr>
                <w:noProof/>
                <w:color w:val="000000" w:themeColor="text1"/>
                <w:sz w:val="20"/>
                <w:u w:val="single"/>
              </w:rPr>
              <w:t>Doc. 7.4 A2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3: Scenario di bilancio con crescita nominale pari a zero </w:t>
            </w:r>
            <w:r>
              <w:rPr>
                <w:rFonts w:eastAsia="Times New Roman"/>
                <w:noProof/>
                <w:color w:val="000000" w:themeColor="text1"/>
                <w:sz w:val="20"/>
                <w:szCs w:val="20"/>
              </w:rPr>
              <w:br/>
            </w:r>
            <w:r>
              <w:rPr>
                <w:noProof/>
                <w:color w:val="000000" w:themeColor="text1"/>
                <w:sz w:val="20"/>
                <w:u w:val="single"/>
              </w:rPr>
              <w:t>Doc. 7.4 A3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4: Scenario di bilancio con crescita incrementale </w:t>
            </w:r>
            <w:r>
              <w:rPr>
                <w:rFonts w:eastAsia="Times New Roman"/>
                <w:noProof/>
                <w:color w:val="000000" w:themeColor="text1"/>
                <w:sz w:val="20"/>
                <w:szCs w:val="20"/>
              </w:rPr>
              <w:br/>
            </w:r>
            <w:r>
              <w:rPr>
                <w:noProof/>
                <w:color w:val="000000" w:themeColor="text1"/>
                <w:sz w:val="20"/>
                <w:u w:val="single"/>
              </w:rPr>
              <w:t>Doc. 7.4 A4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7.5</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Accesso ai finanziamenti, inclusi i finanziamenti GEF </w:t>
            </w:r>
            <w:r>
              <w:rPr>
                <w:rFonts w:eastAsia="Times New Roman"/>
                <w:noProof/>
                <w:color w:val="000000" w:themeColor="text1"/>
                <w:sz w:val="20"/>
                <w:szCs w:val="20"/>
              </w:rPr>
              <w:br/>
            </w:r>
            <w:r>
              <w:rPr>
                <w:noProof/>
                <w:color w:val="000000" w:themeColor="text1"/>
                <w:sz w:val="20"/>
                <w:u w:val="single"/>
              </w:rPr>
              <w:t>Doc. 7.5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7.6</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Progetto sul</w:t>
            </w:r>
            <w:r>
              <w:rPr>
                <w:noProof/>
              </w:rPr>
              <w:t xml:space="preserve"> </w:t>
            </w:r>
            <w:r>
              <w:rPr>
                <w:b/>
                <w:i/>
                <w:noProof/>
                <w:color w:val="000000" w:themeColor="text1"/>
                <w:sz w:val="20"/>
              </w:rPr>
              <w:t>sostegno finanziario alla partecipazione dei delegati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7.6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il mantenimento degli attuali criteri di selezione; il Seg. esamina la portata del progetto dalla COP alle riunioni dei comitati.</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Progetto di risoluzione sulla </w:t>
            </w:r>
            <w:r>
              <w:rPr>
                <w:b/>
                <w:noProof/>
                <w:color w:val="000000" w:themeColor="text1"/>
                <w:sz w:val="20"/>
              </w:rPr>
              <w:t>strategia linguistica</w:t>
            </w:r>
            <w:r>
              <w:rPr>
                <w:noProof/>
                <w:color w:val="000000" w:themeColor="text1"/>
                <w:sz w:val="20"/>
              </w:rPr>
              <w:t xml:space="preserve"> della convenzione </w:t>
            </w:r>
            <w:r>
              <w:rPr>
                <w:rFonts w:eastAsia="Times New Roman"/>
                <w:noProof/>
                <w:color w:val="000000" w:themeColor="text1"/>
                <w:sz w:val="20"/>
                <w:szCs w:val="20"/>
              </w:rPr>
              <w:br/>
            </w:r>
            <w:r>
              <w:rPr>
                <w:noProof/>
                <w:color w:val="000000" w:themeColor="text1"/>
                <w:sz w:val="20"/>
                <w:u w:val="single"/>
              </w:rPr>
              <w:t>Doc. 8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IQ</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Non è chiaro come mai l'arabo dovrebbe essere incluso tra le lingue ufficiale della CITES, ma non altre lingue dell'ONU (cinese, russo). L'incidenza sul bilancio e gli eventuali ulteriori ritardi nella produzione dei documenti ostano alla proposta.</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rPr>
              <w:t>Questioni strategiche</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Relazioni e raccomandazioni dei</w:t>
            </w:r>
            <w:r>
              <w:rPr>
                <w:noProof/>
              </w:rPr>
              <w:t xml:space="preserve"> </w:t>
            </w:r>
            <w:r>
              <w:rPr>
                <w:b/>
                <w:noProof/>
                <w:color w:val="000000" w:themeColor="text1"/>
                <w:sz w:val="20"/>
              </w:rPr>
              <w:t>comitati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9.1</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Comitato</w:t>
            </w:r>
            <w:r>
              <w:rPr>
                <w:noProof/>
              </w:rPr>
              <w:t xml:space="preserve"> </w:t>
            </w:r>
            <w:r>
              <w:rPr>
                <w:b/>
                <w:i/>
                <w:noProof/>
                <w:color w:val="000000" w:themeColor="text1"/>
                <w:sz w:val="20"/>
              </w:rPr>
              <w:t>permanente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9.1.1</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presidente </w:t>
            </w:r>
            <w:r>
              <w:rPr>
                <w:rFonts w:eastAsia="Times New Roman"/>
                <w:noProof/>
                <w:color w:val="000000" w:themeColor="text1"/>
                <w:sz w:val="20"/>
                <w:szCs w:val="20"/>
              </w:rPr>
              <w:br/>
            </w:r>
            <w:r>
              <w:rPr>
                <w:noProof/>
                <w:color w:val="000000" w:themeColor="text1"/>
                <w:sz w:val="20"/>
                <w:u w:val="single"/>
              </w:rPr>
              <w:t>Doc. 9.1.1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9.1.2</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Elezione dei nuovi membri regionali e dei relativi supplenti (nessun documento)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9.2</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Comitato</w:t>
            </w:r>
            <w:r>
              <w:rPr>
                <w:noProof/>
              </w:rPr>
              <w:t xml:space="preserve"> </w:t>
            </w:r>
            <w:r>
              <w:rPr>
                <w:b/>
                <w:i/>
                <w:noProof/>
                <w:color w:val="000000" w:themeColor="text1"/>
                <w:sz w:val="20"/>
              </w:rPr>
              <w:t>"Animali"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9.2.1</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presidente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9.2.2</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Elezione dei nuovi membri regionali e dei relativi supplenti (nessun documento)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9.3</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Comitato</w:t>
            </w:r>
            <w:r>
              <w:rPr>
                <w:noProof/>
              </w:rPr>
              <w:t xml:space="preserve"> </w:t>
            </w:r>
            <w:r>
              <w:rPr>
                <w:b/>
                <w:i/>
                <w:noProof/>
                <w:color w:val="000000" w:themeColor="text1"/>
                <w:sz w:val="20"/>
              </w:rPr>
              <w:t>"Piante"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9.3.1</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presidente </w:t>
            </w:r>
            <w:r>
              <w:rPr>
                <w:rFonts w:eastAsia="Times New Roman"/>
                <w:noProof/>
                <w:color w:val="000000" w:themeColor="text1"/>
                <w:sz w:val="20"/>
                <w:szCs w:val="20"/>
              </w:rPr>
              <w:br/>
            </w:r>
            <w:r>
              <w:rPr>
                <w:noProof/>
                <w:color w:val="000000" w:themeColor="text1"/>
                <w:sz w:val="20"/>
                <w:u w:val="single"/>
              </w:rPr>
              <w:t>Doc. 9.3.1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9.3.2</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Elezione dei nuovi membri regionali e dei relativi supplenti (nessun documento)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Visione strategica</w:t>
            </w:r>
            <w:r>
              <w:rPr>
                <w:noProof/>
                <w:color w:val="000000" w:themeColor="text1"/>
                <w:sz w:val="20"/>
              </w:rPr>
              <w:t xml:space="preserve"> della CITES dopo il 2020 </w:t>
            </w:r>
            <w:r>
              <w:rPr>
                <w:rFonts w:eastAsia="Times New Roman"/>
                <w:noProof/>
                <w:color w:val="000000" w:themeColor="text1"/>
                <w:sz w:val="20"/>
                <w:szCs w:val="20"/>
              </w:rPr>
              <w:br/>
            </w:r>
            <w:r>
              <w:rPr>
                <w:noProof/>
                <w:color w:val="000000" w:themeColor="text1"/>
                <w:sz w:val="20"/>
                <w:u w:val="single"/>
              </w:rPr>
              <w:t>Doc. 10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l'adozione della visione strategica riveduta; incaricare il Seg. di confrontare gli obiettivi con le decisioni e le risoluzioni esistenti; dare mandato al CP di lavorare sugli indicatori.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Revisione della convenzione</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 NA, ZW</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Si sollevano alcune questioni pertinenti sui mezzi di sussistenza e sulla revisione delle appendici. Tuttavia, la proposta non sembra essere imparziale per quanto riguarda la forma e l'ambito d'applicazione attuali, appare insufficientemente preparata, basata su deliberazioni storiche senza riflettere in maniera approfondita le sfide sempre più complesse nella conservazione e nel commercio di specie selvatiche, e alla luce delle potenziali conseguenze di vasta portata. I destinatari dei progetti di decisioni non sono specificati. Sono necessarie ulteriori discussioni, anche in riferimento alle altre proposte sulle comunità rurali, etc. (punti 17, 18) e per quanto riguarda il fabbisogno di risorse.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Garantire una migliore attuazione con riguardo agli </w:t>
            </w:r>
            <w:r>
              <w:rPr>
                <w:b/>
                <w:noProof/>
                <w:color w:val="000000" w:themeColor="text1"/>
                <w:sz w:val="20"/>
              </w:rPr>
              <w:t>elenchi delle specie ittiche marine</w:t>
            </w:r>
            <w:r>
              <w:rPr>
                <w:noProof/>
                <w:color w:val="000000" w:themeColor="text1"/>
                <w:sz w:val="20"/>
              </w:rPr>
              <w:t xml:space="preserve"> nelle appendici </w:t>
            </w:r>
            <w:r>
              <w:rPr>
                <w:rFonts w:eastAsia="Times New Roman"/>
                <w:noProof/>
                <w:color w:val="000000" w:themeColor="text1"/>
                <w:sz w:val="20"/>
                <w:szCs w:val="20"/>
              </w:rPr>
              <w:br/>
            </w:r>
            <w:r>
              <w:rPr>
                <w:noProof/>
                <w:color w:val="000000" w:themeColor="text1"/>
                <w:sz w:val="20"/>
                <w:u w:val="single"/>
              </w:rPr>
              <w:t>Doc. 12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AG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Riconoscere che è ancora necessario sostenere una attuazione più efficace con riguardo agli elenchi delle specie marine. Tuttavia, la revisione dell'efficacia dei precedenti elenchi dovrebbe focalizzarsi sui casi particolari, con una chiara giustificazione, e ricorrere ai meccanismi e alle raccomandazioni esistenti delle precedenti revisioni, piuttosto che stabilire un nuovo processo ad hoc. Opporsi a un "embargo" sui nuovi elenchi di qualsiasi gruppo di specie: ciò che conta è il rispetto dei criteri di inserimento nell'elenco.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Revisione della risoluzione Conf. 11.1 (Rev. CoP17) sull'</w:t>
            </w:r>
            <w:r>
              <w:rPr>
                <w:b/>
                <w:i/>
                <w:noProof/>
                <w:color w:val="000000" w:themeColor="text1"/>
                <w:sz w:val="20"/>
              </w:rPr>
              <w:t>istituzione di comitati</w:t>
            </w:r>
            <w:r>
              <w:rPr>
                <w:i/>
                <w:noProof/>
                <w:color w:val="000000" w:themeColor="text1"/>
                <w:sz w:val="20"/>
              </w:rPr>
              <w:t xml:space="preserve"> </w:t>
            </w:r>
            <w:r>
              <w:rPr>
                <w:noProof/>
                <w:color w:val="000000" w:themeColor="text1"/>
                <w:sz w:val="20"/>
                <w:u w:val="single"/>
              </w:rPr>
              <w:t>Doc. 13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la nuova proposta di risoluzione; le modifiche proposte dal Segretariato richiedono ulteriori riflessioni.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Potenziali conflitti d'interesse in seno ai comitati "Animali" e "Piante" </w:t>
            </w:r>
            <w:r>
              <w:rPr>
                <w:noProof/>
                <w:color w:val="000000" w:themeColor="text1"/>
                <w:sz w:val="20"/>
                <w:u w:val="single"/>
              </w:rPr>
              <w:t>Doc. 14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L'SC70 ha adottato un modulo informativo standard per le dichiarazioni di interesse; sostenere l'abolizione delle decisioni 16.09 e 16.10.</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Cooperazione</w:t>
            </w:r>
            <w:r>
              <w:rPr>
                <w:noProof/>
                <w:color w:val="000000" w:themeColor="text1"/>
                <w:sz w:val="20"/>
              </w:rPr>
              <w:t xml:space="preserve"> con altre organizzazioni e accordi multilaterali in tema di ambiente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15.1</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Cooperazione con </w:t>
            </w:r>
            <w:r>
              <w:rPr>
                <w:b/>
                <w:i/>
                <w:noProof/>
                <w:color w:val="000000" w:themeColor="text1"/>
                <w:sz w:val="20"/>
              </w:rPr>
              <w:t>altre convenzioni nell'ambito della biodiversità</w:t>
            </w:r>
            <w:r>
              <w:rPr>
                <w:noProof/>
                <w:color w:val="000000" w:themeColor="text1"/>
                <w:sz w:val="20"/>
              </w:rPr>
              <w:t xml:space="preserve"> </w:t>
            </w:r>
            <w:r>
              <w:rPr>
                <w:noProof/>
                <w:color w:val="000000" w:themeColor="text1"/>
                <w:sz w:val="20"/>
                <w:u w:val="single"/>
              </w:rPr>
              <w:t>Doc. 15.1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il rinnovo delle decisioni 17.55 e 17.56.</w:t>
            </w:r>
          </w:p>
          <w:p>
            <w:pPr>
              <w:spacing w:before="0" w:after="0" w:line="240" w:lineRule="atLeast"/>
              <w:jc w:val="left"/>
              <w:rPr>
                <w:rFonts w:eastAsia="Times New Roman"/>
                <w:noProof/>
                <w:color w:val="000000" w:themeColor="text1"/>
                <w:sz w:val="20"/>
                <w:szCs w:val="20"/>
              </w:rPr>
            </w:pPr>
            <w:r>
              <w:rPr>
                <w:noProof/>
                <w:color w:val="000000" w:themeColor="text1"/>
                <w:sz w:val="20"/>
              </w:rPr>
              <w:t>Le sinergie tra gli accordi ambientali multilaterali in tema di biodiversità dovrebbero continuare a essere rafforzate ed è opportuno che il CP mantenga le questioni sotto esame.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15.2</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Commissione per la conservazione delle risorse biologiche dell'Antartico (</w:t>
            </w:r>
            <w:r>
              <w:rPr>
                <w:b/>
                <w:i/>
                <w:noProof/>
                <w:color w:val="000000" w:themeColor="text1"/>
                <w:sz w:val="20"/>
              </w:rPr>
              <w:t>CCAMLR</w:t>
            </w:r>
            <w:r>
              <w:rPr>
                <w:noProof/>
                <w:color w:val="000000" w:themeColor="text1"/>
                <w:sz w:val="20"/>
              </w:rPr>
              <w:t xml:space="preserve">) </w:t>
            </w:r>
            <w:r>
              <w:rPr>
                <w:noProof/>
                <w:color w:val="000000" w:themeColor="text1"/>
                <w:sz w:val="20"/>
              </w:rPr>
              <w:br/>
            </w:r>
            <w:r>
              <w:rPr>
                <w:noProof/>
                <w:color w:val="000000" w:themeColor="text1"/>
                <w:sz w:val="20"/>
                <w:u w:val="single"/>
              </w:rPr>
              <w:t>Doc. 15.2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le modifiche della risoluzione Conf. 12.4 proposte congiuntamente dai Segretariati CITES e CCAMLR.</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15.3</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Strategia globale per la </w:t>
            </w:r>
            <w:r>
              <w:rPr>
                <w:b/>
                <w:i/>
                <w:noProof/>
                <w:color w:val="000000" w:themeColor="text1"/>
                <w:sz w:val="20"/>
              </w:rPr>
              <w:t xml:space="preserve">conservazione delle piante </w:t>
            </w:r>
            <w:r>
              <w:rPr>
                <w:b/>
                <w:i/>
                <w:noProof/>
                <w:color w:val="000000" w:themeColor="text1"/>
                <w:sz w:val="20"/>
              </w:rPr>
              <w:br/>
            </w:r>
            <w:r>
              <w:rPr>
                <w:noProof/>
                <w:color w:val="000000" w:themeColor="text1"/>
                <w:sz w:val="20"/>
                <w:u w:val="single"/>
              </w:rPr>
              <w:t>Doc. 15.3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nuovi progetti di decisione per sostituire le decisioni 17.53 e 17.54.</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15.4</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Piattaforma intergovernativa di politica scientifica per la biodiversità e i servizi ecosistemici (</w:t>
            </w:r>
            <w:r>
              <w:rPr>
                <w:b/>
                <w:i/>
                <w:noProof/>
                <w:color w:val="000000" w:themeColor="text1"/>
                <w:sz w:val="20"/>
              </w:rPr>
              <w:t>IPBES</w:t>
            </w:r>
            <w:r>
              <w:rPr>
                <w:noProof/>
                <w:color w:val="000000" w:themeColor="text1"/>
                <w:sz w:val="20"/>
              </w:rPr>
              <w:t>)</w:t>
            </w:r>
            <w:r>
              <w:rPr>
                <w:rFonts w:eastAsia="Times New Roman"/>
                <w:noProof/>
                <w:color w:val="000000" w:themeColor="text1"/>
                <w:sz w:val="20"/>
                <w:szCs w:val="20"/>
              </w:rPr>
              <w:br/>
            </w:r>
            <w:r>
              <w:rPr>
                <w:noProof/>
                <w:color w:val="000000" w:themeColor="text1"/>
                <w:sz w:val="20"/>
                <w:u w:val="single"/>
              </w:rPr>
              <w:t>Doc. 15.4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Sostenere il progetto di risoluzione sulla </w:t>
            </w:r>
            <w:r>
              <w:rPr>
                <w:i/>
                <w:noProof/>
                <w:color w:val="000000" w:themeColor="text1"/>
                <w:sz w:val="20"/>
              </w:rPr>
              <w:t>cooperazione con la piattaforma intergovernativa di politica scientifica per la biodiversità e i servizi ecosistemici</w:t>
            </w:r>
            <w:r>
              <w:rPr>
                <w:noProof/>
                <w:color w:val="000000" w:themeColor="text1"/>
                <w:sz w:val="20"/>
              </w:rPr>
              <w:t xml:space="preserve"> nell'allegato 3 del documento.</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15.5</w:t>
            </w:r>
          </w:p>
        </w:tc>
        <w:tc>
          <w:tcPr>
            <w:tcW w:w="0" w:type="auto"/>
            <w:gridSpan w:val="3"/>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Consorzio internazionale per la lotta ai reati contro le specie selvatiche (</w:t>
            </w:r>
            <w:r>
              <w:rPr>
                <w:b/>
                <w:i/>
                <w:noProof/>
                <w:color w:val="000000" w:themeColor="text1"/>
                <w:sz w:val="20"/>
              </w:rPr>
              <w:t>ICCWC</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15.5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l'invito alle parti di continuare a finanziare le attività dell'ICCWC.</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15.6</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Cooperazione tra la CITES e la convenzione sulla </w:t>
            </w:r>
            <w:r>
              <w:rPr>
                <w:b/>
                <w:i/>
                <w:noProof/>
                <w:color w:val="000000" w:themeColor="text1"/>
                <w:sz w:val="20"/>
              </w:rPr>
              <w:t>protezione del patrimonio culturale e naturale mondiale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15.6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Norvegia</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il progetto di risoluzione (che chiede che venga sviluppato un protocollo d'intesa tra il comitato del patrimonio mondiale e la CITES) e il progetto di decisione di cui agli allegati 1 e 2.</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Programma delle specie </w:t>
            </w:r>
            <w:r>
              <w:rPr>
                <w:b/>
                <w:noProof/>
                <w:color w:val="000000" w:themeColor="text1"/>
                <w:sz w:val="20"/>
              </w:rPr>
              <w:t>arboree</w:t>
            </w:r>
            <w:r>
              <w:rPr>
                <w:noProof/>
                <w:color w:val="000000" w:themeColor="text1"/>
                <w:sz w:val="20"/>
              </w:rPr>
              <w:t xml:space="preserve"> della CITES</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17.</w:t>
            </w:r>
          </w:p>
        </w:tc>
        <w:tc>
          <w:tcPr>
            <w:tcW w:w="0" w:type="auto"/>
            <w:gridSpan w:val="4"/>
            <w:tcMar>
              <w:top w:w="60" w:type="dxa"/>
              <w:left w:w="135" w:type="dxa"/>
              <w:bottom w:w="60" w:type="dxa"/>
              <w:right w:w="135" w:type="dxa"/>
            </w:tcMar>
            <w:vAlign w:val="center"/>
            <w:hideMark/>
          </w:tcPr>
          <w:p>
            <w:pPr>
              <w:keepNext/>
              <w:spacing w:before="0" w:after="0" w:line="240" w:lineRule="atLeast"/>
              <w:jc w:val="left"/>
              <w:rPr>
                <w:rFonts w:eastAsia="Times New Roman"/>
                <w:b/>
                <w:noProof/>
                <w:color w:val="000000" w:themeColor="text1"/>
                <w:sz w:val="20"/>
                <w:szCs w:val="20"/>
              </w:rPr>
            </w:pPr>
            <w:r>
              <w:rPr>
                <w:b/>
                <w:noProof/>
                <w:color w:val="000000" w:themeColor="text1"/>
                <w:sz w:val="20"/>
              </w:rPr>
              <w:t>Comunità rurali</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i/>
                <w:noProof/>
                <w:color w:val="000000" w:themeColor="text1"/>
                <w:sz w:val="20"/>
              </w:rPr>
              <w:t>Considerare congiuntamente con le relative proposte di cui al punto 18.</w:t>
            </w: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17.1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comitato permanente </w:t>
            </w:r>
            <w:r>
              <w:rPr>
                <w:rFonts w:eastAsia="Times New Roman"/>
                <w:noProof/>
                <w:color w:val="000000" w:themeColor="text1"/>
                <w:sz w:val="20"/>
                <w:szCs w:val="20"/>
              </w:rPr>
              <w:br/>
            </w:r>
            <w:r>
              <w:rPr>
                <w:noProof/>
                <w:color w:val="000000" w:themeColor="text1"/>
                <w:sz w:val="20"/>
                <w:u w:val="single"/>
              </w:rPr>
              <w:t>Doc. 17.1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Essere disposti a considerare la proposta del Segretariato di modificare la risoluzione Conf. 16.6 sui </w:t>
            </w:r>
            <w:r>
              <w:rPr>
                <w:i/>
                <w:noProof/>
                <w:color w:val="000000" w:themeColor="text1"/>
                <w:sz w:val="20"/>
              </w:rPr>
              <w:t>mezzi di sussistenza</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La proposta di revocare le decisioni della COP 17 potrebbe essere prematura; ulteriori lavori intersessionali potrebbero risultare motivati (insieme al gruppo di lavoro mezzi di sussistenza?)</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17.2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Proposte di modifica della risoluzione Conf. 4.6 (Rev. CoP17) [</w:t>
            </w:r>
            <w:r>
              <w:rPr>
                <w:i/>
                <w:noProof/>
                <w:color w:val="000000" w:themeColor="text1"/>
                <w:sz w:val="20"/>
              </w:rPr>
              <w:t>presentazione di progetti di risoluzione</w:t>
            </w:r>
            <w:r>
              <w:rPr>
                <w:noProof/>
                <w:color w:val="000000" w:themeColor="text1"/>
                <w:sz w:val="20"/>
              </w:rPr>
              <w:t xml:space="preserve">] e della risoluzione Conf. 9.24 (Rev. CoP17) </w:t>
            </w:r>
            <w:r>
              <w:rPr>
                <w:rFonts w:eastAsia="Times New Roman"/>
                <w:noProof/>
                <w:color w:val="000000" w:themeColor="text1"/>
                <w:sz w:val="20"/>
                <w:szCs w:val="20"/>
              </w:rPr>
              <w:br/>
            </w:r>
            <w:r>
              <w:rPr>
                <w:noProof/>
                <w:color w:val="000000" w:themeColor="text1"/>
                <w:sz w:val="20"/>
                <w:u w:val="single"/>
              </w:rPr>
              <w:t>Doc. 17.2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NA, ZW</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La modifica proposta della risoluzione 4.6, quale formulata, sembra fuori luogo, in quanto la risoluzione è altrimenti incentrata sulle formalità e sulle procedure per la presentazione delle proposte.</w:t>
            </w:r>
          </w:p>
          <w:p>
            <w:pPr>
              <w:spacing w:after="0" w:line="240" w:lineRule="atLeast"/>
              <w:jc w:val="left"/>
              <w:rPr>
                <w:rFonts w:eastAsia="Times New Roman"/>
                <w:noProof/>
                <w:color w:val="000000" w:themeColor="text1"/>
                <w:sz w:val="20"/>
                <w:szCs w:val="20"/>
              </w:rPr>
            </w:pPr>
            <w:r>
              <w:rPr>
                <w:noProof/>
                <w:color w:val="000000" w:themeColor="text1"/>
                <w:sz w:val="20"/>
              </w:rPr>
              <w:t xml:space="preserve">Qualsiasi modifica della risoluzione 9.24 dovrebbe almeno chiarire la portata geografica delle consultazioni con le comunità rurali, ovvero ciascuna parte nell'ambito del proprio territorio; sono necessarie ulteriori discussioni. </w:t>
            </w:r>
          </w:p>
          <w:p>
            <w:pPr>
              <w:spacing w:after="0" w:line="240" w:lineRule="atLeast"/>
              <w:jc w:val="left"/>
              <w:rPr>
                <w:rFonts w:eastAsia="Times New Roman"/>
                <w:noProof/>
                <w:color w:val="000000" w:themeColor="text1"/>
                <w:sz w:val="20"/>
                <w:szCs w:val="20"/>
              </w:rPr>
            </w:pPr>
            <w:r>
              <w:rPr>
                <w:i/>
                <w:noProof/>
                <w:color w:val="000000" w:themeColor="text1"/>
                <w:sz w:val="20"/>
              </w:rPr>
              <w:t>Considerare congiuntamente con il doc. 18.3.</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17.3</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Meccanismo partecipativo per le comunità rurali</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BW, CO, NA, ZW</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Opporsi all'istituzione di un comitato permanente delle comunità rurali; considerare strumenti alternativi per far sentire la voce delle comunità rurali.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CITES e </w:t>
            </w:r>
            <w:r>
              <w:rPr>
                <w:b/>
                <w:noProof/>
                <w:color w:val="000000" w:themeColor="text1"/>
                <w:sz w:val="20"/>
              </w:rPr>
              <w:t>mezzi di sussistenza</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i/>
                <w:noProof/>
                <w:color w:val="000000" w:themeColor="text1"/>
                <w:sz w:val="20"/>
              </w:rPr>
              <w:t>Considerare congiuntamente con le relative proposte di cui al punto 17.</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18.1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Segretariato </w:t>
            </w:r>
            <w:r>
              <w:rPr>
                <w:noProof/>
                <w:color w:val="000000" w:themeColor="text1"/>
                <w:sz w:val="20"/>
                <w:u w:val="single"/>
              </w:rPr>
              <w:t>Doc. 18.1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Sostenere il ripristino del gruppo di lavoro, l'elaborazione di linee guida mediante consulenza, da sottoporre all'attenzione della COP 19. </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18.2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Proposta del Perù </w:t>
            </w:r>
            <w:r>
              <w:rPr>
                <w:rFonts w:eastAsia="Times New Roman"/>
                <w:noProof/>
                <w:color w:val="000000" w:themeColor="text1"/>
                <w:sz w:val="20"/>
                <w:szCs w:val="20"/>
              </w:rPr>
              <w:br/>
            </w:r>
            <w:r>
              <w:rPr>
                <w:noProof/>
                <w:color w:val="000000" w:themeColor="text1"/>
                <w:sz w:val="20"/>
                <w:u w:val="single"/>
              </w:rPr>
              <w:t>Doc. 18.2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PE</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Essere aperti alla prosecuzione del gruppo di lavoro, ma mettere in discussione la proposta di aggiungere al suo mandato i lavori su un eventuale sistema di certificazione dei "prodotti di specie elencate nella CITES ottenuti da comunità rurali in conformità con le disposizioni della CITES".</w:t>
            </w:r>
          </w:p>
          <w:p>
            <w:pPr>
              <w:spacing w:after="0" w:line="240" w:lineRule="atLeast"/>
              <w:jc w:val="left"/>
              <w:rPr>
                <w:rFonts w:eastAsia="Times New Roman"/>
                <w:noProof/>
                <w:color w:val="000000" w:themeColor="text1"/>
                <w:sz w:val="20"/>
                <w:szCs w:val="20"/>
              </w:rPr>
            </w:pPr>
            <w:r>
              <w:rPr>
                <w:noProof/>
                <w:color w:val="000000" w:themeColor="text1"/>
                <w:sz w:val="20"/>
              </w:rPr>
              <w:t>In linea generale, aprirsi anche all'istituzione di una "giornata internazionale per i mezzi di sussistenza delle comunità rurali", ma potrebbe non essere necessaria una risoluzione specifica a tale scopo; considerare anche le implicazioni in termini di risorse.</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18.3</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Proposte di modifica della risoluzione Conf. 9.24 (Rev. CoP17) </w:t>
            </w:r>
            <w:r>
              <w:rPr>
                <w:rFonts w:eastAsia="Times New Roman"/>
                <w:noProof/>
                <w:color w:val="000000" w:themeColor="text1"/>
                <w:sz w:val="20"/>
                <w:szCs w:val="20"/>
              </w:rPr>
              <w:br/>
            </w:r>
            <w:r>
              <w:rPr>
                <w:noProof/>
                <w:color w:val="000000" w:themeColor="text1"/>
                <w:sz w:val="20"/>
                <w:u w:val="single"/>
              </w:rPr>
              <w:t>Doc. 18.3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CN</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Si potrebbe considerare l'idea di includere una sorta di "analisi dei mezzi di sussistenza" nella dichiarazione a sostegno delle proposte di inserimento nelle appendici (risoluzione Conf. 9.24, allegato 6), sebbene sembri prematura per una decisione in occasione della COP 18; formulazione proposta in parte poco chiara. </w:t>
            </w:r>
          </w:p>
          <w:p>
            <w:pPr>
              <w:spacing w:after="0" w:line="240" w:lineRule="atLeast"/>
              <w:jc w:val="left"/>
              <w:rPr>
                <w:rFonts w:eastAsia="Times New Roman"/>
                <w:noProof/>
                <w:color w:val="000000" w:themeColor="text1"/>
                <w:sz w:val="20"/>
                <w:szCs w:val="20"/>
              </w:rPr>
            </w:pPr>
            <w:r>
              <w:rPr>
                <w:i/>
                <w:noProof/>
                <w:color w:val="000000" w:themeColor="text1"/>
                <w:sz w:val="20"/>
              </w:rPr>
              <w:t>Considerare congiuntamente con il doc. 17.2.</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Sicurezza alimentare</w:t>
            </w:r>
            <w:r>
              <w:rPr>
                <w:noProof/>
                <w:color w:val="000000" w:themeColor="text1"/>
                <w:sz w:val="20"/>
              </w:rPr>
              <w:t xml:space="preserve"> e mezzi di sussistenza </w:t>
            </w:r>
            <w:r>
              <w:rPr>
                <w:rFonts w:eastAsia="Times New Roman"/>
                <w:noProof/>
                <w:color w:val="000000" w:themeColor="text1"/>
                <w:sz w:val="20"/>
                <w:szCs w:val="20"/>
              </w:rPr>
              <w:br/>
            </w:r>
            <w:r>
              <w:rPr>
                <w:noProof/>
                <w:color w:val="000000" w:themeColor="text1"/>
                <w:sz w:val="20"/>
                <w:u w:val="single"/>
              </w:rPr>
              <w:t>Doc. 19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Opporsi al rinnovo delle decisioni, in quanto il gruppo di lavoro non ha registrato progressi e questioni molto simili sono affrontate nell'ambito dei punti "comunità rurali" e "mezzi di sussistenza"; sostenere le osservazioni del Segretariato.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Strategie di</w:t>
            </w:r>
            <w:r>
              <w:rPr>
                <w:noProof/>
              </w:rPr>
              <w:t xml:space="preserve"> </w:t>
            </w:r>
            <w:r>
              <w:rPr>
                <w:b/>
                <w:noProof/>
                <w:color w:val="000000" w:themeColor="text1"/>
                <w:sz w:val="20"/>
              </w:rPr>
              <w:t>riduzione della domanda</w:t>
            </w:r>
            <w:r>
              <w:rPr>
                <w:noProof/>
                <w:color w:val="000000" w:themeColor="text1"/>
                <w:sz w:val="20"/>
              </w:rPr>
              <w:t xml:space="preserve"> per combattere il commercio illegale di specie contenute nell'elenco della CITES </w:t>
            </w:r>
            <w:r>
              <w:rPr>
                <w:rFonts w:eastAsia="Times New Roman"/>
                <w:noProof/>
                <w:color w:val="000000" w:themeColor="text1"/>
                <w:sz w:val="20"/>
                <w:szCs w:val="20"/>
              </w:rPr>
              <w:br/>
            </w:r>
            <w:r>
              <w:rPr>
                <w:noProof/>
                <w:color w:val="000000" w:themeColor="text1"/>
                <w:sz w:val="20"/>
                <w:u w:val="single"/>
              </w:rPr>
              <w:t>Doc. 20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l'adozione dei progetti di decisione di cui all'allegato 1 e acconsentire all'abolizione delle decisioni dalla 17.44 alla 17.48.</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21.</w:t>
            </w:r>
          </w:p>
        </w:tc>
        <w:tc>
          <w:tcPr>
            <w:tcW w:w="0" w:type="auto"/>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b/>
                <w:noProof/>
                <w:color w:val="000000" w:themeColor="text1"/>
                <w:sz w:val="20"/>
              </w:rPr>
              <w:t>Sviluppo delle capacità</w:t>
            </w:r>
            <w:r>
              <w:rPr>
                <w:noProof/>
                <w:color w:val="000000" w:themeColor="text1"/>
                <w:sz w:val="20"/>
              </w:rPr>
              <w:t xml:space="preserve"> e materiali di identificazione</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keepNext/>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21.1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Sviluppo delle capacità e materiali di identificazione </w:t>
            </w:r>
            <w:r>
              <w:rPr>
                <w:rFonts w:eastAsia="Times New Roman"/>
                <w:noProof/>
                <w:color w:val="000000" w:themeColor="text1"/>
                <w:sz w:val="20"/>
                <w:szCs w:val="20"/>
              </w:rPr>
              <w:br/>
            </w:r>
            <w:r>
              <w:rPr>
                <w:noProof/>
                <w:color w:val="000000" w:themeColor="text1"/>
                <w:sz w:val="20"/>
                <w:u w:val="single"/>
              </w:rPr>
              <w:t>Doc. 21.1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CA/CP</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i progetti di decisione per istituire un gruppo di lavoro congiunto CA/CP sui materiali di identificazione; SOSTENERE anche la proposta del Seg. di revocare le decisioni di cui al punto 54.1.</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21.2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Attività di sviluppo delle capacità specificate nelle risoluzioni e nelle decisioni </w:t>
            </w:r>
            <w:r>
              <w:rPr>
                <w:rFonts w:eastAsia="Times New Roman"/>
                <w:noProof/>
                <w:color w:val="000000" w:themeColor="text1"/>
                <w:sz w:val="20"/>
                <w:szCs w:val="20"/>
              </w:rPr>
              <w:br/>
            </w:r>
            <w:r>
              <w:rPr>
                <w:noProof/>
                <w:color w:val="000000" w:themeColor="text1"/>
                <w:sz w:val="20"/>
                <w:u w:val="single"/>
              </w:rPr>
              <w:t>Doc. 21.2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Sostenere l'adozione dei progetti di decisione (revisione, miglioramento del sito web della CITES, corsi online dell'università virtuale) con le modifiche proposte dal Seg.</w:t>
            </w:r>
          </w:p>
          <w:p>
            <w:pPr>
              <w:spacing w:before="0" w:after="0" w:line="240" w:lineRule="atLeast"/>
              <w:jc w:val="left"/>
              <w:rPr>
                <w:rFonts w:eastAsia="Times New Roman"/>
                <w:i/>
                <w:noProof/>
                <w:color w:val="000000" w:themeColor="text1"/>
                <w:sz w:val="20"/>
                <w:szCs w:val="20"/>
              </w:rPr>
            </w:pPr>
            <w:r>
              <w:rPr>
                <w:i/>
                <w:noProof/>
                <w:color w:val="000000" w:themeColor="text1"/>
                <w:sz w:val="20"/>
              </w:rPr>
              <w:t>Considerare congiuntamente con 21.3, 28, 29.</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21.3</w:t>
            </w:r>
          </w:p>
        </w:tc>
        <w:tc>
          <w:tcPr>
            <w:tcW w:w="0" w:type="auto"/>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Quadro inteso ad agevolare il coordinamento, la trasparenza e la responsabilità delle iniziative di sviluppo delle capacità della CITES </w:t>
            </w:r>
            <w:r>
              <w:rPr>
                <w:rFonts w:eastAsia="Times New Roman"/>
                <w:noProof/>
                <w:color w:val="000000" w:themeColor="text1"/>
                <w:sz w:val="20"/>
                <w:szCs w:val="20"/>
              </w:rPr>
              <w:br/>
            </w:r>
            <w:r>
              <w:rPr>
                <w:noProof/>
                <w:color w:val="000000" w:themeColor="text1"/>
                <w:sz w:val="20"/>
                <w:u w:val="single"/>
              </w:rPr>
              <w:t>Doc. 21.3 della COP 18</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US</w:t>
            </w:r>
          </w:p>
        </w:tc>
        <w:tc>
          <w:tcPr>
            <w:tcW w:w="0" w:type="auto"/>
            <w:shd w:val="clear" w:color="auto" w:fill="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r>
              <w:rPr>
                <w:noProof/>
                <w:color w:val="000000" w:themeColor="text1"/>
                <w:sz w:val="20"/>
              </w:rPr>
              <w:t>Iniziativa valida, ma l'adozione del quadro e del progetto di risoluzione in occasione della COP 18 sembra prematura. Sostenere invece l'integrazione degli elementi pertinenti al punto 21.2, come proposto dal Seg., da sottoporre all'attenzione del CP e della COP 19.</w:t>
            </w:r>
          </w:p>
          <w:p>
            <w:pPr>
              <w:spacing w:before="0" w:after="0" w:line="240" w:lineRule="atLeast"/>
              <w:jc w:val="left"/>
              <w:rPr>
                <w:rFonts w:eastAsia="Times New Roman"/>
                <w:i/>
                <w:noProof/>
                <w:color w:val="000000" w:themeColor="text1"/>
                <w:sz w:val="20"/>
                <w:szCs w:val="20"/>
              </w:rPr>
            </w:pPr>
            <w:r>
              <w:rPr>
                <w:i/>
                <w:noProof/>
                <w:color w:val="000000" w:themeColor="text1"/>
                <w:sz w:val="20"/>
              </w:rPr>
              <w:t>Considerare congiuntamente con i documenti 21.2, 28.</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Giornata mondiale per le specie selvatiche</w:t>
            </w:r>
            <w:r>
              <w:rPr>
                <w:noProof/>
                <w:color w:val="000000" w:themeColor="text1"/>
                <w:sz w:val="20"/>
              </w:rPr>
              <w:t xml:space="preserve"> dell'ONU</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noProof/>
                <w:color w:val="000000" w:themeColor="text1"/>
                <w:sz w:val="20"/>
              </w:rPr>
              <w:t>Sostenere i progetti di modifica della risoluzione Conf. 17.1, che invita gli Stati parti e non parti a designare un punto di contatto per il coordinamento della celebrazione della giornata mondiale per le specie selvatiche nel paese.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Impegno dei </w:t>
            </w:r>
            <w:r>
              <w:rPr>
                <w:b/>
                <w:noProof/>
                <w:color w:val="000000" w:themeColor="text1"/>
                <w:sz w:val="20"/>
              </w:rPr>
              <w:t>giovani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23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le proposte di revisione della risoluzione Conf. 17.5 sull'impegno dei giovani (allegato 1) e revocare le decisioni 17.26 e 17.27.</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rPr>
              <w:t>Questioni relative all'interpretazione e all'attuazione</w:t>
            </w:r>
          </w:p>
        </w:tc>
      </w:tr>
      <w:tr>
        <w:trPr>
          <w:cantSplit/>
        </w:trPr>
        <w:tc>
          <w:tcPr>
            <w:tcW w:w="0" w:type="auto"/>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Risoluzioni e decisioni esistenti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Revisione di </w:t>
            </w:r>
            <w:r>
              <w:rPr>
                <w:b/>
                <w:noProof/>
                <w:color w:val="000000" w:themeColor="text1"/>
                <w:sz w:val="20"/>
              </w:rPr>
              <w:t>risoluzioni</w:t>
            </w:r>
            <w:r>
              <w:rPr>
                <w:noProof/>
                <w:color w:val="000000" w:themeColor="text1"/>
                <w:sz w:val="20"/>
              </w:rPr>
              <w:t xml:space="preserve"> </w:t>
            </w:r>
            <w:r>
              <w:rPr>
                <w:noProof/>
                <w:color w:val="000000" w:themeColor="text1"/>
                <w:sz w:val="20"/>
                <w:u w:val="single"/>
              </w:rPr>
              <w:t>Doc. 24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Sostenere in linea generale le modifiche delle risoluzioni Conf. 4.6, </w:t>
            </w:r>
            <w:r>
              <w:rPr>
                <w:i/>
                <w:noProof/>
                <w:color w:val="000000" w:themeColor="text1"/>
                <w:sz w:val="20"/>
              </w:rPr>
              <w:t xml:space="preserve">presentazione dei documenti </w:t>
            </w:r>
            <w:r>
              <w:rPr>
                <w:noProof/>
                <w:color w:val="000000" w:themeColor="text1"/>
                <w:sz w:val="20"/>
              </w:rPr>
              <w:t xml:space="preserve">(anche sulla decisione di finanziamento centralizzato); rivedere la proposta di integrazione della decisione 14.19. Sostenere le modifiche delle risoluzioni 12.8, </w:t>
            </w:r>
            <w:r>
              <w:rPr>
                <w:i/>
                <w:noProof/>
                <w:color w:val="000000" w:themeColor="text1"/>
                <w:sz w:val="20"/>
              </w:rPr>
              <w:t>riesame del commercio rilevante</w:t>
            </w:r>
            <w:r>
              <w:rPr>
                <w:noProof/>
                <w:color w:val="000000" w:themeColor="text1"/>
                <w:sz w:val="20"/>
              </w:rPr>
              <w:t xml:space="preserve"> (come da SC70) e 14.3, </w:t>
            </w:r>
            <w:r>
              <w:rPr>
                <w:i/>
                <w:noProof/>
                <w:color w:val="000000" w:themeColor="text1"/>
                <w:sz w:val="20"/>
              </w:rPr>
              <w:t>procedure di conformità</w:t>
            </w:r>
            <w:r>
              <w:rPr>
                <w:noProof/>
                <w:color w:val="000000" w:themeColor="text1"/>
                <w:sz w:val="20"/>
              </w:rPr>
              <w:t xml:space="preserve"> (incl. risoluzione 10.10).</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Revisione delle </w:t>
            </w:r>
            <w:r>
              <w:rPr>
                <w:b/>
                <w:noProof/>
                <w:color w:val="000000" w:themeColor="text1"/>
                <w:sz w:val="20"/>
              </w:rPr>
              <w:t>decisioni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i/>
                <w:noProof/>
                <w:color w:val="000000" w:themeColor="text1"/>
                <w:sz w:val="20"/>
                <w:szCs w:val="20"/>
              </w:rPr>
            </w:pPr>
            <w:r>
              <w:rPr>
                <w:i/>
                <w:noProof/>
                <w:color w:val="000000" w:themeColor="text1"/>
                <w:sz w:val="20"/>
              </w:rPr>
              <w:t> 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gridSpan w:val="5"/>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u w:val="single"/>
              </w:rPr>
              <w:t>Conformità generale ed esecuzione</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Leggi nazionali</w:t>
            </w:r>
            <w:r>
              <w:rPr>
                <w:noProof/>
                <w:color w:val="000000" w:themeColor="text1"/>
                <w:sz w:val="20"/>
              </w:rPr>
              <w:t xml:space="preserve"> per l'attuazione della convenzione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Seg.</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Sostenere la serie di decisioni, ma chiedere maggiore chiarezza sulle tempistiche e considerare di proporre ulteriori misure, affinché le parti con legislazione in categoria 2 o 3 presentino al Segretariato informazioni dettagliate sulle misure per un'efficace attuazione della convenzione.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27.</w:t>
            </w:r>
          </w:p>
        </w:tc>
        <w:tc>
          <w:tcPr>
            <w:tcW w:w="0" w:type="auto"/>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Questioni connesse alla </w:t>
            </w:r>
            <w:r>
              <w:rPr>
                <w:b/>
                <w:noProof/>
                <w:color w:val="000000" w:themeColor="text1"/>
                <w:sz w:val="20"/>
              </w:rPr>
              <w:t>conformità</w:t>
            </w:r>
            <w:r>
              <w:rPr>
                <w:noProof/>
                <w:color w:val="000000" w:themeColor="text1"/>
                <w:sz w:val="20"/>
              </w:rPr>
              <w:t xml:space="preserve"> alla CITES</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Seg.</w:t>
            </w:r>
          </w:p>
        </w:tc>
        <w:tc>
          <w:tcPr>
            <w:tcW w:w="0" w:type="auto"/>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Sostenere la proposta di modifica della risoluzione Conf. 11.3 (Rev. CoP17) e l'adozione di progetti di decisione volti a riesaminare la politica della CITES in materia di licenze e le relative questioni connesse alla conformità.</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Programma di assistenza</w:t>
            </w:r>
            <w:r>
              <w:rPr>
                <w:noProof/>
                <w:color w:val="000000" w:themeColor="text1"/>
                <w:sz w:val="20"/>
              </w:rPr>
              <w:t xml:space="preserve"> alla conformità</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Seg.</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in linea generale la serie di decisioni volte a istituire un programma di assistenza in materia di conformità al fine di assistere le parti che da lungo tempo hanno difficoltà a conformarsi alla convenzione e alle relative raccomandazioni del comitato permanente. Mettere tuttavia in discussione le implicazioni di bilancio legate alla creazione del programma.</w:t>
            </w:r>
          </w:p>
          <w:p>
            <w:pPr>
              <w:spacing w:before="0" w:after="0"/>
              <w:jc w:val="left"/>
              <w:rPr>
                <w:rFonts w:eastAsia="Times New Roman"/>
                <w:i/>
                <w:noProof/>
                <w:color w:val="000000" w:themeColor="text1"/>
                <w:sz w:val="20"/>
                <w:szCs w:val="20"/>
              </w:rPr>
            </w:pPr>
            <w:r>
              <w:rPr>
                <w:i/>
                <w:noProof/>
                <w:color w:val="000000" w:themeColor="text1"/>
                <w:sz w:val="20"/>
              </w:rPr>
              <w:t>Considerare congiuntamente con il doc. 21 e con i documenti di bilancio.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29.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Riesami del commercio rilevante </w:t>
            </w:r>
            <w:r>
              <w:rPr>
                <w:b/>
                <w:noProof/>
                <w:color w:val="000000" w:themeColor="text1"/>
                <w:sz w:val="20"/>
              </w:rPr>
              <w:t>a livello nazionale</w:t>
            </w:r>
            <w:r>
              <w:rPr>
                <w:noProof/>
                <w:color w:val="000000" w:themeColor="text1"/>
                <w:sz w:val="20"/>
              </w:rPr>
              <w:t xml:space="preserve"> </w:t>
            </w:r>
            <w:r>
              <w:rPr>
                <w:noProof/>
                <w:color w:val="000000" w:themeColor="text1"/>
                <w:sz w:val="20"/>
                <w:u w:val="single"/>
              </w:rPr>
              <w:t>Doc. 29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CA/CP</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il mandato del Seg. per analizzare e dei comitati per valutare le opzioni, formulare raccomandazioni alla COP 19.</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Conformità in tema di ebani del </w:t>
            </w:r>
            <w:r>
              <w:rPr>
                <w:b/>
                <w:noProof/>
                <w:color w:val="000000" w:themeColor="text1"/>
                <w:sz w:val="20"/>
              </w:rPr>
              <w:t>Madagascar</w:t>
            </w:r>
            <w:r>
              <w:rPr>
                <w:noProof/>
                <w:color w:val="000000" w:themeColor="text1"/>
                <w:sz w:val="20"/>
              </w:rPr>
              <w:t xml:space="preserve"> (</w:t>
            </w:r>
            <w:r>
              <w:rPr>
                <w:i/>
                <w:noProof/>
                <w:color w:val="000000" w:themeColor="text1"/>
                <w:sz w:val="20"/>
              </w:rPr>
              <w:t xml:space="preserve">Diospyros </w:t>
            </w:r>
            <w:r>
              <w:rPr>
                <w:noProof/>
                <w:color w:val="000000" w:themeColor="text1"/>
                <w:sz w:val="20"/>
              </w:rPr>
              <w:t xml:space="preserve">spp.) e palissandri </w:t>
            </w:r>
            <w:r>
              <w:rPr>
                <w:i/>
                <w:noProof/>
                <w:color w:val="000000" w:themeColor="text1"/>
                <w:sz w:val="20"/>
              </w:rPr>
              <w:t xml:space="preserve">Dalbergia </w:t>
            </w:r>
            <w:r>
              <w:rPr>
                <w:noProof/>
                <w:color w:val="000000" w:themeColor="text1"/>
                <w:sz w:val="20"/>
              </w:rPr>
              <w:t>spp.)</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30.1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Madagascar</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noProof/>
                <w:color w:val="000000" w:themeColor="text1"/>
                <w:sz w:val="20"/>
                <w:szCs w:val="20"/>
              </w:rPr>
            </w:pPr>
            <w:r>
              <w:rPr>
                <w:noProof/>
                <w:color w:val="000000" w:themeColor="text1"/>
                <w:sz w:val="20"/>
              </w:rPr>
              <w:t>Prendere nota.</w:t>
            </w:r>
          </w:p>
          <w:p>
            <w:pPr>
              <w:spacing w:before="0" w:after="0"/>
              <w:jc w:val="left"/>
              <w:rPr>
                <w:rFonts w:eastAsia="Times New Roman"/>
                <w:i/>
                <w:noProof/>
                <w:color w:val="000000" w:themeColor="text1"/>
                <w:sz w:val="20"/>
                <w:szCs w:val="20"/>
              </w:rPr>
            </w:pPr>
            <w:r>
              <w:rPr>
                <w:i/>
                <w:noProof/>
                <w:color w:val="000000" w:themeColor="text1"/>
                <w:sz w:val="20"/>
              </w:rPr>
              <w:t>Considerare congiuntamente con il doc. 30.2.</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30.2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comitato permanente </w:t>
            </w:r>
            <w:r>
              <w:rPr>
                <w:noProof/>
                <w:color w:val="000000" w:themeColor="text1"/>
                <w:sz w:val="20"/>
              </w:rPr>
              <w:br/>
            </w:r>
            <w:r>
              <w:rPr>
                <w:noProof/>
                <w:color w:val="000000" w:themeColor="text1"/>
                <w:sz w:val="20"/>
                <w:u w:val="single"/>
              </w:rPr>
              <w:t>Doc. 30.2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ma restare vigili, sulla necessità di non concentrare tutte le discussioni sul piano di utilizzo proposto dal Madagascar. Chiedere una maggiore attenzione sulla necessità di compiere sforzi di attuazione più decisi per affrontare il problema del disboscamento illegale e smantellare le reti di traffico. Proporre la modifica del progetto di decisione 18.BB al fine di tenere conto delle raccomandazioni dell'UNODC del 2017 in materia e inserire una formulazione precauzionale per garantire che tutti i piani di utilizzo futuri siano sufficientemente sicuri.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Mercati nazionali</w:t>
            </w:r>
            <w:r>
              <w:rPr>
                <w:noProof/>
                <w:color w:val="000000" w:themeColor="text1"/>
                <w:sz w:val="20"/>
              </w:rPr>
              <w:t xml:space="preserve"> degli esemplari commercializzati frequentemente in modo illegale </w:t>
            </w:r>
            <w:r>
              <w:rPr>
                <w:noProof/>
                <w:color w:val="000000" w:themeColor="text1"/>
                <w:sz w:val="20"/>
              </w:rPr>
              <w:br/>
            </w:r>
            <w:r>
              <w:rPr>
                <w:noProof/>
                <w:color w:val="000000" w:themeColor="text1"/>
                <w:sz w:val="20"/>
                <w:u w:val="single"/>
              </w:rPr>
              <w:t>Doc. 31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proposta di modifica della risoluzione Conf. 10.10 (Rev. CoP17) e dei progetti di decisione riveduti 17.87-17.88, anche sui controlli nazionali dei prodotti di specie selvatiche diversi dall'avorio di elefante.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Questioni relative all'</w:t>
            </w:r>
            <w:r>
              <w:rPr>
                <w:b/>
                <w:noProof/>
                <w:color w:val="000000" w:themeColor="text1"/>
                <w:sz w:val="20"/>
              </w:rPr>
              <w:t>esecuzione</w:t>
            </w:r>
            <w:r>
              <w:rPr>
                <w:noProof/>
                <w:color w:val="000000" w:themeColor="text1"/>
                <w:sz w:val="20"/>
              </w:rPr>
              <w:t xml:space="preserve"> </w:t>
            </w:r>
            <w:r>
              <w:rPr>
                <w:noProof/>
                <w:color w:val="000000" w:themeColor="text1"/>
                <w:sz w:val="20"/>
              </w:rPr>
              <w:br/>
            </w:r>
            <w:r>
              <w:rPr>
                <w:noProof/>
                <w:color w:val="000000" w:themeColor="text1"/>
                <w:sz w:val="20"/>
                <w:u w:val="single"/>
              </w:rPr>
              <w:t>Doc. 32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proposti e la modifica proposta della risoluzione Conf. 11.3 (Rev.CoP17). Concordare sull'abolizione delle decisioni da 17.83 a 17.85.</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Lotta contro la </w:t>
            </w:r>
            <w:r>
              <w:rPr>
                <w:b/>
                <w:noProof/>
                <w:color w:val="000000" w:themeColor="text1"/>
                <w:sz w:val="20"/>
              </w:rPr>
              <w:t>criminalità informatica</w:t>
            </w:r>
            <w:r>
              <w:rPr>
                <w:noProof/>
                <w:color w:val="000000" w:themeColor="text1"/>
                <w:sz w:val="20"/>
              </w:rPr>
              <w:t xml:space="preserve"> relativa alle specie selvatiche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33.1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Segretariato </w:t>
            </w:r>
            <w:r>
              <w:rPr>
                <w:noProof/>
                <w:color w:val="000000" w:themeColor="text1"/>
                <w:sz w:val="20"/>
              </w:rPr>
              <w:br/>
            </w:r>
            <w:r>
              <w:rPr>
                <w:noProof/>
                <w:color w:val="000000" w:themeColor="text1"/>
                <w:sz w:val="20"/>
                <w:u w:val="single"/>
              </w:rPr>
              <w:t>Doc. 33.1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 xml:space="preserve">Sostenere i progetti di decisione proposti.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33.2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comitato permanente </w:t>
            </w:r>
            <w:r>
              <w:rPr>
                <w:noProof/>
                <w:color w:val="000000" w:themeColor="text1"/>
                <w:sz w:val="20"/>
                <w:u w:val="single"/>
              </w:rPr>
              <w:t>Doc. 33.2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le proposte di modifica della risoluzione Conf. 11.3 (Rev. CoP17) e l'adozione dei progetti di decisione come modificati dal Segretariato. Concordare sull'abolizione delle decisioni da 17.94 a 17.96.</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Sostegno alla lotta alla criminalità contro specie selvatiche nell'</w:t>
            </w:r>
            <w:r>
              <w:rPr>
                <w:b/>
                <w:noProof/>
                <w:color w:val="000000" w:themeColor="text1"/>
                <w:sz w:val="20"/>
              </w:rPr>
              <w:t>Africa occidentale e centrale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Smaltimento di </w:t>
            </w:r>
            <w:r>
              <w:rPr>
                <w:b/>
                <w:noProof/>
                <w:color w:val="000000" w:themeColor="text1"/>
                <w:sz w:val="20"/>
              </w:rPr>
              <w:t>esemplari confiscati</w:t>
            </w:r>
            <w:r>
              <w:rPr>
                <w:noProof/>
                <w:color w:val="000000" w:themeColor="text1"/>
                <w:sz w:val="20"/>
              </w:rPr>
              <w:t xml:space="preserve"> </w:t>
            </w:r>
            <w:r>
              <w:rPr>
                <w:noProof/>
                <w:color w:val="000000" w:themeColor="text1"/>
                <w:sz w:val="20"/>
              </w:rPr>
              <w:br/>
            </w:r>
            <w:r>
              <w:rPr>
                <w:noProof/>
                <w:color w:val="000000" w:themeColor="text1"/>
                <w:sz w:val="20"/>
                <w:u w:val="single"/>
              </w:rPr>
              <w:t>Doc. 35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 xml:space="preserve">Sostenere l'abolizione delle decisioni 17.118 e 17.119 e l'adozione dei progetti di decisione proposti. Opporsi a qualsiasi aggiunta che pregiudicherebbe le informazioni sensibili sui centri di soccorso o comporterebbe obblighi aggiuntivi per le parti. Opporsi anche all'eventuale ripresa delle attività del gruppo di lavoro del comitato permanente.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Memorizzazione e gestione dei </w:t>
            </w:r>
            <w:r>
              <w:rPr>
                <w:b/>
                <w:noProof/>
                <w:color w:val="000000" w:themeColor="text1"/>
                <w:sz w:val="20"/>
              </w:rPr>
              <w:t>dati sul commercio illegale</w:t>
            </w:r>
            <w:r>
              <w:rPr>
                <w:noProof/>
                <w:color w:val="000000" w:themeColor="text1"/>
                <w:sz w:val="20"/>
              </w:rPr>
              <w:t xml:space="preserve"> raccolti mediante le relazioni annuali delle parti sul commercio illegale </w:t>
            </w:r>
            <w:r>
              <w:rPr>
                <w:noProof/>
                <w:color w:val="000000" w:themeColor="text1"/>
                <w:sz w:val="20"/>
              </w:rPr>
              <w:br/>
            </w:r>
            <w:r>
              <w:rPr>
                <w:noProof/>
                <w:color w:val="000000" w:themeColor="text1"/>
                <w:sz w:val="20"/>
                <w:u w:val="single"/>
              </w:rPr>
              <w:t>Doc. 36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in generale il principio di una memorizzazione e gestione più sistematica dei dati sul commercio illegale raccolti tramite le relative relazioni annuali. Condividere le preoccupazioni del Segretariato per quanto riguarda il limitato valore aggiunto di una tale banca dati, se non viene garantito un finanziamento di lungo periodo e se soltanto un numero esiguo di parti provvede effettivamente a comunicare e fornire i dati. Considerare di proporre un linguaggio che incoraggi le parti a presentare relazioni annuali sul commercio illegale in modo più sistematico.</w:t>
            </w:r>
          </w:p>
          <w:p>
            <w:pPr>
              <w:spacing w:before="0" w:after="0"/>
              <w:jc w:val="left"/>
              <w:rPr>
                <w:rFonts w:eastAsia="Times New Roman"/>
                <w:i/>
                <w:noProof/>
                <w:color w:val="000000" w:themeColor="text1"/>
                <w:sz w:val="20"/>
                <w:szCs w:val="20"/>
              </w:rPr>
            </w:pPr>
            <w:r>
              <w:rPr>
                <w:i/>
                <w:noProof/>
                <w:color w:val="000000" w:themeColor="text1"/>
                <w:sz w:val="20"/>
              </w:rPr>
              <w:t>Considerare congiuntamente con i documenti di bilancio.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Condizioni di lavoro delle guardie forestali e le loro implicazioni per l'attuazione della CITES </w:t>
            </w:r>
            <w:r>
              <w:rPr>
                <w:noProof/>
                <w:color w:val="000000" w:themeColor="text1"/>
                <w:sz w:val="20"/>
              </w:rPr>
              <w:br/>
            </w:r>
            <w:r>
              <w:rPr>
                <w:noProof/>
                <w:color w:val="000000" w:themeColor="text1"/>
                <w:sz w:val="20"/>
                <w:u w:val="single"/>
              </w:rPr>
              <w:t>Doc. 37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Accogliere favorevolmente la relazione e riconoscere l'importanza della questione.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Regolamentazione del commercio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38.</w:t>
            </w:r>
          </w:p>
        </w:tc>
        <w:tc>
          <w:tcPr>
            <w:tcW w:w="0" w:type="auto"/>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Designazione e ruoli degli </w:t>
            </w:r>
            <w:r>
              <w:rPr>
                <w:b/>
                <w:noProof/>
                <w:color w:val="000000" w:themeColor="text1"/>
                <w:sz w:val="20"/>
              </w:rPr>
              <w:t>organi di gestione</w:t>
            </w:r>
            <w:r>
              <w:rPr>
                <w:noProof/>
                <w:color w:val="000000" w:themeColor="text1"/>
                <w:sz w:val="20"/>
              </w:rPr>
              <w:t xml:space="preserve"> </w:t>
            </w:r>
            <w:r>
              <w:rPr>
                <w:noProof/>
                <w:color w:val="000000" w:themeColor="text1"/>
                <w:sz w:val="20"/>
              </w:rPr>
              <w:br/>
            </w:r>
            <w:r>
              <w:rPr>
                <w:noProof/>
                <w:color w:val="000000" w:themeColor="text1"/>
                <w:sz w:val="20"/>
                <w:u w:val="single"/>
              </w:rPr>
              <w:t>Doc. 38 della COP 18</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in linea generale la proposta di risoluzione. È necessario un esame più approfondito di alcuni aspetti del testo.</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39.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Linee guida per ottenere </w:t>
            </w:r>
            <w:r>
              <w:rPr>
                <w:b/>
                <w:noProof/>
                <w:color w:val="000000" w:themeColor="text1"/>
                <w:sz w:val="20"/>
              </w:rPr>
              <w:t>risultanze atte a verificare l'acquisizione legale</w:t>
            </w:r>
            <w:r>
              <w:rPr>
                <w:noProof/>
                <w:color w:val="000000" w:themeColor="text1"/>
                <w:sz w:val="20"/>
              </w:rPr>
              <w:t xml:space="preserve"> </w:t>
            </w:r>
            <w:r>
              <w:rPr>
                <w:noProof/>
                <w:color w:val="000000" w:themeColor="text1"/>
                <w:sz w:val="20"/>
              </w:rPr>
              <w:br/>
            </w:r>
            <w:r>
              <w:rPr>
                <w:noProof/>
                <w:color w:val="000000" w:themeColor="text1"/>
                <w:sz w:val="20"/>
                <w:u w:val="single"/>
              </w:rPr>
              <w:t>Doc. 39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 xml:space="preserve">Sostenere il progetto di risoluzione. </w:t>
            </w:r>
            <w:r>
              <w:rPr>
                <w:rFonts w:eastAsia="Times New Roman"/>
                <w:noProof/>
                <w:color w:val="000000" w:themeColor="text1"/>
                <w:sz w:val="20"/>
                <w:szCs w:val="20"/>
              </w:rPr>
              <w:br/>
            </w:r>
            <w:r>
              <w:rPr>
                <w:i/>
                <w:noProof/>
                <w:color w:val="000000" w:themeColor="text1"/>
                <w:sz w:val="20"/>
              </w:rPr>
              <w:t>Considerare congiuntamente con il doc. 40.</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40.</w:t>
            </w:r>
          </w:p>
        </w:tc>
        <w:tc>
          <w:tcPr>
            <w:tcW w:w="0" w:type="auto"/>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Diligenza dovuta</w:t>
            </w:r>
            <w:r>
              <w:rPr>
                <w:noProof/>
                <w:color w:val="000000" w:themeColor="text1"/>
                <w:sz w:val="20"/>
              </w:rPr>
              <w:t xml:space="preserve"> dalle parti della CITES e obblighi dei paesi importatori</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US</w:t>
            </w:r>
          </w:p>
        </w:tc>
        <w:tc>
          <w:tcPr>
            <w:tcW w:w="0" w:type="auto"/>
            <w:shd w:val="clear" w:color="auto" w:fill="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in linea generale l'intenzione e l'approccio. È necessario un esame più approfondito di alcuni aspetti delle modifiche proposte della risoluzione Conf. 11.3.</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Sistemi elettronici</w:t>
            </w:r>
            <w:r>
              <w:rPr>
                <w:noProof/>
                <w:color w:val="000000" w:themeColor="text1"/>
                <w:sz w:val="20"/>
              </w:rPr>
              <w:t xml:space="preserve"> e tecnologie dell'informazione </w:t>
            </w:r>
            <w:r>
              <w:rPr>
                <w:noProof/>
                <w:color w:val="000000" w:themeColor="text1"/>
                <w:sz w:val="20"/>
              </w:rPr>
              <w:br/>
            </w:r>
            <w:r>
              <w:rPr>
                <w:noProof/>
                <w:color w:val="000000" w:themeColor="text1"/>
                <w:sz w:val="20"/>
                <w:u w:val="single"/>
              </w:rPr>
              <w:t>Doc. 41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Sostenere i progetti di decisione proposti, che andrebbero a sostituire le decisioni da 17.156 a 17.159 per valutare l'utilità e la fattibilità di un </w:t>
            </w:r>
            <w:r>
              <w:rPr>
                <w:i/>
                <w:noProof/>
                <w:color w:val="000000" w:themeColor="text1"/>
                <w:sz w:val="20"/>
              </w:rPr>
              <w:t xml:space="preserve">quadro di attuazione della eCITES </w:t>
            </w:r>
            <w:r>
              <w:rPr>
                <w:noProof/>
                <w:color w:val="000000" w:themeColor="text1"/>
                <w:sz w:val="20"/>
              </w:rPr>
              <w:t>e rinnovare il mandato del gruppo di lavoro.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Tracciabilità</w:t>
            </w:r>
            <w:r>
              <w:rPr>
                <w:noProof/>
                <w:color w:val="000000" w:themeColor="text1"/>
                <w:sz w:val="20"/>
              </w:rPr>
              <w:t xml:space="preserve"> </w:t>
            </w:r>
            <w:r>
              <w:rPr>
                <w:noProof/>
                <w:color w:val="000000" w:themeColor="text1"/>
                <w:sz w:val="20"/>
              </w:rPr>
              <w:br/>
            </w:r>
            <w:r>
              <w:rPr>
                <w:noProof/>
                <w:color w:val="000000" w:themeColor="text1"/>
                <w:sz w:val="20"/>
                <w:u w:val="single"/>
              </w:rPr>
              <w:t>Doc. 42 della COP 18</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Seg., presidente del CP, MX e CH presiedono il gruppo di lavoro intersessionale sulla tracciabilità</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Concordare sulla definizione operativa della tracciabilità della CITES e sostenere l'adozione dei progetti di decisione di cui all'allegato 1, incluse le proposte di modifica formulate dal Segretariato.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Esemplari prodotti da </w:t>
            </w:r>
            <w:r>
              <w:rPr>
                <w:b/>
                <w:noProof/>
                <w:color w:val="000000" w:themeColor="text1"/>
                <w:sz w:val="20"/>
              </w:rPr>
              <w:t>DNA sintetico o coltivato</w:t>
            </w:r>
            <w:r>
              <w:rPr>
                <w:noProof/>
                <w:color w:val="000000" w:themeColor="text1"/>
                <w:sz w:val="20"/>
              </w:rPr>
              <w:t xml:space="preserve"> </w:t>
            </w:r>
            <w:r>
              <w:rPr>
                <w:noProof/>
                <w:color w:val="000000" w:themeColor="text1"/>
                <w:sz w:val="20"/>
                <w:u w:val="single"/>
              </w:rPr>
              <w:t>Doc. 43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come modificati dal Seg. e sostituire le decisioni 17.89-17.91 per continuare a valutare le implicazioni degli esemplari prodotti dalla biotecnologia che possono avere un impatto sull'interpretazione e sull'attuazione della convenzione. Alcune decisioni potrebbero dover essere perfezionate allo scopo di fare chiarezza.</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44.</w:t>
            </w:r>
          </w:p>
        </w:tc>
        <w:tc>
          <w:tcPr>
            <w:tcW w:w="0" w:type="auto"/>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Definizione del termine </w:t>
            </w:r>
            <w:r>
              <w:rPr>
                <w:b/>
                <w:noProof/>
                <w:color w:val="000000" w:themeColor="text1"/>
                <w:sz w:val="20"/>
              </w:rPr>
              <w:t>"destinazioni accettabili e opportune"</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44.1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Relazione del comitato permanente </w:t>
            </w:r>
            <w:r>
              <w:rPr>
                <w:noProof/>
                <w:color w:val="000000" w:themeColor="text1"/>
                <w:sz w:val="20"/>
              </w:rPr>
              <w:br/>
            </w:r>
            <w:r>
              <w:rPr>
                <w:noProof/>
                <w:color w:val="000000" w:themeColor="text1"/>
                <w:sz w:val="20"/>
                <w:u w:val="single"/>
              </w:rPr>
              <w:t>Doc. 44.1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le raccomandazioni e i progetti di decisione riguardanti la definizione del termine "destinazioni accettabili e opportune". Potrebbero essere tuttavia necessarie alcune modifiche del testo per evitare errori d'interpretazione.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44.2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Commercio internazionale di elefanti vivi africani: proposta di revisione della risoluzione Conf. 11.20 (Rev. CoP17) sulla </w:t>
            </w:r>
            <w:r>
              <w:rPr>
                <w:i/>
                <w:noProof/>
                <w:color w:val="000000" w:themeColor="text1"/>
                <w:sz w:val="20"/>
              </w:rPr>
              <w:t xml:space="preserve">definizione del termine "destinazioni accettabili e opportune" </w:t>
            </w:r>
            <w:r>
              <w:rPr>
                <w:rFonts w:eastAsia="Times New Roman"/>
                <w:i/>
                <w:iCs/>
                <w:noProof/>
                <w:color w:val="000000" w:themeColor="text1"/>
                <w:sz w:val="20"/>
                <w:szCs w:val="20"/>
              </w:rPr>
              <w:br/>
            </w:r>
            <w:r>
              <w:rPr>
                <w:noProof/>
                <w:color w:val="000000" w:themeColor="text1"/>
                <w:sz w:val="20"/>
                <w:u w:val="single"/>
              </w:rPr>
              <w:t>Doc. 44.2 della COP 18</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BF, JO, LB, LR, NE, NG, SD, SY</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Il documento propone modifiche della risoluzione Conf. 11.20 in modo tale che gli elefanti africani vivi siano spostati soltanto per programmi di conservazione in situ all'interno della loro area di distribuzione naturale, escludendo così qualsiasi commercio di elefanti africani catturati in natura verso destinazioni ex situ a fini di uso in cattività, anche laddove ciò fosse utile ai fini della conservazione. Considerare anche in relazione all'attuale regime degli esemplari elencati all'appendice 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Pareri relativi all'</w:t>
            </w:r>
            <w:r>
              <w:rPr>
                <w:b/>
                <w:noProof/>
                <w:color w:val="000000" w:themeColor="text1"/>
                <w:sz w:val="20"/>
              </w:rPr>
              <w:t>assenza di effetti negativi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45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proposti che mirano a far fronte alle lacune e alle esigenze delle parti nel formulare pareri relativi all'assenza di effetti negativi e sostenere l'attuazione della risoluzione Conf. 16.7 (Rev. CoP17). Sostenere un secondo workshop internazionale sui pareri relativi all'assenza di effetti negativi.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Quote dei trofei di </w:t>
            </w:r>
            <w:r>
              <w:rPr>
                <w:b/>
                <w:noProof/>
                <w:color w:val="000000" w:themeColor="text1"/>
                <w:sz w:val="20"/>
              </w:rPr>
              <w:t>caccia di leopardi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r>
              <w:rPr>
                <w:i/>
                <w:noProof/>
                <w:color w:val="000000" w:themeColor="text1"/>
                <w:sz w:val="20"/>
              </w:rPr>
              <w:t>Nessun documento disponibile al 13/2.</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Aumento delle quote dei trofei di </w:t>
            </w:r>
            <w:r>
              <w:rPr>
                <w:b/>
                <w:noProof/>
                <w:color w:val="000000" w:themeColor="text1"/>
                <w:sz w:val="20"/>
              </w:rPr>
              <w:t>caccia di markor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47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PK</w:t>
            </w:r>
          </w:p>
        </w:tc>
        <w:tc>
          <w:tcPr>
            <w:tcW w:w="0" w:type="auto"/>
            <w:tcMar>
              <w:top w:w="60" w:type="dxa"/>
              <w:left w:w="135" w:type="dxa"/>
              <w:bottom w:w="60" w:type="dxa"/>
              <w:right w:w="135" w:type="dxa"/>
            </w:tcMar>
            <w:vAlign w:val="center"/>
          </w:tcPr>
          <w:p>
            <w:pPr>
              <w:spacing w:before="0" w:after="0"/>
              <w:rPr>
                <w:rFonts w:eastAsia="Times New Roman"/>
                <w:noProof/>
                <w:color w:val="000000" w:themeColor="text1"/>
                <w:sz w:val="20"/>
                <w:szCs w:val="20"/>
              </w:rPr>
            </w:pPr>
            <w:r>
              <w:rPr>
                <w:noProof/>
                <w:color w:val="000000" w:themeColor="text1"/>
                <w:sz w:val="20"/>
              </w:rPr>
              <w:t xml:space="preserve">Sostenere l'aumento della quota dei trofei di caccia dei markor in Pakistan da 12 a 20 animali all'anno, se il Pakistan fornisce maggiori informazioni su quali nuove comunità/aree aderiranno al programma comunitario dei trofei di caccia. </w:t>
            </w:r>
          </w:p>
          <w:p>
            <w:pPr>
              <w:spacing w:before="0" w:after="0"/>
              <w:jc w:val="left"/>
              <w:rPr>
                <w:rFonts w:eastAsia="Times New Roman"/>
                <w:i/>
                <w:noProof/>
                <w:color w:val="000000" w:themeColor="text1"/>
                <w:sz w:val="20"/>
                <w:szCs w:val="20"/>
              </w:rPr>
            </w:pPr>
            <w:r>
              <w:rPr>
                <w:i/>
                <w:noProof/>
                <w:color w:val="000000" w:themeColor="text1"/>
                <w:sz w:val="20"/>
              </w:rPr>
              <w:t>Considerare congiuntamente con la proposta di inserimento nell'elenco n. 1.</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48.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Trofei di </w:t>
            </w:r>
            <w:r>
              <w:rPr>
                <w:b/>
                <w:noProof/>
                <w:color w:val="000000" w:themeColor="text1"/>
                <w:sz w:val="20"/>
              </w:rPr>
              <w:t>caccia di rinoceronti</w:t>
            </w:r>
            <w:r>
              <w:rPr>
                <w:noProof/>
                <w:color w:val="000000" w:themeColor="text1"/>
                <w:sz w:val="20"/>
              </w:rPr>
              <w:t xml:space="preserve"> neri: quota di esportazione del Sud Africa</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ZA</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La proposta di aumento della quota dagli attuali 5 maschi adulti di rinoceronte nero a un massimo dello 0,5 % della popolazione totale del paese sembra ragionevole, se si traduce nella pubblicazione annuale della quota specifica (numero assoluto di esemplari) da parte del Sud Africa.</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49.</w:t>
            </w:r>
          </w:p>
        </w:tc>
        <w:tc>
          <w:tcPr>
            <w:tcW w:w="0" w:type="auto"/>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Implicazioni del trasferimento di una specie all'</w:t>
            </w:r>
            <w:r>
              <w:rPr>
                <w:b/>
                <w:noProof/>
                <w:color w:val="000000" w:themeColor="text1"/>
                <w:sz w:val="20"/>
              </w:rPr>
              <w:t>appendice I</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49.1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Segretariato</w:t>
            </w:r>
            <w:r>
              <w:rPr>
                <w:rFonts w:eastAsia="Times New Roman"/>
                <w:noProof/>
                <w:color w:val="000000" w:themeColor="text1"/>
                <w:sz w:val="20"/>
                <w:szCs w:val="20"/>
              </w:rPr>
              <w:br/>
            </w:r>
            <w:r>
              <w:rPr>
                <w:noProof/>
                <w:color w:val="000000" w:themeColor="text1"/>
                <w:sz w:val="20"/>
                <w:u w:val="single"/>
              </w:rPr>
              <w:t>Doc. 49.1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le modifiche della risoluzione Conf. 12.3 per chiarire che, dopo il trasferimento di una specie, le norme applicabili sono quelle valide al momento del commercio (e non del prelievo) e della risoluzione Conf. 13.6. Analizzare ulteriormente la proposta di includere un nuovo paragrafo (11) nella risoluzione Conf. 12.3 e il progetto di decisione per consentire al CP di considerare la necessità di linee guida durante il periodo di transizione, anche tra la decisione di inserimento nell'elenco e l'entrata in vigore, e di esaminare le condizioni speciali per le piante con annotazione, incluse le specie di legname.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49.2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Commercio di esemplari della "pre-appendice I"</w:t>
            </w:r>
            <w:r>
              <w:rPr>
                <w:rFonts w:eastAsia="Times New Roman"/>
                <w:noProof/>
                <w:color w:val="000000" w:themeColor="text1"/>
                <w:sz w:val="20"/>
                <w:szCs w:val="20"/>
              </w:rPr>
              <w:br/>
            </w:r>
            <w:r>
              <w:rPr>
                <w:noProof/>
                <w:color w:val="000000" w:themeColor="text1"/>
                <w:sz w:val="20"/>
              </w:rPr>
              <w:t xml:space="preserve"> </w:t>
            </w:r>
            <w:r>
              <w:rPr>
                <w:noProof/>
                <w:color w:val="000000" w:themeColor="text1"/>
                <w:sz w:val="20"/>
                <w:u w:val="single"/>
              </w:rPr>
              <w:t>Doc. 49.2 della COP 18</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CI, NG, SN</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Integrare nelle modifiche proposte nel doc. 49.1.</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Modifiche della risoluzione Conf. 10.13 (Rev. CoP15) sull'</w:t>
            </w:r>
            <w:r>
              <w:rPr>
                <w:b/>
                <w:i/>
                <w:noProof/>
                <w:color w:val="000000" w:themeColor="text1"/>
                <w:sz w:val="20"/>
              </w:rPr>
              <w:t>attuazione</w:t>
            </w:r>
            <w:r>
              <w:rPr>
                <w:i/>
                <w:noProof/>
                <w:color w:val="000000" w:themeColor="text1"/>
                <w:sz w:val="20"/>
              </w:rPr>
              <w:t xml:space="preserve"> della convenzione per le specie di </w:t>
            </w:r>
            <w:r>
              <w:rPr>
                <w:b/>
                <w:i/>
                <w:noProof/>
                <w:color w:val="000000" w:themeColor="text1"/>
                <w:sz w:val="20"/>
              </w:rPr>
              <w:t>legname</w:t>
            </w:r>
            <w:r>
              <w:rPr>
                <w:rFonts w:eastAsia="Times New Roman"/>
                <w:i/>
                <w:iCs/>
                <w:noProof/>
                <w:color w:val="000000" w:themeColor="text1"/>
                <w:sz w:val="20"/>
                <w:szCs w:val="20"/>
              </w:rPr>
              <w:br/>
            </w:r>
            <w:hyperlink r:id="rId16">
              <w:r>
                <w:rPr>
                  <w:noProof/>
                  <w:color w:val="000000" w:themeColor="text1"/>
                  <w:sz w:val="20"/>
                  <w:u w:val="single"/>
                </w:rPr>
                <w:t>Doc. 50 della COP 18</w:t>
              </w:r>
            </w:hyperlink>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ma proporre di includere un riferimento alla necessità di basare i pareri relativi all'assenza di effetti negativi su adeguati fattori di conversione e altre modifiche di minore entità.</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Depositi e scorte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51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il proseguimento di lavori intersessionali con un mandato più chiaramente definito, escludendo la gestione delle scorte.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Introduzione dal mare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52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il rinnovo del mandato del Seg. per monitorare l'attuazione della risoluzione Conf. 14.6 e rendere conto dei negoziati relativi alla diversità biologica marina nelle zone non soggette a giurisdizione nazionale. Il CP riesamina le informazioni.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Codici di scopo</w:t>
            </w:r>
            <w:r>
              <w:rPr>
                <w:noProof/>
                <w:color w:val="000000" w:themeColor="text1"/>
                <w:sz w:val="20"/>
              </w:rPr>
              <w:t xml:space="preserve"> nelle licenze e nei certificati della CITES </w:t>
            </w:r>
            <w:r>
              <w:rPr>
                <w:rFonts w:eastAsia="Times New Roman"/>
                <w:noProof/>
                <w:color w:val="000000" w:themeColor="text1"/>
                <w:sz w:val="20"/>
                <w:szCs w:val="20"/>
              </w:rPr>
              <w:br/>
            </w:r>
            <w:r>
              <w:rPr>
                <w:noProof/>
                <w:color w:val="000000" w:themeColor="text1"/>
                <w:sz w:val="20"/>
                <w:u w:val="single"/>
              </w:rPr>
              <w:t>Doc. 53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Sostenere in modo provvisorio i progetti di modifica della decisione 14.54 e della risoluzione Conf. 12.3 (Rev. CoP17) sulle </w:t>
            </w:r>
            <w:r>
              <w:rPr>
                <w:i/>
                <w:noProof/>
                <w:color w:val="000000" w:themeColor="text1"/>
                <w:sz w:val="20"/>
              </w:rPr>
              <w:t>licenze e i certificati</w:t>
            </w:r>
            <w:r>
              <w:rPr>
                <w:noProof/>
                <w:color w:val="000000" w:themeColor="text1"/>
                <w:sz w:val="20"/>
              </w:rPr>
              <w:t>; ricontrollare alla luce delle future osservazioni formulate dal Seg. Interrogarsi sulla necessità di un nuovo gruppo di lavoro intersessionale.</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54.</w:t>
            </w:r>
          </w:p>
        </w:tc>
        <w:tc>
          <w:tcPr>
            <w:tcW w:w="0" w:type="auto"/>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b/>
                <w:noProof/>
                <w:color w:val="000000" w:themeColor="text1"/>
                <w:sz w:val="20"/>
              </w:rPr>
              <w:t>Identificazione</w:t>
            </w:r>
            <w:r>
              <w:rPr>
                <w:noProof/>
                <w:color w:val="000000" w:themeColor="text1"/>
                <w:sz w:val="20"/>
              </w:rPr>
              <w:t xml:space="preserve"> degli esemplari in commercio</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54.1</w:t>
            </w:r>
          </w:p>
        </w:tc>
        <w:tc>
          <w:tcPr>
            <w:tcW w:w="0" w:type="auto"/>
            <w:gridSpan w:val="2"/>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Manuale</w:t>
            </w:r>
            <w:r>
              <w:rPr>
                <w:noProof/>
                <w:color w:val="000000" w:themeColor="text1"/>
                <w:sz w:val="20"/>
              </w:rPr>
              <w:t xml:space="preserve"> di identificazione </w:t>
            </w:r>
            <w:r>
              <w:rPr>
                <w:noProof/>
                <w:color w:val="000000" w:themeColor="text1"/>
                <w:sz w:val="20"/>
              </w:rPr>
              <w:br/>
            </w:r>
            <w:r>
              <w:rPr>
                <w:noProof/>
                <w:color w:val="000000" w:themeColor="text1"/>
                <w:sz w:val="20"/>
                <w:u w:val="single"/>
              </w:rPr>
              <w:t>Doc. 54.1 della COP 18</w:t>
            </w:r>
          </w:p>
        </w:tc>
        <w:tc>
          <w:tcPr>
            <w:tcW w:w="0" w:type="auto"/>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CA, CP, Seg.</w:t>
            </w:r>
          </w:p>
        </w:tc>
        <w:tc>
          <w:tcPr>
            <w:tcW w:w="0" w:type="auto"/>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proposta.</w:t>
            </w:r>
          </w:p>
          <w:p>
            <w:pPr>
              <w:spacing w:before="0" w:after="0"/>
              <w:jc w:val="left"/>
              <w:rPr>
                <w:rFonts w:eastAsia="Times New Roman"/>
                <w:i/>
                <w:noProof/>
                <w:color w:val="000000" w:themeColor="text1"/>
                <w:sz w:val="20"/>
                <w:szCs w:val="20"/>
              </w:rPr>
            </w:pPr>
            <w:r>
              <w:rPr>
                <w:i/>
                <w:noProof/>
                <w:color w:val="000000" w:themeColor="text1"/>
                <w:sz w:val="20"/>
              </w:rPr>
              <w:t>Considerare congiuntamente con 21.1.</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54.2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Identificazione delle specie </w:t>
            </w:r>
            <w:r>
              <w:rPr>
                <w:b/>
                <w:i/>
                <w:noProof/>
                <w:color w:val="000000" w:themeColor="text1"/>
                <w:sz w:val="20"/>
              </w:rPr>
              <w:t>arboree</w:t>
            </w:r>
            <w:r>
              <w:rPr>
                <w:noProof/>
                <w:color w:val="000000" w:themeColor="text1"/>
                <w:sz w:val="20"/>
              </w:rPr>
              <w:t xml:space="preserve"> elencate nella CITES </w:t>
            </w:r>
            <w:r>
              <w:rPr>
                <w:rFonts w:eastAsia="Times New Roman"/>
                <w:noProof/>
                <w:color w:val="000000" w:themeColor="text1"/>
                <w:sz w:val="20"/>
                <w:szCs w:val="20"/>
              </w:rPr>
              <w:br/>
            </w:r>
            <w:r>
              <w:rPr>
                <w:noProof/>
                <w:color w:val="000000" w:themeColor="text1"/>
                <w:sz w:val="20"/>
                <w:u w:val="single"/>
              </w:rPr>
              <w:t>Doc. 54.2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nuova serie di decisioni e l'abolizione delle decisioni precedenti.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54.3</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Identificazione degli esemplari di </w:t>
            </w:r>
            <w:r>
              <w:rPr>
                <w:b/>
                <w:i/>
                <w:noProof/>
                <w:color w:val="000000" w:themeColor="text1"/>
                <w:sz w:val="20"/>
              </w:rPr>
              <w:t>storione</w:t>
            </w:r>
            <w:r>
              <w:rPr>
                <w:noProof/>
                <w:color w:val="000000" w:themeColor="text1"/>
                <w:sz w:val="20"/>
              </w:rPr>
              <w:t xml:space="preserve"> e pesce spatola in commercio </w:t>
            </w:r>
            <w:r>
              <w:rPr>
                <w:rFonts w:eastAsia="Times New Roman"/>
                <w:noProof/>
                <w:color w:val="000000" w:themeColor="text1"/>
                <w:sz w:val="20"/>
                <w:szCs w:val="20"/>
              </w:rPr>
              <w:br/>
            </w:r>
            <w:r>
              <w:rPr>
                <w:noProof/>
                <w:color w:val="000000" w:themeColor="text1"/>
                <w:sz w:val="20"/>
                <w:u w:val="single"/>
              </w:rPr>
              <w:t>Doc. 54.3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il rinnovo delle decisioni. Valutare se qualche Stato membro dell'UE può impegnarsi a finanziare lo studio in sospeso da molto tempo.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Attuazione della CITES per il commercio di specie di </w:t>
            </w:r>
            <w:r>
              <w:rPr>
                <w:b/>
                <w:noProof/>
                <w:color w:val="000000" w:themeColor="text1"/>
                <w:sz w:val="20"/>
              </w:rPr>
              <w:t>piante medicinali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Deroghe e disposizioni speciali in materia di commercio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Procedura semplificata</w:t>
            </w:r>
            <w:r>
              <w:rPr>
                <w:noProof/>
                <w:color w:val="000000" w:themeColor="text1"/>
                <w:sz w:val="20"/>
              </w:rPr>
              <w:t xml:space="preserve"> per licenze e certificati </w:t>
            </w:r>
            <w:r>
              <w:rPr>
                <w:rFonts w:eastAsia="Times New Roman"/>
                <w:noProof/>
                <w:color w:val="000000" w:themeColor="text1"/>
                <w:sz w:val="20"/>
                <w:szCs w:val="20"/>
              </w:rPr>
              <w:br/>
            </w:r>
            <w:r>
              <w:rPr>
                <w:noProof/>
                <w:color w:val="000000" w:themeColor="text1"/>
                <w:sz w:val="20"/>
                <w:u w:val="single"/>
              </w:rPr>
              <w:t>Doc. 56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in linea generale le proposte di modifica delle risoluzioni Conf. 11.15 (Rev. CoP12), Conf. 12.3 (Rev. CoP17) e i progetti di decisione rivolti al Segretariato; tenere conto delle osservazioni del Segretariato e considerare la necessità di ulteriori modifiche.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Attuazione della convenzione relativa agli esemplari </w:t>
            </w:r>
            <w:r>
              <w:rPr>
                <w:b/>
                <w:noProof/>
                <w:color w:val="000000" w:themeColor="text1"/>
                <w:sz w:val="20"/>
              </w:rPr>
              <w:t>allevati in cattività</w:t>
            </w:r>
            <w:r>
              <w:rPr>
                <w:noProof/>
                <w:color w:val="000000" w:themeColor="text1"/>
                <w:sz w:val="20"/>
              </w:rPr>
              <w:t xml:space="preserve"> e allo stato naturale </w:t>
            </w:r>
            <w:r>
              <w:rPr>
                <w:rFonts w:eastAsia="Times New Roman"/>
                <w:noProof/>
                <w:color w:val="000000" w:themeColor="text1"/>
                <w:sz w:val="20"/>
                <w:szCs w:val="20"/>
              </w:rPr>
              <w:br/>
            </w:r>
            <w:r>
              <w:rPr>
                <w:noProof/>
                <w:color w:val="000000" w:themeColor="text1"/>
                <w:sz w:val="20"/>
                <w:u w:val="single"/>
              </w:rPr>
              <w:t>Doc. 57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come proposti dal comitato permanente e modificati dal Segretariato.</w:t>
            </w:r>
          </w:p>
          <w:p>
            <w:pPr>
              <w:spacing w:before="0" w:after="0"/>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58.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Attuazione della </w:t>
            </w:r>
            <w:r>
              <w:rPr>
                <w:b/>
                <w:noProof/>
                <w:color w:val="000000" w:themeColor="text1"/>
                <w:sz w:val="20"/>
              </w:rPr>
              <w:t>risoluzione Conf. 17.7</w:t>
            </w:r>
            <w:r>
              <w:rPr>
                <w:noProof/>
                <w:color w:val="000000" w:themeColor="text1"/>
                <w:sz w:val="20"/>
              </w:rPr>
              <w:t xml:space="preserve"> sulla </w:t>
            </w:r>
            <w:r>
              <w:rPr>
                <w:i/>
                <w:noProof/>
                <w:color w:val="000000" w:themeColor="text1"/>
                <w:sz w:val="20"/>
              </w:rPr>
              <w:t xml:space="preserve">revisione del commercio di esemplari di animali dichiarati come nati in cattività </w:t>
            </w:r>
            <w:r>
              <w:rPr>
                <w:rFonts w:eastAsia="Times New Roman"/>
                <w:i/>
                <w:iCs/>
                <w:noProof/>
                <w:color w:val="000000" w:themeColor="text1"/>
                <w:sz w:val="20"/>
                <w:szCs w:val="20"/>
              </w:rPr>
              <w:br/>
            </w:r>
            <w:r>
              <w:rPr>
                <w:noProof/>
                <w:color w:val="000000" w:themeColor="text1"/>
                <w:sz w:val="20"/>
                <w:u w:val="single"/>
              </w:rPr>
              <w:t>Doc. 58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come proposti dal comitato permanente e approvati dal Segretariato.</w:t>
            </w:r>
          </w:p>
          <w:p>
            <w:pPr>
              <w:spacing w:before="0" w:after="0"/>
              <w:jc w:val="left"/>
              <w:rPr>
                <w:rFonts w:eastAsia="Times New Roman"/>
                <w:noProof/>
                <w:color w:val="000000" w:themeColor="text1"/>
                <w:sz w:val="20"/>
                <w:szCs w:val="20"/>
              </w:rPr>
            </w:pPr>
            <w:r>
              <w:rPr>
                <w:i/>
                <w:noProof/>
                <w:color w:val="000000" w:themeColor="text1"/>
                <w:sz w:val="20"/>
              </w:rPr>
              <w:t>Considerare congiuntamente con i documenti di bilancio.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59.</w:t>
            </w:r>
          </w:p>
        </w:tc>
        <w:tc>
          <w:tcPr>
            <w:tcW w:w="0" w:type="auto"/>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Definizione del termine "</w:t>
            </w:r>
            <w:r>
              <w:rPr>
                <w:b/>
                <w:noProof/>
                <w:color w:val="000000" w:themeColor="text1"/>
                <w:sz w:val="20"/>
              </w:rPr>
              <w:t>riprodotto artificialmente</w:t>
            </w:r>
            <w:r>
              <w:rPr>
                <w:noProof/>
                <w:color w:val="000000" w:themeColor="text1"/>
                <w:sz w:val="20"/>
              </w:rPr>
              <w:t>”</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59.1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Linee guida</w:t>
            </w:r>
            <w:r>
              <w:rPr>
                <w:noProof/>
                <w:color w:val="000000" w:themeColor="text1"/>
                <w:sz w:val="20"/>
              </w:rPr>
              <w:t xml:space="preserve"> sul termine "riprodotto artificialmente" </w:t>
            </w:r>
            <w:r>
              <w:rPr>
                <w:rFonts w:eastAsia="Times New Roman"/>
                <w:noProof/>
                <w:color w:val="000000" w:themeColor="text1"/>
                <w:sz w:val="20"/>
                <w:szCs w:val="20"/>
              </w:rPr>
              <w:br/>
            </w:r>
            <w:r>
              <w:rPr>
                <w:noProof/>
                <w:color w:val="000000" w:themeColor="text1"/>
                <w:sz w:val="20"/>
                <w:u w:val="single"/>
              </w:rPr>
              <w:t>Doc. 59.1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il progetto di decisione. Essere aperti alle modifiche proposte dal Segretariato. Suggerire che la pubblicazione delle linee guida dovrebbe avvenire dopo la revisione da parte del CP.</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59.2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Codici di origine</w:t>
            </w:r>
            <w:r>
              <w:rPr>
                <w:noProof/>
              </w:rPr>
              <w:t xml:space="preserve"> </w:t>
            </w:r>
            <w:r>
              <w:rPr>
                <w:noProof/>
                <w:color w:val="000000" w:themeColor="text1"/>
                <w:sz w:val="20"/>
              </w:rPr>
              <w:t xml:space="preserve">degli esemplari di piante in commercio </w:t>
            </w:r>
            <w:r>
              <w:rPr>
                <w:rFonts w:eastAsia="Times New Roman"/>
                <w:noProof/>
                <w:color w:val="000000" w:themeColor="text1"/>
                <w:sz w:val="20"/>
                <w:szCs w:val="20"/>
              </w:rPr>
              <w:br/>
            </w:r>
            <w:r>
              <w:rPr>
                <w:noProof/>
                <w:color w:val="000000" w:themeColor="text1"/>
                <w:sz w:val="20"/>
                <w:u w:val="single"/>
              </w:rPr>
              <w:t>Doc. 59.2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creazione del codice di origine Y, modificando la risoluzione Conf. 11.11 (Rev. CoP17) e la risoluzione Conf. 12.3 (Rev. CoP 17), nonché i progetti di decisione. Le altre modifiche proposte dal Segretariato richiedono tuttavia maggiore attenzione per non compromettere la proposta iniziale del CP (in particolare per quanto riguarda il legno di agar e la necessità di pareri relativi all'assenza di effetti negativi).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gridSpan w:val="8"/>
            <w:tcMar>
              <w:top w:w="60" w:type="dxa"/>
              <w:left w:w="135" w:type="dxa"/>
              <w:bottom w:w="60" w:type="dxa"/>
              <w:right w:w="135" w:type="dxa"/>
            </w:tcMar>
            <w:hideMark/>
          </w:tcPr>
          <w:p>
            <w:pPr>
              <w:spacing w:before="0" w:after="0" w:line="240" w:lineRule="atLeast"/>
              <w:jc w:val="left"/>
              <w:rPr>
                <w:rFonts w:eastAsia="Times New Roman"/>
                <w:b/>
                <w:bCs/>
                <w:noProof/>
                <w:color w:val="000000" w:themeColor="text1"/>
                <w:sz w:val="20"/>
                <w:szCs w:val="20"/>
              </w:rPr>
            </w:pPr>
            <w:r>
              <w:rPr>
                <w:b/>
                <w:noProof/>
                <w:color w:val="000000" w:themeColor="text1"/>
                <w:sz w:val="20"/>
                <w:u w:val="single"/>
              </w:rPr>
              <w:t>Questioni specifiche per specie</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Commercio illegale di </w:t>
            </w:r>
            <w:r>
              <w:rPr>
                <w:b/>
                <w:noProof/>
                <w:color w:val="000000" w:themeColor="text1"/>
                <w:sz w:val="20"/>
              </w:rPr>
              <w:t>ghepardi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Acinonyx jubatus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60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il progetto di decisione che chiede al Segretariato di rendere disponibile la versione finale del kit di risorse per il commercio di ghepardi della CITES, subordinatamente alla disponibilità di risorse. Acconsentire alla revoca delle decisioni da 17.124 a 17.130.</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Storioni</w:t>
            </w:r>
            <w:r>
              <w:rPr>
                <w:noProof/>
                <w:color w:val="000000" w:themeColor="text1"/>
                <w:sz w:val="20"/>
              </w:rPr>
              <w:t xml:space="preserve"> e pesci spatola (</w:t>
            </w:r>
            <w:r>
              <w:rPr>
                <w:i/>
                <w:noProof/>
                <w:color w:val="000000" w:themeColor="text1"/>
                <w:sz w:val="20"/>
              </w:rPr>
              <w:t>Acipenseriformes</w:t>
            </w:r>
            <w:r>
              <w:rPr>
                <w:noProof/>
                <w:color w:val="000000" w:themeColor="text1"/>
                <w:sz w:val="20"/>
              </w:rPr>
              <w:t xml:space="preserve"> spp.)</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Seg.</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il rinnovo del mandato del CP per esaminare l'etichettatura del caviale. Valutare se sono necessarie linee guide più chiare sullo scopo e sulla portata per compiere progressi.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Progetti di decisione sulla conservazione degli </w:t>
            </w:r>
            <w:r>
              <w:rPr>
                <w:b/>
                <w:noProof/>
                <w:color w:val="000000" w:themeColor="text1"/>
                <w:sz w:val="20"/>
              </w:rPr>
              <w:t>anfibi</w:t>
            </w:r>
            <w:r>
              <w:rPr>
                <w:noProof/>
                <w:color w:val="000000" w:themeColor="text1"/>
                <w:sz w:val="20"/>
              </w:rPr>
              <w:t xml:space="preserve"> (</w:t>
            </w:r>
            <w:r>
              <w:rPr>
                <w:i/>
                <w:noProof/>
                <w:color w:val="000000" w:themeColor="text1"/>
                <w:sz w:val="20"/>
              </w:rPr>
              <w:t>Amphibia</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CR</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Ampia gamma di progetti di decisione rivolti alle parti, ai comitati e al Segretariato, proposti senza dichiarazione di sostegno o previa verifica da parte del CA, CP. Le informazioni richieste non sono specifiche per gli anfibi, ma sono applicabili a tutti i taxa che figurano negli elenchi CITES. Una proposta più mirata con azioni concrete potrebbe essere accolta favorevolmente.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Anguille</w:t>
            </w:r>
            <w:r>
              <w:rPr>
                <w:noProof/>
                <w:color w:val="000000" w:themeColor="text1"/>
                <w:sz w:val="20"/>
              </w:rPr>
              <w:t xml:space="preserve"> (</w:t>
            </w:r>
            <w:r>
              <w:rPr>
                <w:i/>
                <w:noProof/>
                <w:color w:val="000000" w:themeColor="text1"/>
                <w:sz w:val="20"/>
              </w:rPr>
              <w:t xml:space="preserve">Anguilla </w:t>
            </w:r>
            <w:r>
              <w:rPr>
                <w:noProof/>
                <w:color w:val="000000" w:themeColor="text1"/>
                <w:sz w:val="20"/>
              </w:rPr>
              <w:t xml:space="preserve">spp.) </w:t>
            </w:r>
            <w:r>
              <w:rPr>
                <w:rFonts w:eastAsia="Times New Roman"/>
                <w:noProof/>
                <w:color w:val="000000" w:themeColor="text1"/>
                <w:sz w:val="20"/>
                <w:szCs w:val="20"/>
              </w:rPr>
              <w:br/>
            </w:r>
            <w:r>
              <w:rPr>
                <w:noProof/>
                <w:color w:val="000000" w:themeColor="text1"/>
                <w:sz w:val="20"/>
                <w:u w:val="single"/>
              </w:rPr>
              <w:t>Doc. 63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 CP, Seg.</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Coralli</w:t>
            </w:r>
            <w:r>
              <w:rPr>
                <w:noProof/>
                <w:color w:val="000000" w:themeColor="text1"/>
                <w:sz w:val="20"/>
              </w:rPr>
              <w:t xml:space="preserve"> preziosi (ordine Antipatari/famiglia </w:t>
            </w:r>
            <w:r>
              <w:rPr>
                <w:rFonts w:eastAsia="Times New Roman"/>
                <w:noProof/>
                <w:color w:val="000000" w:themeColor="text1"/>
                <w:sz w:val="20"/>
                <w:szCs w:val="20"/>
                <w:lang w:eastAsia="en-GB"/>
              </w:rPr>
              <w:t>Corallidi</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Appoggiare il progetto di decisione che incarica il CA e il CP di analizzare l'indagine sui coralli preziosi e lo studio della FAO e trarne conclusioni.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Attuazione della risoluzione Conf. 16.10 sull'</w:t>
            </w:r>
            <w:r>
              <w:rPr>
                <w:i/>
                <w:noProof/>
                <w:color w:val="000000" w:themeColor="text1"/>
                <w:sz w:val="20"/>
              </w:rPr>
              <w:t xml:space="preserve">attuazione della convenzione per taxa da cui si ricava il </w:t>
            </w:r>
            <w:r>
              <w:rPr>
                <w:b/>
                <w:i/>
                <w:noProof/>
                <w:color w:val="000000" w:themeColor="text1"/>
                <w:sz w:val="20"/>
              </w:rPr>
              <w:t>legno di agar</w:t>
            </w:r>
            <w:r>
              <w:rPr>
                <w:noProof/>
                <w:color w:val="000000" w:themeColor="text1"/>
                <w:sz w:val="20"/>
              </w:rPr>
              <w:t xml:space="preserve"> [</w:t>
            </w:r>
            <w:r>
              <w:rPr>
                <w:i/>
                <w:noProof/>
                <w:color w:val="000000" w:themeColor="text1"/>
                <w:sz w:val="20"/>
              </w:rPr>
              <w:t xml:space="preserve">Aquilaria </w:t>
            </w:r>
            <w:r>
              <w:rPr>
                <w:noProof/>
                <w:color w:val="000000" w:themeColor="text1"/>
                <w:sz w:val="20"/>
              </w:rPr>
              <w:t xml:space="preserve">spp. e </w:t>
            </w:r>
            <w:r>
              <w:rPr>
                <w:i/>
                <w:noProof/>
                <w:color w:val="000000" w:themeColor="text1"/>
                <w:sz w:val="20"/>
              </w:rPr>
              <w:t xml:space="preserve">Gyrinops </w:t>
            </w:r>
            <w:r>
              <w:rPr>
                <w:noProof/>
                <w:color w:val="000000" w:themeColor="text1"/>
                <w:sz w:val="20"/>
              </w:rPr>
              <w:t xml:space="preserve">spp.] </w:t>
            </w:r>
            <w:r>
              <w:rPr>
                <w:noProof/>
                <w:color w:val="000000" w:themeColor="text1"/>
                <w:sz w:val="20"/>
              </w:rPr>
              <w:br/>
            </w:r>
            <w:r>
              <w:rPr>
                <w:noProof/>
                <w:color w:val="000000" w:themeColor="text1"/>
                <w:sz w:val="20"/>
                <w:u w:val="single"/>
              </w:rPr>
              <w:t>Doc. 65 della COP 18</w:t>
            </w:r>
          </w:p>
        </w:tc>
        <w:tc>
          <w:tcPr>
            <w:tcW w:w="0" w:type="auto"/>
            <w:tcMar>
              <w:top w:w="60" w:type="dxa"/>
              <w:left w:w="135" w:type="dxa"/>
              <w:bottom w:w="60" w:type="dxa"/>
              <w:right w:w="135" w:type="dxa"/>
            </w:tcMar>
            <w:vAlign w:val="center"/>
            <w:hideMark/>
          </w:tcPr>
          <w:p>
            <w:pPr>
              <w:rPr>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l'adozione dei progetti di decisione sui taxa da cui si ricava il legno di agar e l'abolizione delle precedenti decisioni.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Commercio della </w:t>
            </w:r>
            <w:r>
              <w:rPr>
                <w:b/>
                <w:i/>
                <w:noProof/>
                <w:color w:val="000000" w:themeColor="text1"/>
                <w:sz w:val="20"/>
              </w:rPr>
              <w:t>Boswellia</w:t>
            </w:r>
            <w:r>
              <w:rPr>
                <w:i/>
                <w:noProof/>
                <w:color w:val="000000" w:themeColor="text1"/>
                <w:sz w:val="20"/>
              </w:rPr>
              <w:t xml:space="preserve"> </w:t>
            </w:r>
            <w:r>
              <w:rPr>
                <w:noProof/>
                <w:color w:val="000000" w:themeColor="text1"/>
                <w:sz w:val="20"/>
              </w:rPr>
              <w:t>spp. (</w:t>
            </w:r>
            <w:r>
              <w:rPr>
                <w:i/>
                <w:noProof/>
                <w:color w:val="000000" w:themeColor="text1"/>
                <w:sz w:val="20"/>
              </w:rPr>
              <w:t>Burseraceae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66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LK, US</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serie di progetti di decisione.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67.</w:t>
            </w:r>
          </w:p>
        </w:tc>
        <w:tc>
          <w:tcPr>
            <w:tcW w:w="0" w:type="auto"/>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Pesce Napoleone</w:t>
            </w:r>
            <w:r>
              <w:rPr>
                <w:noProof/>
                <w:color w:val="000000" w:themeColor="text1"/>
                <w:sz w:val="20"/>
              </w:rPr>
              <w:t xml:space="preserve"> (</w:t>
            </w:r>
            <w:r>
              <w:rPr>
                <w:i/>
                <w:noProof/>
                <w:color w:val="000000" w:themeColor="text1"/>
                <w:sz w:val="20"/>
              </w:rPr>
              <w:t>Cheilinus undulatus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67 della COP 18</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shd w:val="clear" w:color="auto" w:fill="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Concordare sul progetto di decisione volto a fornire assistenza ai principali paesi importatori ed esportatori per affrontare le rimanenti sfide di attuazione.</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Squali</w:t>
            </w:r>
            <w:r>
              <w:rPr>
                <w:noProof/>
                <w:color w:val="000000" w:themeColor="text1"/>
                <w:sz w:val="20"/>
              </w:rPr>
              <w:t xml:space="preserve"> e razze (</w:t>
            </w:r>
            <w:r>
              <w:rPr>
                <w:i/>
                <w:noProof/>
                <w:color w:val="000000" w:themeColor="text1"/>
                <w:sz w:val="20"/>
              </w:rPr>
              <w:t>Elasmobranchii</w:t>
            </w:r>
            <w:r>
              <w:rPr>
                <w:noProof/>
                <w:color w:val="000000" w:themeColor="text1"/>
                <w:sz w:val="20"/>
              </w:rPr>
              <w:t xml:space="preserve"> spp.)</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68.1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comitato “Animali”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CA</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Prendere nota della relazione.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68.2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Segretariato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69.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Elefanti</w:t>
            </w:r>
            <w:r>
              <w:rPr>
                <w:noProof/>
                <w:color w:val="000000" w:themeColor="text1"/>
                <w:sz w:val="20"/>
              </w:rPr>
              <w:t xml:space="preserve"> (</w:t>
            </w:r>
            <w:r>
              <w:rPr>
                <w:i/>
                <w:noProof/>
                <w:color w:val="000000" w:themeColor="text1"/>
                <w:sz w:val="20"/>
              </w:rPr>
              <w:t>Elephantidae</w:t>
            </w:r>
            <w:r>
              <w:rPr>
                <w:noProof/>
                <w:color w:val="000000" w:themeColor="text1"/>
                <w:sz w:val="20"/>
              </w:rPr>
              <w:t xml:space="preserve"> spp.)</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Attuazione</w:t>
            </w:r>
            <w:r>
              <w:rPr>
                <w:noProof/>
                <w:color w:val="000000" w:themeColor="text1"/>
                <w:sz w:val="20"/>
              </w:rPr>
              <w:t xml:space="preserve"> della risoluzione Conf. 10.10 (Rev. CoP17) sul </w:t>
            </w:r>
            <w:r>
              <w:rPr>
                <w:i/>
                <w:noProof/>
                <w:color w:val="000000" w:themeColor="text1"/>
                <w:sz w:val="20"/>
              </w:rPr>
              <w:t>commercio di esemplari di elefanti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 / CP</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u w:val="single"/>
              </w:rPr>
              <w:t>Depositi e scorte</w:t>
            </w:r>
            <w:r>
              <w:rPr>
                <w:noProof/>
                <w:color w:val="000000" w:themeColor="text1"/>
                <w:sz w:val="20"/>
              </w:rPr>
              <w:t>: sostenere la decisione che prevede che il CP riveda le linee guida formulate dal Seg.</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Elefanti asiatici</w:t>
            </w:r>
            <w:r>
              <w:rPr>
                <w:noProof/>
                <w:color w:val="000000" w:themeColor="text1"/>
                <w:sz w:val="20"/>
              </w:rPr>
              <w:t>: essere disposti a sostenere il rinnovo delle decisioni, ma è necessaria una maggiore adesione degli Stati dell'area di distribuzione, affinché ciò sia efficace.</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Piani d'azione nazionali sull'avorio</w:t>
            </w:r>
            <w:r>
              <w:rPr>
                <w:noProof/>
                <w:color w:val="000000" w:themeColor="text1"/>
                <w:sz w:val="20"/>
              </w:rPr>
              <w:t xml:space="preserve">: sostenere le proposte di revisione della risoluzione Conf. 10.10, paragrafo 26, lettera g), e dell'allegato III (linee guida relative al processo dei piani d'azione nazionali sull'avorio) e della risoluzione Conf. 14.3 sulla </w:t>
            </w:r>
            <w:r>
              <w:rPr>
                <w:i/>
                <w:noProof/>
                <w:color w:val="000000" w:themeColor="text1"/>
                <w:sz w:val="20"/>
              </w:rPr>
              <w:t>conformità</w:t>
            </w:r>
            <w:r>
              <w:rPr>
                <w:noProof/>
                <w:color w:val="000000" w:themeColor="text1"/>
                <w:sz w:val="20"/>
              </w:rPr>
              <w:t xml:space="preserve"> (</w:t>
            </w:r>
            <w:r>
              <w:rPr>
                <w:rFonts w:eastAsia="Times New Roman"/>
                <w:noProof/>
                <w:color w:val="000000" w:themeColor="text1"/>
                <w:sz w:val="20"/>
                <w:szCs w:val="20"/>
              </w:rPr>
              <w:sym w:font="Wingdings" w:char="F0E0"/>
            </w:r>
            <w:r>
              <w:rPr>
                <w:noProof/>
                <w:color w:val="000000" w:themeColor="text1"/>
                <w:sz w:val="20"/>
              </w:rPr>
              <w:t xml:space="preserve"> doc. 24); </w:t>
            </w:r>
            <w:r>
              <w:rPr>
                <w:rFonts w:eastAsia="Times New Roman"/>
                <w:noProof/>
                <w:color w:val="000000" w:themeColor="text1"/>
                <w:sz w:val="20"/>
                <w:szCs w:val="20"/>
              </w:rPr>
              <w:br/>
            </w:r>
            <w:r>
              <w:rPr>
                <w:noProof/>
                <w:color w:val="000000" w:themeColor="text1"/>
                <w:sz w:val="20"/>
              </w:rPr>
              <w:t>valutare la richiesta del Seg. per la creazione di una nuova carica (</w:t>
            </w:r>
            <w:r>
              <w:rPr>
                <w:rFonts w:eastAsia="Times New Roman"/>
                <w:noProof/>
                <w:color w:val="000000" w:themeColor="text1"/>
                <w:sz w:val="20"/>
                <w:szCs w:val="20"/>
              </w:rPr>
              <w:sym w:font="Wingdings" w:char="F0E0"/>
            </w:r>
            <w:r>
              <w:rPr>
                <w:noProof/>
                <w:color w:val="000000" w:themeColor="text1"/>
                <w:sz w:val="20"/>
              </w:rPr>
              <w:t xml:space="preserve"> bilancio).</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p>
            <w:pPr>
              <w:spacing w:before="0" w:after="0" w:line="240" w:lineRule="atLeast"/>
              <w:jc w:val="center"/>
              <w:rPr>
                <w:rFonts w:eastAsia="Times New Roman"/>
                <w:b/>
                <w:noProof/>
                <w:color w:val="000000" w:themeColor="text1"/>
                <w:sz w:val="20"/>
                <w:szCs w:val="20"/>
              </w:rPr>
            </w:pPr>
          </w:p>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Revisione dell'ETIS</w:t>
            </w:r>
            <w:r>
              <w:rPr>
                <w:noProof/>
                <w:color w:val="000000" w:themeColor="text1"/>
                <w:sz w:val="20"/>
              </w:rPr>
              <w:t>: sostenere il mandato come concordato in occasione dell'SC70.</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Sostenibilità finanziaria e operativa di ETIS, MIKE</w:t>
            </w:r>
            <w:r>
              <w:rPr>
                <w:noProof/>
                <w:color w:val="000000" w:themeColor="text1"/>
                <w:sz w:val="20"/>
              </w:rPr>
              <w:t>: sostenere il progetto di decisione per l'elaborazione di una proposta da parte del Seg. (costi: 30 000 USD); riesame a cura del CP.</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gridSpan w:val="2"/>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u w:val="single"/>
              </w:rPr>
              <w:t>Mercati nazionali dell'avorio</w:t>
            </w:r>
            <w:r>
              <w:rPr>
                <w:noProof/>
                <w:color w:val="000000" w:themeColor="text1"/>
                <w:sz w:val="20"/>
              </w:rPr>
              <w:t>: sostenere la proposta di modifica della risoluzione Conf. 10.10 così come contenuta nel doc. 31.</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sul monitoraggio dell'abbattimento illegale di elefanti (</w:t>
            </w:r>
            <w:r>
              <w:rPr>
                <w:b/>
                <w:i/>
                <w:noProof/>
                <w:color w:val="000000" w:themeColor="text1"/>
                <w:sz w:val="20"/>
              </w:rPr>
              <w:t>MIKE</w:t>
            </w:r>
            <w:r>
              <w:rPr>
                <w:noProof/>
                <w:color w:val="000000" w:themeColor="text1"/>
                <w:sz w:val="20"/>
              </w:rPr>
              <w:t xml:space="preserve">) </w:t>
            </w:r>
            <w:r>
              <w:rPr>
                <w:noProof/>
                <w:color w:val="000000" w:themeColor="text1"/>
                <w:sz w:val="20"/>
              </w:rPr>
              <w:br/>
            </w:r>
            <w:r>
              <w:rPr>
                <w:noProof/>
                <w:color w:val="000000" w:themeColor="text1"/>
                <w:sz w:val="20"/>
                <w:u w:val="single"/>
              </w:rPr>
              <w:t>Doc. 69.2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Prendere nota della relazione.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69.3</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sul sistema di informazione sul commercio di elefanti (</w:t>
            </w:r>
            <w:r>
              <w:rPr>
                <w:b/>
                <w:i/>
                <w:noProof/>
                <w:color w:val="000000" w:themeColor="text1"/>
                <w:sz w:val="20"/>
              </w:rPr>
              <w:t>ETIS</w:t>
            </w:r>
            <w:r>
              <w:rPr>
                <w:noProof/>
                <w:color w:val="000000" w:themeColor="text1"/>
                <w:sz w:val="20"/>
              </w:rPr>
              <w:t xml:space="preserve">) </w:t>
            </w:r>
            <w:r>
              <w:rPr>
                <w:noProof/>
                <w:color w:val="000000" w:themeColor="text1"/>
                <w:sz w:val="20"/>
              </w:rPr>
              <w:br/>
            </w:r>
            <w:r>
              <w:rPr>
                <w:noProof/>
                <w:color w:val="000000" w:themeColor="text1"/>
                <w:sz w:val="20"/>
                <w:u w:val="single"/>
              </w:rPr>
              <w:t>Doc. 69.3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Prendere nota della relazione; considerare le implicazioni per il processo dei piani d'azione nazionali sull'avorio (determinati paesi identificati dall'ETIS non sono al momento contemplati dal piano d'azione nazionale sull'avorio).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69.4</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Scorte</w:t>
            </w:r>
            <w:r>
              <w:rPr>
                <w:noProof/>
                <w:color w:val="000000" w:themeColor="text1"/>
                <w:sz w:val="20"/>
              </w:rPr>
              <w:t xml:space="preserve"> di avorio: proposta di revisione della risoluzione Conf. 10.10 (Rev. CoP17) sul </w:t>
            </w:r>
            <w:r>
              <w:rPr>
                <w:i/>
                <w:noProof/>
                <w:color w:val="000000" w:themeColor="text1"/>
                <w:sz w:val="20"/>
              </w:rPr>
              <w:t xml:space="preserve">commercio di esemplari di elefanti </w:t>
            </w:r>
            <w:r>
              <w:rPr>
                <w:rFonts w:eastAsia="Times New Roman"/>
                <w:i/>
                <w:iCs/>
                <w:noProof/>
                <w:color w:val="000000" w:themeColor="text1"/>
                <w:sz w:val="20"/>
                <w:szCs w:val="20"/>
              </w:rPr>
              <w:br/>
            </w:r>
            <w:r>
              <w:rPr>
                <w:noProof/>
                <w:color w:val="000000" w:themeColor="text1"/>
                <w:sz w:val="20"/>
                <w:u w:val="single"/>
              </w:rPr>
              <w:t>Doc. 69.4 della COP 18</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BF, TD, CI, GA, JO, KE, LR, NE, NG, SD, SY </w:t>
            </w:r>
          </w:p>
        </w:tc>
        <w:tc>
          <w:tcPr>
            <w:tcW w:w="0" w:type="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noProof/>
                <w:color w:val="000000" w:themeColor="text1"/>
                <w:sz w:val="20"/>
              </w:rPr>
              <w:t>Riconoscere l'importanza di ultimare le linee guida, ma interrogarsi sulla fattibilità e sulla sostenibilità di un gruppo di lavoro intersessionale a tale scopo. Considerare le proposte alternative del Segretariato.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69.5</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Aspetti di attuazione della risoluzione Conf. 10.10 (Rev. CoP17) sulla chiusura dei </w:t>
            </w:r>
            <w:r>
              <w:rPr>
                <w:b/>
                <w:i/>
                <w:noProof/>
                <w:color w:val="000000" w:themeColor="text1"/>
                <w:sz w:val="20"/>
              </w:rPr>
              <w:t>mercati nazionali dell'avorio</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lang w:val="nb-NO"/>
              </w:rPr>
            </w:pPr>
            <w:r>
              <w:rPr>
                <w:noProof/>
                <w:color w:val="000000" w:themeColor="text1"/>
                <w:sz w:val="20"/>
                <w:lang w:val="nb-NO"/>
              </w:rPr>
              <w:t>BF, CI, ET, GA, KE, LR, NE, NG, SY</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Contestare le conclusioni relative al mercato dell'avorio dell'UE (paragrafo 28); evidenziare gli attuali sforzi dell'UE. </w:t>
            </w:r>
            <w:r>
              <w:rPr>
                <w:rFonts w:eastAsia="Times New Roman"/>
                <w:noProof/>
                <w:color w:val="000000" w:themeColor="text1"/>
                <w:sz w:val="20"/>
                <w:szCs w:val="20"/>
              </w:rPr>
              <w:br/>
            </w:r>
            <w:r>
              <w:rPr>
                <w:noProof/>
                <w:color w:val="000000" w:themeColor="text1"/>
                <w:sz w:val="20"/>
              </w:rPr>
              <w:t>Opporsi alle modifiche proposte della risoluzione Conf. 10.10 e dei relativi progetti di decisione in quanto sproporzionate e in parte poco chiare.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Tartaruga embricata (</w:t>
            </w:r>
            <w:r>
              <w:rPr>
                <w:i/>
                <w:noProof/>
                <w:color w:val="000000" w:themeColor="text1"/>
                <w:sz w:val="20"/>
              </w:rPr>
              <w:t>Eretmochelys imbricata</w:t>
            </w:r>
            <w:r>
              <w:rPr>
                <w:noProof/>
                <w:color w:val="000000" w:themeColor="text1"/>
                <w:sz w:val="20"/>
              </w:rPr>
              <w:t>) e altre </w:t>
            </w:r>
            <w:r>
              <w:rPr>
                <w:b/>
                <w:noProof/>
                <w:color w:val="000000" w:themeColor="text1"/>
                <w:sz w:val="20"/>
              </w:rPr>
              <w:t>tartarughe marine</w:t>
            </w:r>
            <w:r>
              <w:rPr>
                <w:noProof/>
                <w:color w:val="000000" w:themeColor="text1"/>
                <w:sz w:val="20"/>
              </w:rPr>
              <w:t xml:space="preserve"> (</w:t>
            </w:r>
            <w:r>
              <w:rPr>
                <w:i/>
                <w:noProof/>
                <w:color w:val="000000" w:themeColor="text1"/>
                <w:sz w:val="20"/>
              </w:rPr>
              <w:t>Cheloniidae</w:t>
            </w:r>
            <w:r>
              <w:rPr>
                <w:noProof/>
                <w:color w:val="000000" w:themeColor="text1"/>
                <w:sz w:val="20"/>
              </w:rPr>
              <w:t xml:space="preserve"> e </w:t>
            </w:r>
            <w:r>
              <w:rPr>
                <w:i/>
                <w:noProof/>
                <w:color w:val="000000" w:themeColor="text1"/>
                <w:sz w:val="20"/>
              </w:rPr>
              <w:t>Dermochelyidae</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Seg.</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il proseguimento dei lavori mediante i progetti di decisione proposti dal Segretariato e l'istituzione di un gruppo di lavoro intersessionale sulle tartarughe marine.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Grandi felini asiatici</w:t>
            </w:r>
            <w:r>
              <w:rPr>
                <w:noProof/>
                <w:color w:val="000000" w:themeColor="text1"/>
                <w:sz w:val="20"/>
              </w:rPr>
              <w:t xml:space="preserve"> (</w:t>
            </w:r>
            <w:r>
              <w:rPr>
                <w:i/>
                <w:noProof/>
                <w:color w:val="000000" w:themeColor="text1"/>
                <w:sz w:val="20"/>
              </w:rPr>
              <w:t>Felidae</w:t>
            </w:r>
            <w:r>
              <w:rPr>
                <w:noProof/>
                <w:color w:val="000000" w:themeColor="text1"/>
                <w:sz w:val="20"/>
              </w:rPr>
              <w:t xml:space="preserve"> spp.)</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71.1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comitato permanente</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CP</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71.2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Progetti di decisione sui grandi felini asiatici </w:t>
            </w:r>
            <w:r>
              <w:rPr>
                <w:noProof/>
                <w:color w:val="000000" w:themeColor="text1"/>
                <w:sz w:val="20"/>
              </w:rPr>
              <w:br/>
            </w:r>
            <w:r>
              <w:rPr>
                <w:noProof/>
                <w:color w:val="000000" w:themeColor="text1"/>
                <w:sz w:val="20"/>
                <w:u w:val="single"/>
              </w:rPr>
              <w:t>Doc. 71.2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IN</w:t>
            </w:r>
          </w:p>
        </w:tc>
        <w:tc>
          <w:tcPr>
            <w:tcW w:w="0" w:type="auto"/>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rPr>
              <w:t>Sostenere in linea generale gli sforzi per monitorare e gestire meglio il commercio dei grandi felini asiatici. Tuttavia, il documento dovrà essere esaminato quando sarà messa a disposizione la relazione del comitato permanente onde evitare sovrapposizioni o incoerenze.</w:t>
            </w:r>
          </w:p>
          <w:p>
            <w:pPr>
              <w:spacing w:before="0" w:after="0"/>
              <w:jc w:val="left"/>
              <w:rPr>
                <w:noProof/>
                <w:color w:val="000000" w:themeColor="text1"/>
                <w:sz w:val="20"/>
                <w:szCs w:val="20"/>
              </w:rPr>
            </w:pPr>
            <w:r>
              <w:rPr>
                <w:noProof/>
                <w:color w:val="000000" w:themeColor="text1"/>
                <w:sz w:val="20"/>
              </w:rPr>
              <w:t>Prima dell'adozione, il progetto di decisione proposto necessiterà di modifiche e di un'ulteriore analisi approfondita. Si dovrebbe tenere presente anche il legame con la risoluzione Conf. 12.5 (Rev. 17)</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Cavallucci marini</w:t>
            </w:r>
            <w:r>
              <w:rPr>
                <w:noProof/>
                <w:color w:val="000000" w:themeColor="text1"/>
                <w:sz w:val="20"/>
              </w:rPr>
              <w:t xml:space="preserve"> (</w:t>
            </w:r>
            <w:r>
              <w:rPr>
                <w:i/>
                <w:noProof/>
                <w:color w:val="000000" w:themeColor="text1"/>
                <w:sz w:val="20"/>
              </w:rPr>
              <w:t>Hippocampus</w:t>
            </w:r>
            <w:r>
              <w:rPr>
                <w:noProof/>
                <w:color w:val="000000" w:themeColor="text1"/>
                <w:sz w:val="20"/>
              </w:rPr>
              <w:t xml:space="preserve"> spp.) nella CITES – una tabella di marcia verso il successo</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MV, MC, LK, US</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serie di decisioni per avviare la discussione sulla gestione e sull'uso sostenibile dei cavallucci marini nel comitato "Animali" e nel comitato permanente.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73.</w:t>
            </w:r>
          </w:p>
        </w:tc>
        <w:tc>
          <w:tcPr>
            <w:tcW w:w="0" w:type="auto"/>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 xml:space="preserve">Scimmie </w:t>
            </w:r>
            <w:r>
              <w:rPr>
                <w:noProof/>
                <w:color w:val="000000" w:themeColor="text1"/>
                <w:sz w:val="20"/>
              </w:rPr>
              <w:t>antropomorfe (</w:t>
            </w:r>
            <w:r>
              <w:rPr>
                <w:i/>
                <w:noProof/>
                <w:color w:val="000000" w:themeColor="text1"/>
                <w:sz w:val="20"/>
              </w:rPr>
              <w:t>Hominidae</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Doc. 73 della COP 18</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 Seg.</w:t>
            </w:r>
          </w:p>
        </w:tc>
        <w:tc>
          <w:tcPr>
            <w:tcW w:w="0" w:type="auto"/>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le modifiche della risoluzione Conf. 13.4 (Rev. CoP16) sulla conservazione e sul commercio delle scimmie antropomorfe come proposto dal Segretariato, nonché l'abolizione delle decisioni 17.232 e 17.233. La proposta si basa sulla relazione concernente lo stato di conservazione delle scimmie antropomorfe e l'impatto esercitato dal commercio illegale e da altri fattori di pressione su tale stato, preparata in collaborazione tra il Segretariato, l'IUCN, il GRASP e altri partner ed esaminata dall'AC30 e dall'SC70. Sarebbero auspicabili ulteriori modifiche redazionali.</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Legname delle specie di</w:t>
            </w:r>
            <w:r>
              <w:rPr>
                <w:noProof/>
              </w:rPr>
              <w:t xml:space="preserve"> </w:t>
            </w:r>
            <w:r>
              <w:rPr>
                <w:b/>
                <w:noProof/>
                <w:color w:val="000000" w:themeColor="text1"/>
                <w:sz w:val="20"/>
              </w:rPr>
              <w:t>palissandro</w:t>
            </w:r>
            <w:r>
              <w:rPr>
                <w:noProof/>
                <w:color w:val="000000" w:themeColor="text1"/>
                <w:sz w:val="20"/>
              </w:rPr>
              <w:t xml:space="preserve"> [</w:t>
            </w:r>
            <w:r>
              <w:rPr>
                <w:i/>
                <w:noProof/>
                <w:color w:val="000000" w:themeColor="text1"/>
                <w:sz w:val="20"/>
              </w:rPr>
              <w:t>Leguminosae</w:t>
            </w:r>
            <w:r>
              <w:rPr>
                <w:noProof/>
                <w:color w:val="000000" w:themeColor="text1"/>
                <w:sz w:val="20"/>
              </w:rPr>
              <w:t xml:space="preserve"> (</w:t>
            </w:r>
            <w:r>
              <w:rPr>
                <w:i/>
                <w:noProof/>
                <w:color w:val="000000" w:themeColor="text1"/>
                <w:sz w:val="20"/>
              </w:rPr>
              <w:t>Fabaceae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74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l'adozione dei progetti di decisione.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Pangolini</w:t>
            </w:r>
            <w:r>
              <w:rPr>
                <w:noProof/>
                <w:color w:val="000000" w:themeColor="text1"/>
                <w:sz w:val="20"/>
              </w:rPr>
              <w:t xml:space="preserve"> (</w:t>
            </w:r>
            <w:r>
              <w:rPr>
                <w:i/>
                <w:noProof/>
                <w:color w:val="000000" w:themeColor="text1"/>
                <w:sz w:val="20"/>
              </w:rPr>
              <w:t>Manis spp.</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75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 che integra la proposta del 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serie di progetti di decisione come raccomandato dal comitato permanente (SC69), con modifiche proposte dal Segretariato, e sostenere l'abolizione delle decisioni 17.239 - 17.240.</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Leone</w:t>
            </w:r>
            <w:r>
              <w:rPr>
                <w:noProof/>
                <w:color w:val="000000" w:themeColor="text1"/>
                <w:sz w:val="20"/>
              </w:rPr>
              <w:t xml:space="preserve"> africano (</w:t>
            </w:r>
            <w:r>
              <w:rPr>
                <w:i/>
                <w:noProof/>
                <w:color w:val="000000" w:themeColor="text1"/>
                <w:sz w:val="20"/>
              </w:rPr>
              <w:t>Panthera leo</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76.1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Segretariato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76.2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Conservazione e commercio dei leoni africani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NG, TG</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in linea generale ulteriori misure per controllare il commercio internazionale di parti di leoni e prodotti da essi derivati, sebbene alcuni elementi del progetto di risoluzione potrebbero necessitare di una riformulazione sostanziale. Il documento deve essere considerato congiuntamente con il documento 76.1 e il documento 96 (entrambi non ancora disponibili).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Giaguaro</w:t>
            </w:r>
            <w:r>
              <w:rPr>
                <w:noProof/>
                <w:color w:val="000000" w:themeColor="text1"/>
                <w:sz w:val="20"/>
              </w:rPr>
              <w:t xml:space="preserve"> (</w:t>
            </w:r>
            <w:r>
              <w:rPr>
                <w:i/>
                <w:noProof/>
                <w:color w:val="000000" w:themeColor="text1"/>
                <w:sz w:val="20"/>
              </w:rPr>
              <w:t>Panthera onca</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77.1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Commercio dei giaguari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CR, MX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in linea generale la serie di progetti di decisione per la realizzazione di uno studio sul commercio illegale dei giaguari; potrebbero essere opportune alcune modifiche e potrebbero essere aggiunti alcuni elementi dal documento 77.2.</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77.2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Commercio illegale dei giaguari </w:t>
            </w:r>
            <w:r>
              <w:rPr>
                <w:noProof/>
                <w:color w:val="000000" w:themeColor="text1"/>
                <w:sz w:val="20"/>
              </w:rPr>
              <w:br/>
            </w:r>
            <w:r>
              <w:rPr>
                <w:noProof/>
                <w:color w:val="000000" w:themeColor="text1"/>
                <w:sz w:val="20"/>
                <w:u w:val="single"/>
              </w:rPr>
              <w:t>Doc. 77.2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PE</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in linea generale una maggiore protezione dei giaguari. Tuttavia, alcuni degli elementi proposti potrebbero essere più adeguati sotto forma di decisione, piuttosto che di risoluzione. Valutare se la proposta o le sue parti dovrebbero essere riunite con la proposta della Costa Rica (77.1) in una serie di decisioni.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Commercio illegale dell'</w:t>
            </w:r>
            <w:r>
              <w:rPr>
                <w:b/>
                <w:noProof/>
                <w:color w:val="000000" w:themeColor="text1"/>
                <w:sz w:val="20"/>
              </w:rPr>
              <w:t>antilope tibetana</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Pantholops hodgsonii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78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il progetto di raccomandazione e la proposta del Segretariato di modificare il paragrafo 2, lettera b), della risoluzione Conf. 11.8 (Rev. CoP17).</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79.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Gestione della conservazione e commercio degli </w:t>
            </w:r>
            <w:r>
              <w:rPr>
                <w:b/>
                <w:noProof/>
                <w:color w:val="000000" w:themeColor="text1"/>
                <w:sz w:val="20"/>
              </w:rPr>
              <w:t>uccelli canori</w:t>
            </w:r>
            <w:r>
              <w:rPr>
                <w:noProof/>
                <w:color w:val="000000" w:themeColor="text1"/>
                <w:sz w:val="20"/>
              </w:rPr>
              <w:t xml:space="preserve"> (</w:t>
            </w:r>
            <w:r>
              <w:rPr>
                <w:i/>
                <w:noProof/>
                <w:color w:val="000000" w:themeColor="text1"/>
                <w:sz w:val="20"/>
              </w:rPr>
              <w:t>Passeriformes</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US, LK</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in linea generale la proposta, affinché il CA consideri le conseguenze del commercio degli uccelli canori sulla conservazione. Possibilmente migliorare lo scopo e chiarire la portata.</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i/>
                <w:noProof/>
                <w:color w:val="000000" w:themeColor="text1"/>
                <w:sz w:val="20"/>
              </w:rPr>
              <w:t>Prunus africana</w:t>
            </w:r>
            <w:r>
              <w:rPr>
                <w:noProof/>
                <w:color w:val="000000" w:themeColor="text1"/>
                <w:sz w:val="20"/>
              </w:rPr>
              <w:t xml:space="preserve"> </w:t>
            </w:r>
            <w:r>
              <w:rPr>
                <w:noProof/>
                <w:color w:val="000000" w:themeColor="text1"/>
                <w:sz w:val="20"/>
                <w:u w:val="single"/>
              </w:rPr>
              <w:t>Doc. 80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Appoggiare l'adozione dei progetti di decisione. In base ai risultati della riunione regionale del programma delle specie arboree della CITES per l'Africa prevista a marzo 2019, potrebbe essere necessaria una ulteriore revisione dei progetti di decisione.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Pappagalli</w:t>
            </w:r>
            <w:r>
              <w:rPr>
                <w:noProof/>
              </w:rPr>
              <w:t xml:space="preserve"> </w:t>
            </w:r>
            <w:r>
              <w:rPr>
                <w:b/>
                <w:noProof/>
                <w:color w:val="000000" w:themeColor="text1"/>
                <w:sz w:val="20"/>
              </w:rPr>
              <w:t>cenerini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Psittacus erithacus</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ZA</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Essere aperti alla proroga del termine per la registrazione delle strutture di allevamento. Tuttavia, sono necessarie ulteriori informazioni su un eventuale ripopolamento del </w:t>
            </w:r>
            <w:r>
              <w:rPr>
                <w:i/>
                <w:noProof/>
                <w:color w:val="000000" w:themeColor="text1"/>
                <w:sz w:val="20"/>
              </w:rPr>
              <w:t>Psittacus erithacus</w:t>
            </w:r>
            <w:r>
              <w:rPr>
                <w:noProof/>
                <w:color w:val="000000" w:themeColor="text1"/>
                <w:sz w:val="20"/>
              </w:rPr>
              <w:t>, prima di approvare l'aggiunta della nuova lettera f) alla decisione 17.256. Sembrano essere necessarie modifiche del testo prima dell'adozione.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Pesce cardinale di Banggai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Pterapogon kauderni</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Sostenere la serie di progetti di decisione; l'UE è pronta a sostenere l'Indonesia nell'attuazione della decisione 18.AA.</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Rinoceronti</w:t>
            </w:r>
            <w:r>
              <w:rPr>
                <w:noProof/>
                <w:color w:val="000000" w:themeColor="text1"/>
                <w:sz w:val="20"/>
              </w:rPr>
              <w:t xml:space="preserve"> (</w:t>
            </w:r>
            <w:r>
              <w:rPr>
                <w:i/>
                <w:noProof/>
                <w:color w:val="000000" w:themeColor="text1"/>
                <w:sz w:val="20"/>
              </w:rPr>
              <w:t>Rhinocerotidae</w:t>
            </w:r>
            <w:r>
              <w:rPr>
                <w:noProof/>
                <w:color w:val="000000" w:themeColor="text1"/>
                <w:sz w:val="20"/>
              </w:rPr>
              <w:t xml:space="preserve"> spp.)</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83.1</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Relazione del comitato permanente e del Segretariato</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i/>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83.2</w:t>
            </w:r>
          </w:p>
        </w:tc>
        <w:tc>
          <w:tcPr>
            <w:tcW w:w="0" w:type="auto"/>
            <w:gridSpan w:val="2"/>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Revisioni della risoluzione Conf. 9.14 (Rev. CoP17) sulla </w:t>
            </w:r>
            <w:r>
              <w:rPr>
                <w:i/>
                <w:noProof/>
                <w:color w:val="000000" w:themeColor="text1"/>
                <w:sz w:val="20"/>
              </w:rPr>
              <w:t>conservazione e sul commercio dei rinoceronti africani e asiatici</w:t>
            </w:r>
            <w:r>
              <w:rPr>
                <w:noProof/>
                <w:color w:val="000000" w:themeColor="text1"/>
                <w:sz w:val="20"/>
              </w:rPr>
              <w:t>, e relative decisioni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KE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Proposte di modifica della risoluzione su a) chiusura dei mercati nazionali; b) inserimento dei corni di rinoceronte detenuti da soggetti privati nella registrazione delle scorte e distruzione delle scorte; c) presentazione di relazioni periodiche delle parti al CP. È necessario un ulteriore esame dei benefici in termini di conservazione e le proposte di modifica e i progetti di decisione devono essere interamente analizzati, una volta disponibile il doc. 83.1.</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Bucero dall'elmo</w:t>
            </w:r>
            <w:r>
              <w:rPr>
                <w:noProof/>
                <w:color w:val="000000" w:themeColor="text1"/>
                <w:sz w:val="20"/>
              </w:rPr>
              <w:t xml:space="preserve"> (</w:t>
            </w:r>
            <w:r>
              <w:rPr>
                <w:i/>
                <w:noProof/>
                <w:color w:val="000000" w:themeColor="text1"/>
                <w:sz w:val="20"/>
              </w:rPr>
              <w:t>Rhinoplax vigil</w:t>
            </w:r>
            <w:r>
              <w:rPr>
                <w:noProof/>
                <w:color w:val="000000" w:themeColor="text1"/>
                <w:sz w:val="20"/>
              </w:rPr>
              <w:t xml:space="preserve">) </w:t>
            </w:r>
            <w:r>
              <w:rPr>
                <w:noProof/>
                <w:color w:val="000000" w:themeColor="text1"/>
                <w:sz w:val="20"/>
              </w:rPr>
              <w:br/>
            </w:r>
            <w:r>
              <w:rPr>
                <w:noProof/>
                <w:color w:val="000000" w:themeColor="text1"/>
                <w:sz w:val="20"/>
                <w:u w:val="single"/>
              </w:rPr>
              <w:t>Doc. 84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nell'allegato 1, incluse le modifiche proposte del Segretariato, e abolire le decisioni 17.264, 17.265 e 17.266.</w:t>
            </w:r>
          </w:p>
        </w:tc>
        <w:tc>
          <w:tcPr>
            <w:tcW w:w="0" w:type="auto"/>
            <w:tcMar>
              <w:top w:w="60" w:type="dxa"/>
              <w:left w:w="135" w:type="dxa"/>
              <w:bottom w:w="60" w:type="dxa"/>
              <w:right w:w="135" w:type="dxa"/>
            </w:tcMar>
            <w:vAlign w:val="center"/>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Strombo gigante</w:t>
            </w:r>
            <w:r>
              <w:rPr>
                <w:noProof/>
                <w:color w:val="000000" w:themeColor="text1"/>
                <w:sz w:val="20"/>
              </w:rPr>
              <w:t xml:space="preserve"> (</w:t>
            </w:r>
            <w:r>
              <w:rPr>
                <w:i/>
                <w:noProof/>
                <w:color w:val="000000" w:themeColor="text1"/>
                <w:sz w:val="20"/>
              </w:rPr>
              <w:t>Strombus gigas</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w:t>
            </w:r>
            <w:r>
              <w:rPr>
                <w:b/>
                <w:noProof/>
                <w:color w:val="000000" w:themeColor="text1"/>
                <w:sz w:val="20"/>
              </w:rPr>
              <w:t>aiga</w:t>
            </w:r>
            <w:r>
              <w:rPr>
                <w:noProof/>
                <w:color w:val="000000" w:themeColor="text1"/>
                <w:sz w:val="20"/>
              </w:rPr>
              <w:t xml:space="preserve"> (</w:t>
            </w:r>
            <w:r>
              <w:rPr>
                <w:i/>
                <w:noProof/>
                <w:color w:val="000000" w:themeColor="text1"/>
                <w:sz w:val="20"/>
              </w:rPr>
              <w:t xml:space="preserve">Saiga </w:t>
            </w:r>
            <w:r>
              <w:rPr>
                <w:noProof/>
                <w:color w:val="000000" w:themeColor="text1"/>
                <w:sz w:val="20"/>
              </w:rPr>
              <w:t xml:space="preserve">spp.) </w:t>
            </w:r>
            <w:r>
              <w:rPr>
                <w:rFonts w:eastAsia="Times New Roman"/>
                <w:noProof/>
                <w:color w:val="000000" w:themeColor="text1"/>
                <w:sz w:val="20"/>
                <w:szCs w:val="20"/>
              </w:rPr>
              <w:br/>
            </w:r>
            <w:r>
              <w:rPr>
                <w:noProof/>
                <w:color w:val="000000" w:themeColor="text1"/>
                <w:sz w:val="20"/>
                <w:u w:val="single"/>
              </w:rPr>
              <w:t>Doc. 86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rPr>
              <w:t xml:space="preserve">Sostenere il documento che è basato sul risultato delle discussioni in seno al comitato permanente ed è rivolto agli Stati dell'area di distribuzione della saiga per migliorare la gestione delle scorte di parti e prodotti derivati dalla specie, per potenziare le loro capacità di far fronte al commercio illegale e incrementare gli sforzi di conservazione in situ ed ex situ; sostenere la proposta del Segretariato di coinvolgere il comitato "Animali” nell'attuazione di una decisione. Le decisioni potrebbero richiedere alcune modifiche a seconda del risultato convenuto sull'inserimento dell'intero genere </w:t>
            </w:r>
            <w:r>
              <w:rPr>
                <w:i/>
                <w:noProof/>
                <w:color w:val="000000" w:themeColor="text1"/>
                <w:sz w:val="20"/>
              </w:rPr>
              <w:t>Saiga</w:t>
            </w:r>
            <w:r>
              <w:rPr>
                <w:noProof/>
                <w:color w:val="000000" w:themeColor="text1"/>
                <w:sz w:val="20"/>
              </w:rPr>
              <w:t xml:space="preserve"> spp. nell'appendice I.</w:t>
            </w:r>
          </w:p>
          <w:p>
            <w:pPr>
              <w:spacing w:before="0" w:after="0"/>
              <w:jc w:val="left"/>
              <w:rPr>
                <w:rFonts w:eastAsia="Times New Roman"/>
                <w:noProof/>
                <w:color w:val="000000" w:themeColor="text1"/>
                <w:sz w:val="20"/>
                <w:szCs w:val="20"/>
              </w:rPr>
            </w:pPr>
            <w:r>
              <w:rPr>
                <w:noProof/>
                <w:color w:val="000000" w:themeColor="text1"/>
                <w:sz w:val="20"/>
              </w:rPr>
              <w:t>Considerare se alcuni elementi delle decisioni 17.268, 17.269 e 17.270 dovrebbero essere mantenuti.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Conservazione della </w:t>
            </w:r>
            <w:r>
              <w:rPr>
                <w:b/>
                <w:noProof/>
                <w:color w:val="000000" w:themeColor="text1"/>
                <w:sz w:val="20"/>
              </w:rPr>
              <w:t>rana gigante del Lago Titicaca</w:t>
            </w:r>
            <w:r>
              <w:rPr>
                <w:noProof/>
                <w:color w:val="000000" w:themeColor="text1"/>
                <w:sz w:val="20"/>
              </w:rPr>
              <w:t xml:space="preserve"> (</w:t>
            </w:r>
            <w:r>
              <w:rPr>
                <w:i/>
                <w:noProof/>
                <w:color w:val="000000" w:themeColor="text1"/>
                <w:sz w:val="20"/>
              </w:rPr>
              <w:t>Telmatobius culeus</w:t>
            </w:r>
            <w:r>
              <w:rPr>
                <w:noProof/>
                <w:color w:val="000000" w:themeColor="text1"/>
                <w:sz w:val="20"/>
              </w:rPr>
              <w:t>)</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88.</w:t>
            </w:r>
          </w:p>
        </w:tc>
        <w:tc>
          <w:tcPr>
            <w:tcW w:w="0" w:type="auto"/>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Tartarughe di terra</w:t>
            </w:r>
            <w:r>
              <w:rPr>
                <w:noProof/>
                <w:color w:val="000000" w:themeColor="text1"/>
                <w:sz w:val="20"/>
              </w:rPr>
              <w:t xml:space="preserve"> e tartarughe di acqua dolce (</w:t>
            </w:r>
            <w:r>
              <w:rPr>
                <w:i/>
                <w:noProof/>
                <w:color w:val="000000" w:themeColor="text1"/>
                <w:sz w:val="20"/>
              </w:rPr>
              <w:t>Testudines</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Doc. 88 della COP 18</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 Seg.</w:t>
            </w:r>
          </w:p>
        </w:tc>
        <w:tc>
          <w:tcPr>
            <w:tcW w:w="0" w:type="auto"/>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Sostenere in linea generale il progetto di revisione della risoluzione Conf. 11.9 sulla </w:t>
            </w:r>
            <w:r>
              <w:rPr>
                <w:i/>
                <w:noProof/>
                <w:color w:val="000000" w:themeColor="text1"/>
                <w:sz w:val="20"/>
              </w:rPr>
              <w:t xml:space="preserve">conservazione e sul commercio di tartarughe di terra e tartarughe di acqua dolce </w:t>
            </w:r>
            <w:r>
              <w:rPr>
                <w:noProof/>
                <w:color w:val="000000" w:themeColor="text1"/>
                <w:sz w:val="20"/>
              </w:rPr>
              <w:t>e i progetti di decisione proposti dal Segretariato; considerare la necessità di concentrare il lavoro futuro sulle necessità pratiche.</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89.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Totoaba</w:t>
            </w:r>
            <w:r>
              <w:rPr>
                <w:noProof/>
                <w:color w:val="000000" w:themeColor="text1"/>
                <w:sz w:val="20"/>
              </w:rPr>
              <w:t xml:space="preserve"> (</w:t>
            </w:r>
            <w:r>
              <w:rPr>
                <w:i/>
                <w:noProof/>
                <w:color w:val="000000" w:themeColor="text1"/>
                <w:sz w:val="20"/>
              </w:rPr>
              <w:t>Totoaba macdonaldi</w:t>
            </w:r>
            <w:r>
              <w:rPr>
                <w:noProof/>
                <w:color w:val="000000" w:themeColor="text1"/>
                <w:sz w:val="20"/>
              </w:rPr>
              <w:t xml:space="preserve">) </w:t>
            </w:r>
            <w:r>
              <w:rPr>
                <w:noProof/>
                <w:color w:val="000000" w:themeColor="text1"/>
                <w:sz w:val="20"/>
              </w:rPr>
              <w:br/>
            </w:r>
            <w:r>
              <w:rPr>
                <w:noProof/>
                <w:color w:val="000000" w:themeColor="text1"/>
                <w:sz w:val="20"/>
                <w:u w:val="single"/>
              </w:rPr>
              <w:t>Doc. 89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sull'ulteriore raccolta di informazione dalle parti; misure di sensibilizzazione e attuazione; studio sulla vaquita e sul totoaba (programma concordato dal CP) che deve essere effettuato dal Seg.</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Tursiope troncato</w:t>
            </w:r>
            <w:r>
              <w:rPr>
                <w:noProof/>
                <w:color w:val="000000" w:themeColor="text1"/>
                <w:sz w:val="20"/>
              </w:rPr>
              <w:t xml:space="preserve"> </w:t>
            </w:r>
            <w:r>
              <w:rPr>
                <w:b/>
                <w:noProof/>
                <w:color w:val="000000" w:themeColor="text1"/>
                <w:sz w:val="20"/>
              </w:rPr>
              <w:t>del mar Nero</w:t>
            </w:r>
            <w:r>
              <w:rPr>
                <w:noProof/>
                <w:color w:val="000000" w:themeColor="text1"/>
                <w:sz w:val="20"/>
              </w:rPr>
              <w:t xml:space="preserve"> (</w:t>
            </w:r>
            <w:r>
              <w:rPr>
                <w:i/>
                <w:noProof/>
                <w:color w:val="000000" w:themeColor="text1"/>
                <w:sz w:val="20"/>
              </w:rPr>
              <w:t>Tursiops truncatus ponticus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90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il progetto di decisione che prevede una collaborazione tra il Segretariato e ACCOBAMS.</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Conservazione della </w:t>
            </w:r>
            <w:r>
              <w:rPr>
                <w:b/>
                <w:noProof/>
                <w:color w:val="000000" w:themeColor="text1"/>
                <w:sz w:val="20"/>
              </w:rPr>
              <w:t>vigogna</w:t>
            </w:r>
            <w:r>
              <w:rPr>
                <w:noProof/>
                <w:color w:val="000000" w:themeColor="text1"/>
                <w:sz w:val="20"/>
              </w:rPr>
              <w:t xml:space="preserve"> (</w:t>
            </w:r>
            <w:r>
              <w:rPr>
                <w:i/>
                <w:noProof/>
                <w:color w:val="000000" w:themeColor="text1"/>
                <w:sz w:val="20"/>
              </w:rPr>
              <w:t>Vicugna vicugna</w:t>
            </w:r>
            <w:r>
              <w:rPr>
                <w:noProof/>
                <w:color w:val="000000" w:themeColor="text1"/>
                <w:sz w:val="20"/>
              </w:rPr>
              <w:t>) e commercio delle sue fibre e prodotti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AR</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Sostenere in linea generale il progetto di risoluzione sulla conservazione della vigogna e il commercio delle sue fibre e prodotti; il documento è stato preparato in conformità con la convenzione per la conservazione e la gestione della vigogna. Sono necessarie ulteriori discussioni sul formato e sulla formulazione del testo. </w:t>
            </w:r>
            <w:r>
              <w:rPr>
                <w:i/>
                <w:noProof/>
                <w:color w:val="000000" w:themeColor="text1"/>
                <w:sz w:val="20"/>
              </w:rPr>
              <w:t>Considerare congiuntamente con n. 53.</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Specie elencate nell'</w:t>
            </w:r>
            <w:r>
              <w:rPr>
                <w:b/>
                <w:noProof/>
                <w:color w:val="000000" w:themeColor="text1"/>
                <w:sz w:val="20"/>
              </w:rPr>
              <w:t>appendice 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92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 CA, 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l'abolizione delle decisioni da 17.22 a 17.25. Sostenere l'adozione.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93.</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Specie </w:t>
            </w:r>
            <w:r>
              <w:rPr>
                <w:b/>
                <w:noProof/>
                <w:color w:val="000000" w:themeColor="text1"/>
                <w:sz w:val="20"/>
              </w:rPr>
              <w:t>arboree del Neotropico</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93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l'adozione dei progetti di decisione.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Gestione della conservazione e commercio di </w:t>
            </w:r>
            <w:r>
              <w:rPr>
                <w:b/>
                <w:noProof/>
                <w:color w:val="000000" w:themeColor="text1"/>
                <w:sz w:val="20"/>
              </w:rPr>
              <w:t>pesci marini ornamentali</w:t>
            </w:r>
            <w:r>
              <w:rPr>
                <w:noProof/>
                <w:color w:val="000000" w:themeColor="text1"/>
                <w:sz w:val="20"/>
              </w:rPr>
              <w:t xml:space="preserve"> </w:t>
            </w:r>
            <w:r>
              <w:rPr>
                <w:noProof/>
                <w:color w:val="000000" w:themeColor="text1"/>
                <w:sz w:val="20"/>
              </w:rPr>
              <w:br/>
            </w:r>
            <w:r>
              <w:rPr>
                <w:noProof/>
                <w:color w:val="000000" w:themeColor="text1"/>
                <w:sz w:val="20"/>
                <w:u w:val="single"/>
              </w:rPr>
              <w:t>Doc. 94 della COP 18</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CH, US, UE</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i progetti di decisione (co-proposti dall'UE)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95.</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Materiali di orientamento, attività e strumenti volti a potenziare la capacità delle parti di regolamentare il commercio della </w:t>
            </w:r>
            <w:r>
              <w:rPr>
                <w:b/>
                <w:noProof/>
                <w:color w:val="000000" w:themeColor="text1"/>
                <w:sz w:val="20"/>
              </w:rPr>
              <w:t>selvaggina</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b/>
                <w:noProof/>
                <w:color w:val="000000" w:themeColor="text1"/>
                <w:sz w:val="20"/>
                <w:szCs w:val="20"/>
              </w:rPr>
            </w:pPr>
            <w:r>
              <w:rPr>
                <w:b/>
                <w:noProof/>
                <w:color w:val="000000" w:themeColor="text1"/>
                <w:sz w:val="20"/>
              </w:rPr>
              <w:t>Iniziativa per i carnivori africani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Gestione della conservazione e commercio dell'</w:t>
            </w:r>
            <w:r>
              <w:rPr>
                <w:b/>
                <w:noProof/>
                <w:color w:val="000000" w:themeColor="text1"/>
                <w:sz w:val="20"/>
              </w:rPr>
              <w:t>avvoltoio</w:t>
            </w:r>
            <w:r>
              <w:rPr>
                <w:noProof/>
                <w:color w:val="000000" w:themeColor="text1"/>
                <w:sz w:val="20"/>
              </w:rPr>
              <w:t xml:space="preserve"> dell'Africa occidentale </w:t>
            </w:r>
            <w:r>
              <w:rPr>
                <w:rFonts w:eastAsia="Times New Roman"/>
                <w:noProof/>
                <w:color w:val="000000" w:themeColor="text1"/>
                <w:sz w:val="20"/>
                <w:szCs w:val="20"/>
              </w:rPr>
              <w:br/>
            </w:r>
            <w:r>
              <w:rPr>
                <w:noProof/>
                <w:color w:val="000000" w:themeColor="text1"/>
                <w:sz w:val="20"/>
                <w:u w:val="single"/>
              </w:rPr>
              <w:t>Doc. 97 della COP 18</w:t>
            </w:r>
          </w:p>
        </w:tc>
        <w:tc>
          <w:tcPr>
            <w:tcW w:w="0" w:type="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BF, NE, SN</w:t>
            </w:r>
          </w:p>
        </w:tc>
        <w:tc>
          <w:tcPr>
            <w:tcW w:w="0" w:type="auto"/>
            <w:tcMar>
              <w:top w:w="60" w:type="dxa"/>
              <w:left w:w="135" w:type="dxa"/>
              <w:bottom w:w="60" w:type="dxa"/>
              <w:right w:w="135" w:type="dxa"/>
            </w:tcMar>
            <w:vAlign w:val="center"/>
          </w:tcPr>
          <w:p>
            <w:pPr>
              <w:spacing w:before="0" w:after="0"/>
              <w:jc w:val="left"/>
              <w:rPr>
                <w:noProof/>
                <w:color w:val="000000" w:themeColor="text1"/>
                <w:sz w:val="20"/>
                <w:szCs w:val="20"/>
              </w:rPr>
            </w:pPr>
            <w:r>
              <w:rPr>
                <w:noProof/>
                <w:color w:val="000000" w:themeColor="text1"/>
                <w:sz w:val="20"/>
              </w:rPr>
              <w:t xml:space="preserve">Sostenere la serie di decisioni che promuoveranno le sinergie con la convenzione sulla conservazione delle specie migratrici. È molto importante fare fronte all'avvelenamento illegale e al commercio su basi religiose e vi sono forti legami tra il bracconaggio degli elefanti/rinoceronti e gli episodi di avvelenamento degli avvoltoi. Una delle specie trattate nel documento, il capovaccaio, si riproduce regolarmente nell'UE e sverna in Africa. </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trPr>
          <w:cantSplit/>
        </w:trPr>
        <w:tc>
          <w:tcPr>
            <w:tcW w:w="0" w:type="auto"/>
            <w:gridSpan w:val="5"/>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u w:val="single"/>
              </w:rPr>
              <w:t>Modifica delle appendici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98.</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Riserve</w:t>
            </w:r>
            <w:r>
              <w:rPr>
                <w:noProof/>
                <w:color w:val="000000" w:themeColor="text1"/>
                <w:sz w:val="20"/>
              </w:rPr>
              <w:t xml:space="preserve"> per quanto riguarda le modifiche delle appendici I e II </w:t>
            </w:r>
            <w:r>
              <w:rPr>
                <w:noProof/>
                <w:color w:val="000000" w:themeColor="text1"/>
                <w:sz w:val="20"/>
              </w:rPr>
              <w:br/>
            </w:r>
            <w:r>
              <w:rPr>
                <w:noProof/>
                <w:color w:val="000000" w:themeColor="text1"/>
                <w:sz w:val="20"/>
                <w:u w:val="single"/>
              </w:rPr>
              <w:t>Doc. 98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Seg.</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 xml:space="preserve">Sostenere le modifiche proposte della risoluzione Conf. 4.25 sulle </w:t>
            </w:r>
            <w:r>
              <w:rPr>
                <w:i/>
                <w:noProof/>
                <w:color w:val="000000" w:themeColor="text1"/>
                <w:sz w:val="20"/>
              </w:rPr>
              <w:t>riserve,</w:t>
            </w:r>
            <w:r>
              <w:rPr>
                <w:noProof/>
                <w:color w:val="000000" w:themeColor="text1"/>
                <w:sz w:val="20"/>
              </w:rPr>
              <w:t xml:space="preserve"> per confermare il termine di 90 giorni per le riserve relative all'inclusione nelle appendici I e II e chiarire quando il ritiro della riserva diventa effettivo.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99.</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Nomenclatura</w:t>
            </w:r>
            <w:r>
              <w:rPr>
                <w:noProof/>
                <w:color w:val="000000" w:themeColor="text1"/>
                <w:sz w:val="20"/>
              </w:rPr>
              <w:t xml:space="preserve"> normalizzata</w:t>
            </w:r>
            <w:r>
              <w:rPr>
                <w:rFonts w:eastAsia="Times New Roman"/>
                <w:noProof/>
                <w:color w:val="000000" w:themeColor="text1"/>
                <w:sz w:val="20"/>
                <w:szCs w:val="20"/>
              </w:rPr>
              <w:br/>
            </w:r>
            <w:r>
              <w:rPr>
                <w:noProof/>
                <w:color w:val="000000" w:themeColor="text1"/>
                <w:sz w:val="20"/>
                <w:u w:val="single"/>
              </w:rPr>
              <w:t>Doc. 99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CA, CP, Seg.</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le proposte di modifica dell'allegato della risoluzione Conf. 12.11 e dei relativi progetti di decisione.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Allegato 5: proposte di nuove opere di riferimento della CITES per la nomenclatura degli uccelli (classe Aves) </w:t>
            </w:r>
            <w:r>
              <w:rPr>
                <w:rFonts w:eastAsia="Times New Roman"/>
                <w:noProof/>
                <w:color w:val="000000" w:themeColor="text1"/>
                <w:sz w:val="20"/>
                <w:szCs w:val="20"/>
              </w:rPr>
              <w:br/>
            </w:r>
            <w:r>
              <w:rPr>
                <w:noProof/>
                <w:color w:val="000000" w:themeColor="text1"/>
                <w:sz w:val="20"/>
                <w:u w:val="single"/>
              </w:rPr>
              <w:t>Doc. 99 A5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Prendere nota della relazione del consulente sulle opere di riferimento per la nomenclatura degli uccelli.</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gridSpan w:val="4"/>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xml:space="preserve">Allegato 6: proposte di modifica della letteratura pubblicata sulla nomenclatura delle specie animali che figurano negli elenchi CITES, per cui il comitato "Animali", al momento della presentazione dei documenti della COP 18, non ha ancora formulato una raccomandazione sull'adozione o sul rigetto ai fini della CITES </w:t>
            </w:r>
            <w:r>
              <w:rPr>
                <w:rFonts w:eastAsia="Times New Roman"/>
                <w:noProof/>
                <w:color w:val="000000" w:themeColor="text1"/>
                <w:sz w:val="20"/>
                <w:szCs w:val="20"/>
              </w:rPr>
              <w:br/>
            </w:r>
            <w:r>
              <w:rPr>
                <w:noProof/>
                <w:color w:val="000000" w:themeColor="text1"/>
                <w:sz w:val="20"/>
                <w:u w:val="single"/>
              </w:rPr>
              <w:t>Doc. 99 A6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tcPr>
          <w:p>
            <w:pPr>
              <w:spacing w:before="0" w:after="0" w:line="240" w:lineRule="atLeast"/>
              <w:jc w:val="lef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100.</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Inserimento di specie nell'</w:t>
            </w:r>
            <w:r>
              <w:rPr>
                <w:b/>
                <w:noProof/>
                <w:color w:val="000000" w:themeColor="text1"/>
                <w:sz w:val="20"/>
              </w:rPr>
              <w:t>appendice III</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tcPr>
          <w:p>
            <w:pPr>
              <w:spacing w:before="0" w:after="0"/>
              <w:jc w:val="left"/>
              <w:rPr>
                <w:rFonts w:eastAsia="Times New Roman"/>
                <w:i/>
                <w:noProof/>
                <w:color w:val="000000" w:themeColor="text1"/>
                <w:sz w:val="20"/>
                <w:szCs w:val="20"/>
              </w:rPr>
            </w:pPr>
            <w:r>
              <w:rPr>
                <w:i/>
                <w:noProof/>
                <w:color w:val="000000" w:themeColor="text1"/>
                <w:sz w:val="20"/>
              </w:rPr>
              <w:t>Documento non ancora disponibile al 1º marzo</w:t>
            </w:r>
          </w:p>
        </w:tc>
        <w:tc>
          <w:tcPr>
            <w:tcW w:w="0" w:type="auto"/>
            <w:tcMar>
              <w:top w:w="60" w:type="dxa"/>
              <w:left w:w="135" w:type="dxa"/>
              <w:bottom w:w="60" w:type="dxa"/>
              <w:right w:w="135" w:type="dxa"/>
            </w:tcMar>
            <w:vAlign w:val="center"/>
            <w:hideMark/>
          </w:tcPr>
          <w:p>
            <w:pPr>
              <w:spacing w:before="0" w:after="0" w:line="240" w:lineRule="atLeast"/>
              <w:rPr>
                <w:rFonts w:eastAsia="Times New Roman"/>
                <w:b/>
                <w:noProof/>
                <w:color w:val="000000" w:themeColor="text1"/>
                <w:sz w:val="20"/>
                <w:szCs w:val="20"/>
              </w:rPr>
            </w:pPr>
            <w:r>
              <w:rPr>
                <w:b/>
                <w:noProof/>
                <w:color w:val="000000" w:themeColor="text1"/>
                <w:sz w:val="20"/>
              </w:rPr>
              <w:t> </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101.</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b/>
                <w:noProof/>
                <w:color w:val="000000" w:themeColor="text1"/>
                <w:sz w:val="20"/>
              </w:rPr>
              <w:t>Annotazioni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Doc. 101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proposta di modifica della risoluzione Conf. 11.21 (Rev. CoP17), la revisione del paragrafo 7 della sezione d'interpretazione delle appendici della CITES e i progetti di decisione di cui all'allegato 4. Sostenere le modifiche proposte della decisione 16.162 (Rev. CoP17), ma rimanere disposti a eventuali modifiche in base al risultato dell'annotazione #15.</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102.</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Annotazioni per le </w:t>
            </w:r>
            <w:r>
              <w:rPr>
                <w:b/>
                <w:noProof/>
                <w:color w:val="000000" w:themeColor="text1"/>
                <w:sz w:val="20"/>
              </w:rPr>
              <w:t>orchidee</w:t>
            </w:r>
            <w:r>
              <w:rPr>
                <w:noProof/>
                <w:color w:val="000000" w:themeColor="text1"/>
                <w:sz w:val="20"/>
              </w:rPr>
              <w:t xml:space="preserve"> che figurano nell'appendice II </w:t>
            </w:r>
            <w:r>
              <w:rPr>
                <w:noProof/>
                <w:color w:val="000000" w:themeColor="text1"/>
                <w:sz w:val="20"/>
              </w:rPr>
              <w:br/>
            </w:r>
            <w:r>
              <w:rPr>
                <w:noProof/>
                <w:color w:val="000000" w:themeColor="text1"/>
                <w:sz w:val="20"/>
                <w:u w:val="single"/>
              </w:rPr>
              <w:t>Doc. 102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bozza di definizione del termine "cosmetici" e l'adozione dei progetti di decisione.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Pr>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103.</w:t>
            </w:r>
          </w:p>
        </w:tc>
        <w:tc>
          <w:tcPr>
            <w:tcW w:w="0" w:type="auto"/>
            <w:gridSpan w:val="4"/>
            <w:shd w:val="clear" w:color="auto" w:fill="auto"/>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 xml:space="preserve">Linee guida per la </w:t>
            </w:r>
            <w:r>
              <w:rPr>
                <w:b/>
                <w:noProof/>
                <w:color w:val="000000" w:themeColor="text1"/>
                <w:sz w:val="20"/>
              </w:rPr>
              <w:t>pubblicazione</w:t>
            </w:r>
            <w:r>
              <w:rPr>
                <w:noProof/>
                <w:color w:val="000000" w:themeColor="text1"/>
                <w:sz w:val="20"/>
              </w:rPr>
              <w:t xml:space="preserve"> delle appendici </w:t>
            </w:r>
            <w:r>
              <w:rPr>
                <w:rFonts w:eastAsia="Times New Roman"/>
                <w:noProof/>
                <w:color w:val="000000" w:themeColor="text1"/>
                <w:sz w:val="20"/>
                <w:szCs w:val="20"/>
              </w:rPr>
              <w:br/>
            </w:r>
            <w:r>
              <w:rPr>
                <w:noProof/>
                <w:color w:val="000000" w:themeColor="text1"/>
                <w:sz w:val="20"/>
                <w:u w:val="single"/>
              </w:rPr>
              <w:t>Doc. 103 della COP 18</w:t>
            </w:r>
          </w:p>
        </w:tc>
        <w:tc>
          <w:tcPr>
            <w:tcW w:w="0" w:type="auto"/>
            <w:shd w:val="clear" w:color="auto" w:fill="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AC</w:t>
            </w:r>
          </w:p>
        </w:tc>
        <w:tc>
          <w:tcPr>
            <w:tcW w:w="0" w:type="auto"/>
            <w:shd w:val="clear" w:color="auto" w:fill="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Considerare la necessità delle linee guida proposte sulle annotazioni, anche alla luce delle future osservazioni del Seg.</w:t>
            </w:r>
          </w:p>
        </w:tc>
        <w:tc>
          <w:tcPr>
            <w:tcW w:w="0" w:type="auto"/>
            <w:shd w:val="clear" w:color="auto" w:fill="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104.</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Riesame della risoluzione Conf. 10.9 sull'esame</w:t>
            </w:r>
            <w:r>
              <w:rPr>
                <w:i/>
                <w:noProof/>
                <w:color w:val="000000" w:themeColor="text1"/>
                <w:sz w:val="20"/>
              </w:rPr>
              <w:t xml:space="preserve"> delle proposte riguardanti il trasferimento di </w:t>
            </w:r>
            <w:r>
              <w:rPr>
                <w:b/>
                <w:i/>
                <w:noProof/>
                <w:color w:val="000000" w:themeColor="text1"/>
                <w:sz w:val="20"/>
              </w:rPr>
              <w:t>popolazioni di elefanti dall'appendice I all'appendice II</w:t>
            </w:r>
            <w:r>
              <w:rPr>
                <w:rFonts w:eastAsia="Times New Roman"/>
                <w:i/>
                <w:iCs/>
                <w:noProof/>
                <w:color w:val="000000" w:themeColor="text1"/>
                <w:sz w:val="20"/>
                <w:szCs w:val="20"/>
              </w:rPr>
              <w:br/>
            </w:r>
            <w:r>
              <w:rPr>
                <w:noProof/>
                <w:color w:val="000000" w:themeColor="text1"/>
                <w:sz w:val="20"/>
                <w:u w:val="single"/>
              </w:rPr>
              <w:t>Doc. 104 della COP 18</w:t>
            </w:r>
          </w:p>
        </w:tc>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CP</w:t>
            </w:r>
          </w:p>
        </w:tc>
        <w:tc>
          <w:tcPr>
            <w:tcW w:w="0" w:type="auto"/>
            <w:tcMar>
              <w:top w:w="60" w:type="dxa"/>
              <w:left w:w="135" w:type="dxa"/>
              <w:bottom w:w="60" w:type="dxa"/>
              <w:right w:w="135" w:type="dxa"/>
            </w:tcMar>
            <w:vAlign w:val="center"/>
          </w:tcPr>
          <w:p>
            <w:pPr>
              <w:spacing w:before="0" w:after="0"/>
              <w:jc w:val="left"/>
              <w:rPr>
                <w:rFonts w:eastAsia="Times New Roman"/>
                <w:noProof/>
                <w:color w:val="000000" w:themeColor="text1"/>
                <w:sz w:val="20"/>
                <w:szCs w:val="20"/>
              </w:rPr>
            </w:pPr>
            <w:r>
              <w:rPr>
                <w:noProof/>
                <w:color w:val="000000" w:themeColor="text1"/>
                <w:sz w:val="20"/>
              </w:rPr>
              <w:t>Sostenere la proposta di abrogazione della risoluzione e l'abolizione della relativa decisione.</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trPr>
          <w:cantSplit/>
          <w:trHeight w:val="326"/>
        </w:trPr>
        <w:tc>
          <w:tcPr>
            <w:tcW w:w="0" w:type="auto"/>
            <w:gridSpan w:val="8"/>
            <w:tcMar>
              <w:top w:w="60" w:type="dxa"/>
              <w:left w:w="135" w:type="dxa"/>
              <w:bottom w:w="60" w:type="dxa"/>
              <w:right w:w="135" w:type="dxa"/>
            </w:tcMar>
            <w:hideMark/>
          </w:tcPr>
          <w:p>
            <w:pPr>
              <w:keepNext/>
              <w:spacing w:before="0" w:after="0"/>
              <w:jc w:val="left"/>
              <w:rPr>
                <w:rFonts w:eastAsia="Times New Roman"/>
                <w:b/>
                <w:bCs/>
                <w:noProof/>
                <w:color w:val="000000" w:themeColor="text1"/>
                <w:sz w:val="20"/>
                <w:szCs w:val="20"/>
              </w:rPr>
            </w:pPr>
            <w:r>
              <w:rPr>
                <w:b/>
                <w:noProof/>
                <w:color w:val="000000" w:themeColor="text1"/>
                <w:sz w:val="20"/>
              </w:rPr>
              <w:t>Proposte di modifica delle appendici</w:t>
            </w:r>
          </w:p>
        </w:tc>
      </w:tr>
      <w:tr>
        <w:trPr>
          <w:cantSplit/>
        </w:trPr>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105.</w:t>
            </w:r>
          </w:p>
        </w:tc>
        <w:tc>
          <w:tcPr>
            <w:tcW w:w="0" w:type="auto"/>
            <w:gridSpan w:val="4"/>
            <w:tcMar>
              <w:top w:w="60" w:type="dxa"/>
              <w:left w:w="135" w:type="dxa"/>
              <w:bottom w:w="60" w:type="dxa"/>
              <w:right w:w="135" w:type="dxa"/>
            </w:tcMar>
            <w:vAlign w:val="center"/>
            <w:hideMark/>
          </w:tcPr>
          <w:p>
            <w:pPr>
              <w:keepNext/>
              <w:spacing w:before="0" w:after="0" w:line="240" w:lineRule="atLeast"/>
              <w:jc w:val="left"/>
              <w:rPr>
                <w:rFonts w:eastAsia="Times New Roman"/>
                <w:noProof/>
                <w:color w:val="000000" w:themeColor="text1"/>
                <w:sz w:val="20"/>
                <w:szCs w:val="20"/>
              </w:rPr>
            </w:pPr>
            <w:r>
              <w:rPr>
                <w:noProof/>
                <w:color w:val="000000" w:themeColor="text1"/>
                <w:sz w:val="20"/>
              </w:rPr>
              <w:t>Proposte di modifica delle appendici I e II</w:t>
            </w:r>
          </w:p>
        </w:tc>
        <w:tc>
          <w:tcPr>
            <w:tcW w:w="0" w:type="auto"/>
            <w:tcMar>
              <w:top w:w="60" w:type="dxa"/>
              <w:left w:w="135" w:type="dxa"/>
              <w:bottom w:w="60" w:type="dxa"/>
              <w:right w:w="135" w:type="dxa"/>
            </w:tcMar>
            <w:vAlign w:val="center"/>
            <w:hideMark/>
          </w:tcPr>
          <w:p>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0" w:type="auto"/>
            <w:tcMar>
              <w:top w:w="60" w:type="dxa"/>
              <w:left w:w="135" w:type="dxa"/>
              <w:bottom w:w="60" w:type="dxa"/>
              <w:right w:w="135" w:type="dxa"/>
            </w:tcMar>
            <w:vAlign w:val="center"/>
            <w:hideMark/>
          </w:tcPr>
          <w:p>
            <w:pPr>
              <w:keepNext/>
              <w:spacing w:before="0" w:after="0"/>
              <w:jc w:val="left"/>
              <w:rPr>
                <w:rFonts w:eastAsia="Times New Roman"/>
                <w:i/>
                <w:noProof/>
                <w:color w:val="000000" w:themeColor="text1"/>
                <w:sz w:val="20"/>
                <w:szCs w:val="20"/>
              </w:rPr>
            </w:pPr>
            <w:r>
              <w:rPr>
                <w:i/>
                <w:noProof/>
                <w:color w:val="000000" w:themeColor="text1"/>
                <w:sz w:val="20"/>
              </w:rPr>
              <w:t>Le proposte di inserimento nelle appendici sono trattate nella parte 2 del presente documento qui di seguito.</w:t>
            </w:r>
          </w:p>
        </w:tc>
        <w:tc>
          <w:tcPr>
            <w:tcW w:w="0" w:type="auto"/>
            <w:tcMar>
              <w:top w:w="60" w:type="dxa"/>
              <w:left w:w="135" w:type="dxa"/>
              <w:bottom w:w="60" w:type="dxa"/>
              <w:right w:w="135" w:type="dxa"/>
            </w:tcMar>
            <w:vAlign w:val="center"/>
            <w:hideMark/>
          </w:tcPr>
          <w:p>
            <w:pPr>
              <w:keepNext/>
              <w:spacing w:before="0" w:after="0" w:line="240" w:lineRule="atLeast"/>
              <w:jc w:val="center"/>
              <w:rPr>
                <w:rFonts w:eastAsia="Times New Roman"/>
                <w:b/>
                <w:noProof/>
                <w:color w:val="000000" w:themeColor="text1"/>
                <w:sz w:val="20"/>
                <w:szCs w:val="20"/>
              </w:rPr>
            </w:pPr>
          </w:p>
        </w:tc>
      </w:tr>
      <w:tr>
        <w:trPr>
          <w:cantSplit/>
        </w:trPr>
        <w:tc>
          <w:tcPr>
            <w:tcW w:w="0" w:type="auto"/>
            <w:gridSpan w:val="8"/>
            <w:tcMar>
              <w:top w:w="60" w:type="dxa"/>
              <w:left w:w="135" w:type="dxa"/>
              <w:bottom w:w="60" w:type="dxa"/>
              <w:right w:w="135" w:type="dxa"/>
            </w:tcMar>
            <w:hideMark/>
          </w:tcPr>
          <w:p>
            <w:pPr>
              <w:keepNext/>
              <w:spacing w:before="0" w:after="0"/>
              <w:jc w:val="left"/>
              <w:rPr>
                <w:rFonts w:eastAsia="Times New Roman"/>
                <w:b/>
                <w:bCs/>
                <w:noProof/>
                <w:color w:val="000000" w:themeColor="text1"/>
                <w:sz w:val="20"/>
                <w:szCs w:val="20"/>
              </w:rPr>
            </w:pPr>
            <w:r>
              <w:rPr>
                <w:b/>
                <w:noProof/>
                <w:color w:val="000000" w:themeColor="text1"/>
                <w:sz w:val="20"/>
              </w:rPr>
              <w:t>Conclusione della riunione</w:t>
            </w: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106.</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Determinazione della data e del luogo della prossima riunione ordinaria della conferenza delle parti (nessun documento)</w:t>
            </w: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Nessun documento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r>
        <w:trPr>
          <w:cantSplit/>
        </w:trPr>
        <w:tc>
          <w:tcPr>
            <w:tcW w:w="0" w:type="auto"/>
            <w:tcMar>
              <w:top w:w="60" w:type="dxa"/>
              <w:left w:w="135" w:type="dxa"/>
              <w:bottom w:w="60" w:type="dxa"/>
              <w:right w:w="135" w:type="dxa"/>
            </w:tcMar>
            <w:vAlign w:val="center"/>
            <w:hideMark/>
          </w:tcPr>
          <w:p>
            <w:pPr>
              <w:spacing w:before="0" w:after="0" w:line="240" w:lineRule="atLeast"/>
              <w:rPr>
                <w:rFonts w:eastAsia="Times New Roman"/>
                <w:noProof/>
                <w:color w:val="000000" w:themeColor="text1"/>
                <w:sz w:val="20"/>
                <w:szCs w:val="20"/>
              </w:rPr>
            </w:pPr>
            <w:r>
              <w:rPr>
                <w:noProof/>
                <w:color w:val="000000" w:themeColor="text1"/>
                <w:sz w:val="20"/>
              </w:rPr>
              <w:t>107.</w:t>
            </w:r>
          </w:p>
        </w:tc>
        <w:tc>
          <w:tcPr>
            <w:tcW w:w="0" w:type="auto"/>
            <w:gridSpan w:val="4"/>
            <w:tcMar>
              <w:top w:w="60" w:type="dxa"/>
              <w:left w:w="135" w:type="dxa"/>
              <w:bottom w:w="60" w:type="dxa"/>
              <w:right w:w="135" w:type="dxa"/>
            </w:tcMar>
            <w:vAlign w:val="center"/>
            <w:hideMark/>
          </w:tcPr>
          <w:p>
            <w:pPr>
              <w:spacing w:before="0" w:after="0" w:line="240" w:lineRule="atLeast"/>
              <w:jc w:val="left"/>
              <w:rPr>
                <w:rFonts w:eastAsia="Times New Roman"/>
                <w:noProof/>
                <w:color w:val="000000" w:themeColor="text1"/>
                <w:sz w:val="20"/>
                <w:szCs w:val="20"/>
              </w:rPr>
            </w:pPr>
            <w:r>
              <w:rPr>
                <w:noProof/>
                <w:color w:val="000000" w:themeColor="text1"/>
                <w:sz w:val="20"/>
              </w:rPr>
              <w:t>Osservazioni conclusive (osservatori, parti, Segretario generale della CITES, governo ospitante) (nessun documento)</w:t>
            </w:r>
          </w:p>
        </w:tc>
        <w:tc>
          <w:tcPr>
            <w:tcW w:w="0" w:type="auto"/>
            <w:tcMar>
              <w:top w:w="60" w:type="dxa"/>
              <w:left w:w="135" w:type="dxa"/>
              <w:bottom w:w="60" w:type="dxa"/>
              <w:right w:w="135" w:type="dxa"/>
            </w:tcMar>
            <w:vAlign w:val="center"/>
          </w:tcPr>
          <w:p>
            <w:pPr>
              <w:spacing w:before="0" w:after="0" w:line="240" w:lineRule="atLeast"/>
              <w:rPr>
                <w:rFonts w:eastAsia="Times New Roman"/>
                <w:noProof/>
                <w:color w:val="000000" w:themeColor="text1"/>
                <w:sz w:val="20"/>
                <w:szCs w:val="20"/>
              </w:rPr>
            </w:pPr>
          </w:p>
        </w:tc>
        <w:tc>
          <w:tcPr>
            <w:tcW w:w="0" w:type="auto"/>
            <w:tcMar>
              <w:top w:w="60" w:type="dxa"/>
              <w:left w:w="135" w:type="dxa"/>
              <w:bottom w:w="60" w:type="dxa"/>
              <w:right w:w="135" w:type="dxa"/>
            </w:tcMar>
            <w:vAlign w:val="center"/>
            <w:hideMark/>
          </w:tcPr>
          <w:p>
            <w:pPr>
              <w:spacing w:before="0" w:after="0"/>
              <w:jc w:val="left"/>
              <w:rPr>
                <w:rFonts w:eastAsia="Times New Roman"/>
                <w:noProof/>
                <w:color w:val="000000" w:themeColor="text1"/>
                <w:sz w:val="20"/>
                <w:szCs w:val="20"/>
              </w:rPr>
            </w:pPr>
            <w:r>
              <w:rPr>
                <w:noProof/>
                <w:color w:val="000000" w:themeColor="text1"/>
                <w:sz w:val="20"/>
              </w:rPr>
              <w:t> Nessun documento</w:t>
            </w:r>
          </w:p>
        </w:tc>
        <w:tc>
          <w:tcPr>
            <w:tcW w:w="0" w:type="auto"/>
            <w:tcMar>
              <w:top w:w="60" w:type="dxa"/>
              <w:left w:w="135" w:type="dxa"/>
              <w:bottom w:w="60" w:type="dxa"/>
              <w:right w:w="135" w:type="dxa"/>
            </w:tcMar>
            <w:vAlign w:val="center"/>
            <w:hideMark/>
          </w:tcPr>
          <w:p>
            <w:pPr>
              <w:spacing w:before="0" w:after="0" w:line="240" w:lineRule="atLeast"/>
              <w:jc w:val="center"/>
              <w:rPr>
                <w:rFonts w:eastAsia="Times New Roman"/>
                <w:b/>
                <w:noProof/>
                <w:color w:val="000000" w:themeColor="text1"/>
                <w:sz w:val="20"/>
                <w:szCs w:val="20"/>
              </w:rPr>
            </w:pPr>
          </w:p>
        </w:tc>
      </w:tr>
    </w:tbl>
    <w:p>
      <w:pPr>
        <w:rPr>
          <w:noProof/>
          <w:color w:val="000000" w:themeColor="text1"/>
          <w:szCs w:val="24"/>
          <w:highlight w:val="yellow"/>
        </w:rPr>
      </w:pPr>
      <w:r>
        <w:rPr>
          <w:noProof/>
        </w:rPr>
        <w:br w:type="page"/>
      </w:r>
    </w:p>
    <w:p>
      <w:pPr>
        <w:pStyle w:val="Heading1"/>
        <w:numPr>
          <w:ilvl w:val="0"/>
          <w:numId w:val="9"/>
        </w:numPr>
        <w:rPr>
          <w:noProof/>
        </w:rPr>
      </w:pPr>
      <w:r>
        <w:rPr>
          <w:noProof/>
        </w:rPr>
        <w:t>Proposte di inserimento nelle appendici</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848"/>
        <w:gridCol w:w="2375"/>
        <w:gridCol w:w="1586"/>
        <w:gridCol w:w="2048"/>
        <w:gridCol w:w="1016"/>
      </w:tblGrid>
      <w:tr>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Taxon/Dettagli</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Proposta</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Proponente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Osservazioni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b/>
                <w:noProof/>
                <w:color w:val="000000" w:themeColor="text1"/>
                <w:sz w:val="20"/>
                <w:szCs w:val="20"/>
              </w:rPr>
            </w:pPr>
            <w:r>
              <w:rPr>
                <w:b/>
                <w:noProof/>
                <w:color w:val="000000" w:themeColor="text1"/>
                <w:sz w:val="20"/>
              </w:rPr>
              <w:t>Posizione</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Capra falconeri heptneri </w:t>
            </w:r>
            <w:r>
              <w:rPr>
                <w:rFonts w:eastAsia="Times New Roman"/>
                <w:i/>
                <w:iCs/>
                <w:noProof/>
                <w:color w:val="000000" w:themeColor="text1"/>
                <w:sz w:val="20"/>
                <w:szCs w:val="20"/>
              </w:rPr>
              <w:br/>
            </w:r>
            <w:r>
              <w:rPr>
                <w:rStyle w:val="Bodytext2"/>
                <w:noProof/>
                <w:color w:val="000000" w:themeColor="text1"/>
                <w:sz w:val="20"/>
              </w:rPr>
              <w:t>(Markhor di Bukhara)</w:t>
            </w:r>
            <w:r>
              <w:rPr>
                <w:rStyle w:val="Bodytext2"/>
                <w:noProof/>
                <w:color w:val="000000" w:themeColor="text1"/>
                <w:sz w:val="20"/>
                <w:szCs w:val="20"/>
              </w:rPr>
              <w:br/>
            </w:r>
            <w:r>
              <w:rPr>
                <w:noProof/>
                <w:color w:val="000000" w:themeColor="text1"/>
                <w:sz w:val="20"/>
              </w:rPr>
              <w:t>(popolazione del Tagikistan)</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Trasferimento della popolazione del Tagikistan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Tagikistan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La popolazione sembra essere in aumento e la gestione della caccia ai sensi delle disposizioni della CITES per le specie inserite nell'appendice I ha generato introiti che sono stati destinati alle comunità e alla conservazione. Tuttavia, la proposta non contiene valide indicazioni atte a dimostrare che le misure precauzionali di cui all'allegato 4 della risoluzione Conf. 9.24 siano soddisfatte; un trasferimento comporterebbe un volume maggiore di scambi senza garanzie che gli introiti siano destinati alla conservazione. L'IUCN ha raccomandato di continuare a rafforzare la gestione attuale.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Saiga tatarica</w:t>
            </w:r>
            <w:r>
              <w:rPr>
                <w:rFonts w:eastAsia="Times New Roman"/>
                <w:i/>
                <w:iCs/>
                <w:noProof/>
                <w:color w:val="000000" w:themeColor="text1"/>
                <w:sz w:val="20"/>
                <w:szCs w:val="20"/>
              </w:rPr>
              <w:br/>
            </w:r>
            <w:r>
              <w:rPr>
                <w:noProof/>
                <w:color w:val="000000" w:themeColor="text1"/>
                <w:sz w:val="20"/>
              </w:rPr>
              <w:t>(Saiga)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Mongolia, </w:t>
            </w:r>
            <w:r>
              <w:rPr>
                <w:rFonts w:eastAsia="Times New Roman"/>
                <w:noProof/>
                <w:color w:val="000000" w:themeColor="text1"/>
                <w:sz w:val="20"/>
                <w:szCs w:val="20"/>
              </w:rPr>
              <w:br/>
            </w:r>
            <w:r>
              <w:rPr>
                <w:noProof/>
                <w:color w:val="000000" w:themeColor="text1"/>
                <w:sz w:val="20"/>
              </w:rPr>
              <w:t xml:space="preserve">Stati Uniti d'America </w:t>
            </w:r>
          </w:p>
          <w:p>
            <w:pPr>
              <w:spacing w:after="0"/>
              <w:jc w:val="left"/>
              <w:rPr>
                <w:rFonts w:eastAsia="Times New Roman"/>
                <w:noProof/>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 xml:space="preserve">Sono necessarie ulteriori analisi e chiarimenti sulle questioni tassonomiche, anche in merito al fatto se una nomenclatura diversa da quella normalizzata adottata dalla COP della CITES possa essere usata nelle proposte di inserimento nelle appendici (cfr. risoluzione 9.24, allegato 6, sezione C-14). La proposta considera tutte le recenti saiga come un'unica specie in linea con la lista rossa dell'IUCN. Tuttavia, il riferimento tassonomico della CITES attualmente valido distingue le popolazioni mongole come </w:t>
            </w:r>
            <w:r>
              <w:rPr>
                <w:i/>
                <w:noProof/>
                <w:color w:val="000000" w:themeColor="text1"/>
                <w:sz w:val="20"/>
              </w:rPr>
              <w:t>S. borealis</w:t>
            </w:r>
            <w:r>
              <w:rPr>
                <w:noProof/>
                <w:color w:val="000000" w:themeColor="text1"/>
                <w:sz w:val="20"/>
              </w:rPr>
              <w:t xml:space="preserve">. Sembra quindi che la popolazione della Mongolia / </w:t>
            </w:r>
            <w:r>
              <w:rPr>
                <w:i/>
                <w:noProof/>
                <w:color w:val="000000" w:themeColor="text1"/>
                <w:sz w:val="20"/>
              </w:rPr>
              <w:t>S. borealis</w:t>
            </w:r>
            <w:r>
              <w:rPr>
                <w:noProof/>
                <w:color w:val="000000" w:themeColor="text1"/>
                <w:sz w:val="20"/>
              </w:rPr>
              <w:t xml:space="preserve"> non sia contemplata nella proposta. In questa situazione, bisognerebbe opporsi alla proposta per evitare eventuali impatti negativi sulla popolazione di </w:t>
            </w:r>
            <w:r>
              <w:rPr>
                <w:i/>
                <w:noProof/>
                <w:color w:val="000000" w:themeColor="text1"/>
                <w:sz w:val="20"/>
              </w:rPr>
              <w:t>S. borealis</w:t>
            </w:r>
            <w:r>
              <w:rPr>
                <w:noProof/>
                <w:color w:val="000000" w:themeColor="text1"/>
                <w:sz w:val="20"/>
              </w:rPr>
              <w:t xml:space="preserve"> causati dall'inserimento della </w:t>
            </w:r>
            <w:r>
              <w:rPr>
                <w:i/>
                <w:noProof/>
                <w:color w:val="000000" w:themeColor="text1"/>
                <w:sz w:val="20"/>
              </w:rPr>
              <w:t>S. tatarica</w:t>
            </w:r>
            <w:r>
              <w:rPr>
                <w:noProof/>
                <w:color w:val="000000" w:themeColor="text1"/>
                <w:sz w:val="20"/>
              </w:rPr>
              <w:t xml:space="preserve"> nell'appendice I</w:t>
            </w:r>
            <w:r>
              <w:rPr>
                <w:i/>
                <w:noProof/>
                <w:color w:val="000000" w:themeColor="text1"/>
                <w:sz w:val="20"/>
              </w:rPr>
              <w:t>.</w:t>
            </w:r>
          </w:p>
          <w:p>
            <w:pPr>
              <w:spacing w:after="0"/>
              <w:jc w:val="left"/>
              <w:rPr>
                <w:noProof/>
                <w:color w:val="000000" w:themeColor="text1"/>
                <w:sz w:val="20"/>
                <w:szCs w:val="20"/>
              </w:rPr>
            </w:pPr>
            <w:r>
              <w:rPr>
                <w:noProof/>
                <w:color w:val="000000" w:themeColor="text1"/>
                <w:sz w:val="20"/>
              </w:rPr>
              <w:t xml:space="preserve">Qualora un chiarimento della nomenclatura consenta l'inserimento dell'intero genere in occasione della COP 18, l'UE dovrebbe considerare di sostenere tale proposta o una proposta modificata che permetta l'inserimento della popolazione della Mongolia / </w:t>
            </w:r>
            <w:r>
              <w:rPr>
                <w:i/>
                <w:noProof/>
                <w:color w:val="000000" w:themeColor="text1"/>
                <w:sz w:val="20"/>
              </w:rPr>
              <w:t>S. borealis</w:t>
            </w:r>
            <w:r>
              <w:rPr>
                <w:noProof/>
                <w:color w:val="000000" w:themeColor="text1"/>
                <w:sz w:val="20"/>
              </w:rPr>
              <w:t xml:space="preserve"> nell'appendice 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(Vigogna)</w:t>
            </w:r>
            <w:r>
              <w:rPr>
                <w:rFonts w:eastAsia="Times New Roman"/>
                <w:noProof/>
                <w:color w:val="000000" w:themeColor="text1"/>
                <w:sz w:val="20"/>
                <w:szCs w:val="20"/>
              </w:rPr>
              <w:br/>
            </w:r>
            <w:r>
              <w:rPr>
                <w:noProof/>
                <w:color w:val="000000" w:themeColor="text1"/>
                <w:sz w:val="20"/>
              </w:rPr>
              <w:t>(popolazione della provincia di Salta)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Trasferimento della popolazione della provincia di Salta (Argentina) dall'appendice I all'appendice II con annotazione 1</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Argentina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dimensione della popolazione è cresciuta considerevolmente dal 2006, il monitoraggio della popolazione sembra essere buono e il 41 % (14 000 km²) dell'habitat è protetto. L'unica forma di utilizzo pianificato è la tosatura degli esemplari selvatici.</w:t>
            </w:r>
          </w:p>
          <w:p>
            <w:pPr>
              <w:spacing w:after="0"/>
              <w:jc w:val="left"/>
              <w:rPr>
                <w:i/>
                <w:noProof/>
                <w:color w:val="000000" w:themeColor="text1"/>
                <w:sz w:val="20"/>
                <w:szCs w:val="20"/>
                <w:highlight w:val="yellow"/>
              </w:rPr>
            </w:pPr>
            <w:r>
              <w:rPr>
                <w:i/>
                <w:noProof/>
                <w:color w:val="000000" w:themeColor="text1"/>
                <w:sz w:val="20"/>
              </w:rPr>
              <w:t>Considerare congiuntamente con il documento di lavoro n. 91.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(Vigogna)</w:t>
            </w:r>
            <w:r>
              <w:rPr>
                <w:rFonts w:eastAsia="Times New Roman"/>
                <w:noProof/>
                <w:color w:val="000000" w:themeColor="text1"/>
                <w:sz w:val="20"/>
                <w:szCs w:val="20"/>
              </w:rPr>
              <w:br/>
            </w:r>
            <w:r>
              <w:rPr>
                <w:noProof/>
                <w:color w:val="000000" w:themeColor="text1"/>
                <w:sz w:val="20"/>
              </w:rPr>
              <w:t>(popolazione del Cile)</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Modificare il nome della popolazione del Cile da "popolazione della Primera Región" a "popolazioni della regione di Tarapacá e della regione di Arica e Parinacota"</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Cile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Sostegno – la proposta non contiene alcuna modifica sostanziale nell'inserimento e adegua soltanto un nome geografico.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Giraffa camelopardalis</w:t>
            </w:r>
            <w:r>
              <w:rPr>
                <w:rFonts w:eastAsia="Times New Roman"/>
                <w:i/>
                <w:iCs/>
                <w:noProof/>
                <w:color w:val="000000" w:themeColor="text1"/>
                <w:sz w:val="20"/>
                <w:szCs w:val="20"/>
              </w:rPr>
              <w:br/>
            </w:r>
            <w:r>
              <w:rPr>
                <w:noProof/>
                <w:color w:val="000000" w:themeColor="text1"/>
                <w:sz w:val="20"/>
              </w:rPr>
              <w:t>(Giraffa)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p>
            <w:pPr>
              <w:pStyle w:val="Default"/>
              <w:rPr>
                <w:rFonts w:eastAsia="Times New Roman"/>
                <w:noProof/>
                <w:color w:val="000000" w:themeColor="text1"/>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Repubblica centrafricana, Ciad, Kenya, Mali, Niger e Senegal</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rPr>
              <w:t>Sono necessari ulteriori elementi di prova a dimostrazione del fatto che il commercio internazionale contribuisce in maniera significativa alla diminuzione delle popolazioni e che i criteri di inclusione nell'appendice II sono soddisfatti. La soluzione migliore consisterebbe nell'adozione di una serie di decisioni in cui si chiede uno studio esterno e l'esame da parte del comitato "Animali" e del comitato permanente.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Aonyx cinereus</w:t>
            </w:r>
            <w:r>
              <w:rPr>
                <w:rFonts w:eastAsia="Times New Roman"/>
                <w:i/>
                <w:iCs/>
                <w:noProof/>
                <w:color w:val="000000" w:themeColor="text1"/>
                <w:sz w:val="20"/>
                <w:szCs w:val="20"/>
              </w:rPr>
              <w:br/>
            </w:r>
            <w:r>
              <w:rPr>
                <w:noProof/>
                <w:color w:val="000000" w:themeColor="text1"/>
                <w:sz w:val="20"/>
              </w:rPr>
              <w:t>(Lontra dalle guance bianche del Camerun)</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India, Nepal e Filippine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 xml:space="preserve">È necessaria un'ulteriore conferma del fatto che i criteri per l'inserimento nell'appendice I sono soddisfatti. Secondo l'IUCN, il commercio degli animali da compagnia in Internet contribuisce alla recente rapida diminuzione delle specie.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Lutrogale perspicillata</w:t>
            </w:r>
            <w:r>
              <w:rPr>
                <w:rFonts w:eastAsia="Times New Roman"/>
                <w:i/>
                <w:iCs/>
                <w:noProof/>
                <w:color w:val="000000" w:themeColor="text1"/>
                <w:sz w:val="20"/>
                <w:szCs w:val="20"/>
              </w:rPr>
              <w:br/>
            </w:r>
            <w:r>
              <w:rPr>
                <w:rStyle w:val="Bodytext2"/>
                <w:noProof/>
                <w:color w:val="000000" w:themeColor="text1"/>
                <w:sz w:val="20"/>
              </w:rPr>
              <w:t>(Lontra liscia)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noProof/>
                <w:color w:val="000000" w:themeColor="text1"/>
                <w:sz w:val="20"/>
              </w:rPr>
              <w:t>Bangladesh, India e Nepal</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Deve essere confermato che la specie soddisfa i criteri biologici per l'inserimento nell'appendice I. Si registrano bassi livelli di commercio internazionale legale, ma il trasferimento potrebbe contribuire a proteggere la specie, dato che il volume del commercio illegale è importante.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(Rinoceronte bianco del sud)</w:t>
            </w:r>
            <w:r>
              <w:rPr>
                <w:rFonts w:eastAsia="Times New Roman"/>
                <w:i/>
                <w:iCs/>
                <w:noProof/>
                <w:color w:val="000000" w:themeColor="text1"/>
                <w:sz w:val="20"/>
                <w:szCs w:val="20"/>
              </w:rPr>
              <w:br/>
            </w:r>
            <w:r>
              <w:rPr>
                <w:noProof/>
                <w:color w:val="000000" w:themeColor="text1"/>
                <w:sz w:val="20"/>
              </w:rPr>
              <w:t>(popolazione dell'Eswatini)</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Eliminare l'annotazione esistente sulla popolazione dell'Eswatini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Eswatini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Opporsi. La popolazione continua a soddisfare i criteri d'inserimento nell'appendice II, ma la cancellazione dell'annotazione proposta non soddisferebbe le misure precauzionali stabilite all'allegato 4, paragrafo A.2, lettera a), della risoluzione Conf. 9.24. La ripresa del commercio dei corni di rinoceronte invierebbe un segnale sbagliato in questo momento, visti gli elevati livelli di bracconaggio e commercio illegale. Comprometterebbe inoltre le azioni di riduzione della domanda che molte parti hanno intrapreso per questa specie.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(Rinoceronte bianco del sud)</w:t>
            </w:r>
            <w:r>
              <w:rPr>
                <w:rFonts w:eastAsia="Times New Roman"/>
                <w:i/>
                <w:iCs/>
                <w:noProof/>
                <w:color w:val="000000" w:themeColor="text1"/>
                <w:sz w:val="20"/>
                <w:szCs w:val="20"/>
              </w:rPr>
              <w:br/>
            </w:r>
            <w:r>
              <w:rPr>
                <w:noProof/>
                <w:color w:val="000000" w:themeColor="text1"/>
                <w:sz w:val="20"/>
              </w:rPr>
              <w:t>(popolazione della Namibia)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 xml:space="preserve">Trasferimento della popolazione di </w:t>
            </w:r>
            <w:r>
              <w:rPr>
                <w:i/>
                <w:noProof/>
                <w:color w:val="000000" w:themeColor="text1"/>
                <w:sz w:val="20"/>
              </w:rPr>
              <w:t>Ceratotherium simum simum</w:t>
            </w:r>
            <w:r>
              <w:rPr>
                <w:noProof/>
                <w:color w:val="000000" w:themeColor="text1"/>
                <w:sz w:val="20"/>
              </w:rPr>
              <w:t xml:space="preserve"> della Namibia dall'appendice I all'appendice II con la seguente annotazione:</w:t>
            </w:r>
          </w:p>
          <w:p>
            <w:pPr>
              <w:spacing w:after="0"/>
              <w:jc w:val="left"/>
              <w:rPr>
                <w:rFonts w:eastAsia="Times New Roman"/>
                <w:noProof/>
                <w:color w:val="000000" w:themeColor="text1"/>
                <w:sz w:val="20"/>
                <w:szCs w:val="20"/>
              </w:rPr>
            </w:pPr>
            <w:r>
              <w:rPr>
                <w:noProof/>
                <w:color w:val="000000" w:themeColor="text1"/>
                <w:sz w:val="20"/>
              </w:rPr>
              <w:t>"Al fine esclusivo di permettere il commercio internazionale di:</w:t>
            </w:r>
          </w:p>
          <w:p>
            <w:pPr>
              <w:numPr>
                <w:ilvl w:val="0"/>
                <w:numId w:val="10"/>
              </w:numPr>
              <w:spacing w:before="0" w:after="0"/>
              <w:jc w:val="left"/>
              <w:rPr>
                <w:rFonts w:eastAsia="Times New Roman"/>
                <w:noProof/>
                <w:color w:val="000000" w:themeColor="text1"/>
                <w:sz w:val="20"/>
                <w:szCs w:val="20"/>
              </w:rPr>
            </w:pPr>
            <w:r>
              <w:rPr>
                <w:noProof/>
                <w:color w:val="000000" w:themeColor="text1"/>
                <w:sz w:val="20"/>
              </w:rPr>
              <w:t>animali vivi verso destinazioni adeguate e accettabili; e</w:t>
            </w:r>
          </w:p>
          <w:p>
            <w:pPr>
              <w:numPr>
                <w:ilvl w:val="0"/>
                <w:numId w:val="10"/>
              </w:numPr>
              <w:spacing w:before="0" w:after="0"/>
              <w:jc w:val="left"/>
              <w:rPr>
                <w:rFonts w:eastAsia="Times New Roman"/>
                <w:noProof/>
                <w:color w:val="000000" w:themeColor="text1"/>
                <w:sz w:val="20"/>
                <w:szCs w:val="20"/>
              </w:rPr>
            </w:pPr>
            <w:r>
              <w:rPr>
                <w:noProof/>
                <w:color w:val="000000" w:themeColor="text1"/>
                <w:sz w:val="20"/>
              </w:rPr>
              <w:t>trofei di caccia.</w:t>
            </w:r>
          </w:p>
          <w:p>
            <w:pPr>
              <w:spacing w:after="0"/>
              <w:jc w:val="left"/>
              <w:rPr>
                <w:rFonts w:eastAsia="Times New Roman"/>
                <w:noProof/>
                <w:color w:val="000000" w:themeColor="text1"/>
                <w:sz w:val="20"/>
                <w:szCs w:val="20"/>
              </w:rPr>
            </w:pPr>
            <w:r>
              <w:rPr>
                <w:noProof/>
                <w:color w:val="000000" w:themeColor="text1"/>
                <w:sz w:val="20"/>
              </w:rPr>
              <w:t>Tutti gli altri esemplari sono considerati esemplari di specie comprese nell'appendice I e il loro commercio è disciplinato in conformità delle relative norme".</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Namibia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La popolazione della Namibia è in buona salute; sembra non conformarsi più ai criteri dell'appendice I e soddisfare le misure precauzionali per il trasferimento all'appendice II; l'annotazione sembra essere molto limitata e coincide con quella già esistente per il Sud Africa e il Regno di Eswatini. È necessario riconoscere i progressi registrati nella conservazione della specie in Namibia.</w:t>
            </w:r>
          </w:p>
          <w:p>
            <w:pPr>
              <w:spacing w:after="0"/>
              <w:jc w:val="left"/>
              <w:rPr>
                <w:noProof/>
                <w:color w:val="000000" w:themeColor="text1"/>
                <w:sz w:val="20"/>
                <w:szCs w:val="20"/>
              </w:rPr>
            </w:pPr>
            <w:r>
              <w:rPr>
                <w:noProof/>
                <w:color w:val="000000" w:themeColor="text1"/>
                <w:sz w:val="20"/>
              </w:rPr>
              <w:t xml:space="preserve">Si dovrebbero ulteriormente riesaminare i potenziali rischi associati alla proposta.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rFonts w:eastAsia="Times New Roman"/>
                <w:noProof/>
                <w:color w:val="000000" w:themeColor="text1"/>
                <w:sz w:val="20"/>
                <w:szCs w:val="20"/>
              </w:rPr>
            </w:pPr>
            <w:r>
              <w:rPr>
                <w:noProof/>
                <w:color w:val="000000" w:themeColor="text1"/>
                <w:sz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cs="Times New Roman"/>
                <w:noProof/>
                <w:color w:val="000000" w:themeColor="text1"/>
                <w:sz w:val="20"/>
              </w:rPr>
              <w:t xml:space="preserve">Loxodonta </w:t>
            </w:r>
            <w:r>
              <w:rPr>
                <w:rStyle w:val="Bodytext2Italic"/>
                <w:rFonts w:ascii="Times New Roman" w:hAnsi="Times New Roman" w:cs="Times New Roman"/>
                <w:noProof/>
                <w:color w:val="000000" w:themeColor="text1"/>
                <w:sz w:val="20"/>
                <w:szCs w:val="20"/>
              </w:rPr>
              <w:br/>
            </w:r>
            <w:r>
              <w:rPr>
                <w:rStyle w:val="Bodytext2Italic"/>
                <w:rFonts w:ascii="Times New Roman" w:hAnsi="Times New Roman" w:cs="Times New Roman"/>
                <w:noProof/>
                <w:color w:val="000000" w:themeColor="text1"/>
                <w:sz w:val="20"/>
              </w:rPr>
              <w:t xml:space="preserve">africana </w:t>
            </w:r>
            <w:r>
              <w:rPr>
                <w:rStyle w:val="Bodytext2"/>
                <w:rFonts w:ascii="Times New Roman" w:hAnsi="Times New Roman" w:cs="Times New Roman"/>
                <w:noProof/>
                <w:color w:val="000000" w:themeColor="text1"/>
                <w:sz w:val="20"/>
              </w:rPr>
              <w:t>(Elefante africano)</w:t>
            </w:r>
          </w:p>
          <w:p>
            <w:pPr>
              <w:spacing w:after="0"/>
              <w:jc w:val="left"/>
              <w:rPr>
                <w:rFonts w:eastAsia="Times New Roman"/>
                <w:i/>
                <w:iCs/>
                <w:noProof/>
                <w:color w:val="000000" w:themeColor="text1"/>
                <w:sz w:val="20"/>
                <w:szCs w:val="20"/>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rFonts w:eastAsia="Times New Roman"/>
                <w:noProof/>
                <w:color w:val="000000" w:themeColor="text1"/>
                <w:sz w:val="20"/>
                <w:szCs w:val="20"/>
              </w:rPr>
            </w:pPr>
            <w:r>
              <w:rPr>
                <w:noProof/>
                <w:color w:val="000000" w:themeColor="text1"/>
                <w:sz w:val="20"/>
              </w:rPr>
              <w:t>I - II</w:t>
            </w:r>
          </w:p>
          <w:p>
            <w:pPr>
              <w:tabs>
                <w:tab w:val="left" w:pos="256"/>
              </w:tabs>
              <w:spacing w:line="226" w:lineRule="exact"/>
              <w:jc w:val="left"/>
              <w:rPr>
                <w:noProof/>
                <w:color w:val="000000" w:themeColor="text1"/>
                <w:sz w:val="20"/>
                <w:szCs w:val="20"/>
              </w:rPr>
            </w:pPr>
            <w:r>
              <w:rPr>
                <w:rStyle w:val="Bodytext2"/>
                <w:rFonts w:ascii="Times New Roman" w:hAnsi="Times New Roman" w:cs="Times New Roman"/>
                <w:noProof/>
                <w:color w:val="000000" w:themeColor="text1"/>
                <w:sz w:val="20"/>
              </w:rPr>
              <w:t>Trasferimento della popolazione dello Zambia dall'appendice I all'appendice II alle seguenti condizioni:</w:t>
            </w:r>
          </w:p>
          <w:p>
            <w:pPr>
              <w:widowControl w:val="0"/>
              <w:numPr>
                <w:ilvl w:val="0"/>
                <w:numId w:val="13"/>
              </w:numPr>
              <w:tabs>
                <w:tab w:val="left" w:pos="256"/>
                <w:tab w:val="left" w:pos="398"/>
              </w:tabs>
              <w:spacing w:before="0" w:after="0" w:line="226" w:lineRule="exact"/>
              <w:ind w:left="316" w:hanging="316"/>
              <w:jc w:val="left"/>
              <w:rPr>
                <w:noProof/>
                <w:color w:val="000000" w:themeColor="text1"/>
                <w:sz w:val="20"/>
                <w:szCs w:val="20"/>
              </w:rPr>
            </w:pPr>
            <w:r>
              <w:rPr>
                <w:noProof/>
              </w:rPr>
              <w:tab/>
            </w:r>
            <w:r>
              <w:rPr>
                <w:rStyle w:val="Bodytext2"/>
                <w:rFonts w:ascii="Times New Roman" w:hAnsi="Times New Roman" w:cs="Times New Roman"/>
                <w:noProof/>
                <w:color w:val="000000" w:themeColor="text1"/>
                <w:sz w:val="20"/>
              </w:rPr>
              <w:t>commercio di avorio grezzo registrato (zanne e parti) ai fini commerciali solo verso i partner commerciali approvati della CITES che non riesporteranno;</w:t>
            </w:r>
          </w:p>
          <w:p>
            <w:pPr>
              <w:widowControl w:val="0"/>
              <w:numPr>
                <w:ilvl w:val="0"/>
                <w:numId w:val="13"/>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cs="Times New Roman"/>
                <w:noProof/>
                <w:color w:val="000000" w:themeColor="text1"/>
                <w:sz w:val="20"/>
              </w:rPr>
              <w:t>commercio di trofei di caccia a scopi non commerciali;</w:t>
            </w:r>
          </w:p>
          <w:p>
            <w:pPr>
              <w:widowControl w:val="0"/>
              <w:numPr>
                <w:ilvl w:val="0"/>
                <w:numId w:val="13"/>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cs="Times New Roman"/>
                <w:noProof/>
                <w:color w:val="000000" w:themeColor="text1"/>
                <w:sz w:val="20"/>
              </w:rPr>
              <w:t>commercio di pelli e articoli in pelle.</w:t>
            </w:r>
          </w:p>
          <w:p>
            <w:pPr>
              <w:widowControl w:val="0"/>
              <w:numPr>
                <w:ilvl w:val="0"/>
                <w:numId w:val="13"/>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cs="Times New Roman"/>
                <w:noProof/>
                <w:color w:val="000000" w:themeColor="text1"/>
                <w:sz w:val="20"/>
              </w:rPr>
              <w:t>Tutti gli altri esemplari sono considerati esemplari di specie comprese nell'appendice I e il loro commercio è disciplinato in conformità delle relative norme.</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noProof/>
                <w:color w:val="000000" w:themeColor="text1"/>
                <w:sz w:val="20"/>
                <w:szCs w:val="20"/>
              </w:rPr>
            </w:pPr>
            <w:r>
              <w:rPr>
                <w:noProof/>
                <w:color w:val="000000" w:themeColor="text1"/>
                <w:sz w:val="20"/>
              </w:rPr>
              <w:t>Zambia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left"/>
              <w:rPr>
                <w:noProof/>
                <w:color w:val="000000" w:themeColor="text1"/>
                <w:sz w:val="20"/>
                <w:szCs w:val="20"/>
              </w:rPr>
            </w:pPr>
            <w:r>
              <w:rPr>
                <w:noProof/>
                <w:color w:val="000000" w:themeColor="text1"/>
                <w:sz w:val="20"/>
              </w:rPr>
              <w:t xml:space="preserve">L'annotazione proposta dallo Zambia riaprirebbe il commercio internazionale dell'avorio e non può essere sostenuta nella sua attuale formulazione. </w:t>
            </w:r>
          </w:p>
          <w:p>
            <w:pPr>
              <w:spacing w:after="0"/>
              <w:jc w:val="left"/>
              <w:rPr>
                <w:noProof/>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Cs/>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 xml:space="preserve">africana </w:t>
            </w:r>
            <w:r>
              <w:rPr>
                <w:rFonts w:eastAsia="Times New Roman"/>
                <w:i/>
                <w:iCs/>
                <w:noProof/>
                <w:color w:val="000000" w:themeColor="text1"/>
                <w:sz w:val="20"/>
                <w:szCs w:val="20"/>
              </w:rPr>
              <w:br/>
            </w:r>
            <w:r>
              <w:rPr>
                <w:noProof/>
                <w:color w:val="000000" w:themeColor="text1"/>
                <w:sz w:val="20"/>
              </w:rPr>
              <w:t>(Elefante africano)</w:t>
            </w:r>
          </w:p>
          <w:p>
            <w:pPr>
              <w:spacing w:after="0"/>
              <w:jc w:val="left"/>
              <w:rPr>
                <w:rFonts w:eastAsia="Times New Roman"/>
                <w:noProof/>
                <w:color w:val="000000" w:themeColor="text1"/>
                <w:sz w:val="20"/>
                <w:szCs w:val="20"/>
              </w:rPr>
            </w:pPr>
            <w:r>
              <w:rPr>
                <w:noProof/>
                <w:color w:val="000000" w:themeColor="text1"/>
                <w:sz w:val="20"/>
              </w:rPr>
              <w:t>(popolazioni di Botswana, Namibia, Sud Africa e Zimbabwe)</w:t>
            </w:r>
          </w:p>
          <w:p>
            <w:pPr>
              <w:spacing w:after="0"/>
              <w:jc w:val="left"/>
              <w:rPr>
                <w:rFonts w:eastAsia="Times New Roman"/>
                <w:noProof/>
                <w:color w:val="000000" w:themeColor="text1"/>
                <w:sz w:val="20"/>
                <w:szCs w:val="20"/>
              </w:rPr>
            </w:pPr>
            <w:r>
              <w:rPr>
                <w:noProof/>
                <w:color w:val="000000" w:themeColor="text1"/>
                <w:sz w:val="20"/>
              </w:rPr>
              <w:t>Modifica dell'annotazione 2</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tabs>
                <w:tab w:val="left" w:pos="0"/>
              </w:tabs>
              <w:spacing w:after="0"/>
              <w:jc w:val="left"/>
              <w:rPr>
                <w:rFonts w:eastAsia="Times New Roman"/>
                <w:noProof/>
                <w:color w:val="000000" w:themeColor="text1"/>
                <w:sz w:val="20"/>
                <w:szCs w:val="20"/>
              </w:rPr>
            </w:pPr>
            <w:r>
              <w:rPr>
                <w:noProof/>
                <w:color w:val="000000" w:themeColor="text1"/>
                <w:sz w:val="20"/>
              </w:rPr>
              <w:t>Modifica dell'annotazione 2:</w:t>
            </w:r>
          </w:p>
          <w:p>
            <w:pPr>
              <w:tabs>
                <w:tab w:val="left" w:pos="176"/>
              </w:tabs>
              <w:spacing w:after="0"/>
              <w:ind w:left="176" w:hanging="176"/>
              <w:jc w:val="left"/>
              <w:rPr>
                <w:rFonts w:eastAsia="Times New Roman"/>
                <w:noProof/>
                <w:color w:val="000000" w:themeColor="text1"/>
                <w:sz w:val="20"/>
                <w:szCs w:val="20"/>
              </w:rPr>
            </w:pPr>
            <w:r>
              <w:rPr>
                <w:noProof/>
                <w:color w:val="000000" w:themeColor="text1"/>
                <w:sz w:val="20"/>
              </w:rPr>
              <w:t>"al fine esclusivo di permettere:</w:t>
            </w:r>
          </w:p>
          <w:p>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rPr>
              <w:t>[...]</w:t>
            </w:r>
          </w:p>
          <w:p>
            <w:pPr>
              <w:tabs>
                <w:tab w:val="left" w:pos="176"/>
              </w:tabs>
              <w:spacing w:before="0" w:after="0"/>
              <w:jc w:val="left"/>
              <w:rPr>
                <w:rFonts w:eastAsia="Times New Roman"/>
                <w:noProof/>
                <w:color w:val="000000" w:themeColor="text1"/>
                <w:sz w:val="20"/>
                <w:szCs w:val="20"/>
              </w:rPr>
            </w:pPr>
            <w:r>
              <w:rPr>
                <w:noProof/>
                <w:color w:val="000000" w:themeColor="text1"/>
                <w:sz w:val="20"/>
              </w:rPr>
              <w:t>g)</w:t>
            </w:r>
            <w:r>
              <w:rPr>
                <w:noProof/>
              </w:rPr>
              <w:tab/>
            </w:r>
            <w:r>
              <w:rPr>
                <w:noProof/>
                <w:color w:val="000000" w:themeColor="text1"/>
                <w:sz w:val="20"/>
              </w:rPr>
              <w:t xml:space="preserve">il commercio di avorio grezzo registrato (per Botswana, Namibia, Sudafrica e Zimbabwe, zanne intere e parti d'avorio), alle seguenti condizioni: </w:t>
            </w:r>
          </w:p>
          <w:p>
            <w:pPr>
              <w:numPr>
                <w:ilvl w:val="1"/>
                <w:numId w:val="12"/>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solo le scorte registrate di proprietà del governo, originarie dello Stato (tranne l'avorio confiscato e l'avorio di origine sconosciuta);</w:t>
            </w:r>
          </w:p>
          <w:p>
            <w:pPr>
              <w:numPr>
                <w:ilvl w:val="1"/>
                <w:numId w:val="12"/>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solo a partner commerciali per i quali il Segretariato, in consultazione con il comitato permanente, abbia accertato l'esistenza di una normativa nazionale e di controlli sul commercio interno sufficienti ad assicurare che l'avorio importato non verrà riesportato e sarà gestito nel rispetto di tutti i requisiti della risoluzione Conf.10.10 (Rev. CoP17) relativamente alla lavorazione e al commercio interno;</w:t>
            </w:r>
          </w:p>
          <w:p>
            <w:pPr>
              <w:numPr>
                <w:ilvl w:val="1"/>
                <w:numId w:val="12"/>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non prima che il Segretariato abbia verificato i paesi importatori previsti e le scorte registrate di proprietà del governo;</w:t>
            </w:r>
          </w:p>
          <w:p>
            <w:pPr>
              <w:numPr>
                <w:ilvl w:val="1"/>
                <w:numId w:val="12"/>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avorio grezzo soggetto alla vendita condizionale delle scorte registrate di proprietà del governo concordate alla COP12, che ammontano a 20 000 kg (Botswana), 10 000 kg (Namibia) e 30 000 kg (Sudafrica);</w:t>
            </w:r>
          </w:p>
          <w:p>
            <w:pPr>
              <w:numPr>
                <w:ilvl w:val="1"/>
                <w:numId w:val="12"/>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oltre ai quantitativi concordati alla COP12, l'avorio di proprietà del governo di Botswana, Namibia, Sudafrica e Zimbabwe, registrato al 31 gennaio 2007 e verificato dal Segretariato, può essere commercializzato e inviato, insieme all'avorio di cui al precedente punto g) iv), un'unica volta per destinazione sotto la stretta sorveglianza del Segretariato;</w:t>
            </w:r>
          </w:p>
          <w:p>
            <w:pPr>
              <w:numPr>
                <w:ilvl w:val="1"/>
                <w:numId w:val="12"/>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i proventi del commercio sono esclusivamente destinati alla conservazione degli elefanti e ai programmi comunitari di conservazione e sviluppo nell'area di distribuzione degli elefanti o nelle zone adiacenti; e</w:t>
            </w:r>
          </w:p>
          <w:p>
            <w:pPr>
              <w:numPr>
                <w:ilvl w:val="1"/>
                <w:numId w:val="12"/>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vii) la commercializzazione dei quantitativi supplementari specificati al precedente punto g) v) può avvenire prima che il comitato permanente abbia confermato il rispetto delle condizioni di cui sopra; e</w:t>
            </w:r>
          </w:p>
          <w:p>
            <w:pPr>
              <w:tabs>
                <w:tab w:val="left" w:pos="176"/>
              </w:tabs>
              <w:spacing w:before="0" w:after="0"/>
              <w:jc w:val="left"/>
              <w:rPr>
                <w:rFonts w:eastAsia="Times New Roman"/>
                <w:noProof/>
                <w:color w:val="000000" w:themeColor="text1"/>
                <w:sz w:val="20"/>
                <w:szCs w:val="20"/>
              </w:rPr>
            </w:pPr>
            <w:r>
              <w:rPr>
                <w:noProof/>
                <w:color w:val="000000" w:themeColor="text1"/>
                <w:sz w:val="20"/>
              </w:rPr>
              <w:t>h)</w:t>
            </w:r>
            <w:r>
              <w:rPr>
                <w:noProof/>
              </w:rPr>
              <w:tab/>
            </w:r>
            <w:r>
              <w:rPr>
                <w:strike/>
                <w:noProof/>
                <w:color w:val="000000" w:themeColor="text1"/>
                <w:sz w:val="20"/>
              </w:rPr>
              <w:t>per il periodo compreso tra la COP 14 e lo scadere del nono anno dalla data di vendita unica dell'avorio che avrà luogo in conformità delle disposizioni stabilite ai punti g) i), g) ii), g) iii), g) vi) e g) vii), non saranno presentate alla Conferenza delle parti ulteriori proposte volte ad autorizzare il commercio di avorio di elefanti provenienti da popolazioni già incluse nell'appendice II. Le ulteriori proposte saranno inoltre trattate in conformità delle decisioni 16.55 e 14.78 (Rev. CoP16).</w:t>
            </w:r>
          </w:p>
          <w:p>
            <w:pPr>
              <w:tabs>
                <w:tab w:val="left" w:pos="0"/>
              </w:tabs>
              <w:ind w:firstLine="23"/>
              <w:jc w:val="left"/>
              <w:rPr>
                <w:rFonts w:eastAsia="Times New Roman"/>
                <w:noProof/>
                <w:color w:val="000000" w:themeColor="text1"/>
                <w:sz w:val="20"/>
                <w:szCs w:val="20"/>
              </w:rPr>
            </w:pPr>
            <w:r>
              <w:rPr>
                <w:noProof/>
                <w:color w:val="000000" w:themeColor="text1"/>
                <w:sz w:val="20"/>
              </w:rPr>
              <w:t>[…]"</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Botswana, Namibia e Zimbabwe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La modifica richiesta determinerebbe l'apertura del commercio internazionale dell'avorio e quindi non soddisfa le misure precauzionali di cui all'allegato 4 della risoluzione Conf. 9.24 ed è prematura.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shd w:val="clear" w:color="auto" w:fill="auto"/>
          </w:tcPr>
          <w:p>
            <w:pPr>
              <w:spacing w:after="0"/>
              <w:jc w:val="left"/>
              <w:rPr>
                <w:rFonts w:eastAsia="Times New Roman"/>
                <w:noProof/>
                <w:color w:val="000000" w:themeColor="text1"/>
                <w:sz w:val="20"/>
                <w:szCs w:val="20"/>
              </w:rPr>
            </w:pPr>
            <w:r>
              <w:rPr>
                <w:noProof/>
                <w:color w:val="000000" w:themeColor="text1"/>
                <w:sz w:val="20"/>
              </w:rPr>
              <w:t>12</w:t>
            </w:r>
          </w:p>
        </w:tc>
        <w:tc>
          <w:tcPr>
            <w:tcW w:w="0" w:type="auto"/>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africana</w:t>
            </w:r>
            <w:r>
              <w:rPr>
                <w:rFonts w:eastAsia="Times New Roman"/>
                <w:i/>
                <w:iCs/>
                <w:noProof/>
                <w:color w:val="000000" w:themeColor="text1"/>
                <w:sz w:val="20"/>
                <w:szCs w:val="20"/>
              </w:rPr>
              <w:br/>
            </w:r>
            <w:r>
              <w:rPr>
                <w:noProof/>
                <w:color w:val="000000" w:themeColor="text1"/>
                <w:sz w:val="20"/>
              </w:rPr>
              <w:t>(Elefante africano)</w:t>
            </w:r>
          </w:p>
          <w:p>
            <w:pPr>
              <w:spacing w:after="0"/>
              <w:jc w:val="left"/>
              <w:rPr>
                <w:rFonts w:eastAsia="Times New Roman"/>
                <w:noProof/>
                <w:color w:val="000000" w:themeColor="text1"/>
                <w:sz w:val="20"/>
                <w:szCs w:val="20"/>
              </w:rPr>
            </w:pPr>
            <w:r>
              <w:rPr>
                <w:noProof/>
                <w:color w:val="000000" w:themeColor="text1"/>
                <w:sz w:val="20"/>
              </w:rPr>
              <w:t>(popolazioni di Botswana, Namibia, Sud Africa e Zimbabwe)</w:t>
            </w:r>
          </w:p>
        </w:tc>
        <w:tc>
          <w:tcPr>
            <w:tcW w:w="2375" w:type="dxa"/>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Trasferimento delle popolazioni di Botswana, Namibia, Sud Africa e Zimbabwe dall'appendice II all'appendice I</w:t>
            </w:r>
          </w:p>
        </w:tc>
        <w:tc>
          <w:tcPr>
            <w:tcW w:w="1586" w:type="dxa"/>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Burkina </w:t>
            </w:r>
            <w:r>
              <w:rPr>
                <w:noProof/>
                <w:color w:val="000000" w:themeColor="text1"/>
                <w:sz w:val="20"/>
                <w:szCs w:val="20"/>
              </w:rPr>
              <w:br/>
            </w:r>
            <w:r>
              <w:rPr>
                <w:noProof/>
                <w:color w:val="000000" w:themeColor="text1"/>
                <w:sz w:val="20"/>
              </w:rPr>
              <w:t xml:space="preserve">Faso, Costa d'Avorio, Gabon, Kenya, </w:t>
            </w:r>
            <w:r>
              <w:rPr>
                <w:noProof/>
                <w:color w:val="000000" w:themeColor="text1"/>
                <w:sz w:val="20"/>
                <w:szCs w:val="20"/>
              </w:rPr>
              <w:br/>
            </w:r>
            <w:r>
              <w:rPr>
                <w:noProof/>
                <w:color w:val="000000" w:themeColor="text1"/>
                <w:sz w:val="20"/>
              </w:rPr>
              <w:t>Liberia, Niger, Nigeria, Sudan, Repubblica araba siriana e Togo</w:t>
            </w:r>
          </w:p>
        </w:tc>
        <w:tc>
          <w:tcPr>
            <w:tcW w:w="0" w:type="auto"/>
            <w:shd w:val="clear" w:color="auto" w:fill="auto"/>
          </w:tcPr>
          <w:p>
            <w:pPr>
              <w:spacing w:after="0"/>
              <w:jc w:val="left"/>
              <w:rPr>
                <w:noProof/>
                <w:color w:val="000000" w:themeColor="text1"/>
                <w:sz w:val="20"/>
                <w:szCs w:val="20"/>
                <w:highlight w:val="yellow"/>
              </w:rPr>
            </w:pPr>
            <w:r>
              <w:rPr>
                <w:noProof/>
                <w:color w:val="000000" w:themeColor="text1"/>
                <w:sz w:val="20"/>
              </w:rPr>
              <w:t xml:space="preserve">Queste 4 popolazioni non soddisfano i criteri dell'appendice I e gli Stati dell'area di distribuzione interessati non approvano il trasferimento. </w:t>
            </w:r>
          </w:p>
        </w:tc>
        <w:tc>
          <w:tcPr>
            <w:tcW w:w="0" w:type="auto"/>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Mammuthus primigenius</w:t>
            </w:r>
            <w:r>
              <w:rPr>
                <w:rFonts w:eastAsia="Times New Roman"/>
                <w:i/>
                <w:iCs/>
                <w:noProof/>
                <w:color w:val="000000" w:themeColor="text1"/>
                <w:sz w:val="20"/>
                <w:szCs w:val="20"/>
              </w:rPr>
              <w:br/>
            </w:r>
            <w:r>
              <w:rPr>
                <w:rStyle w:val="Bodytext2"/>
                <w:noProof/>
                <w:color w:val="000000" w:themeColor="text1"/>
                <w:sz w:val="20"/>
              </w:rPr>
              <w:t>(Mammut lanoso)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Israele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L'obiettivo della CITES è proteggere le specie dallo sfruttamento eccessivo e dall'estinzione. Le questioni relative alla somiglianza non sembrano essere un'argomentazione sufficiente per l'inserimento dei mammut. Non sono state fornite prove di errori di identificazione e riciclaggio su vasta scala e la dentina dell'avorio degli elefanti e dei mammut presenta caratteristiche uniche, che possono essere facilmente distinte da un soggetto non esperto. L'inserimento nell'appendice II non sarebbe proporzionato alla portata del rischio associato (potrebbe dar luogo al rilascio di numerose licenze con benefici in termini di conservazione assenti o ridotti).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Leporillus conditor</w:t>
            </w:r>
            <w:r>
              <w:rPr>
                <w:rFonts w:eastAsia="Times New Roman"/>
                <w:i/>
                <w:iCs/>
                <w:noProof/>
                <w:color w:val="000000" w:themeColor="text1"/>
                <w:sz w:val="20"/>
                <w:szCs w:val="20"/>
              </w:rPr>
              <w:br/>
            </w:r>
            <w:r>
              <w:rPr>
                <w:noProof/>
                <w:color w:val="000000" w:themeColor="text1"/>
                <w:sz w:val="20"/>
              </w:rPr>
              <w:t>(Leporillo costruttore)</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Trasferimento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Trasferimento all'appendice II raccomandato dal comitato "Animali" della CITES. La specie non è presente nel commercio internazionale.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Pseudomys fieldi praeconis</w:t>
            </w:r>
            <w:r>
              <w:rPr>
                <w:rFonts w:eastAsia="Times New Roman"/>
                <w:i/>
                <w:iCs/>
                <w:noProof/>
                <w:color w:val="000000" w:themeColor="text1"/>
                <w:sz w:val="20"/>
                <w:szCs w:val="20"/>
              </w:rPr>
              <w:br/>
            </w:r>
            <w:r>
              <w:rPr>
                <w:noProof/>
                <w:color w:val="000000" w:themeColor="text1"/>
                <w:sz w:val="20"/>
              </w:rPr>
              <w:t>(Falso topo della baia di Shark)</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Trasferimento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Trasferimento all'appendice II raccomandato dal comitato "Animali" della CITES. La specie non è presente nel commercio internazionale.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Xeromys myoides</w:t>
            </w:r>
            <w:r>
              <w:rPr>
                <w:rFonts w:eastAsia="Times New Roman"/>
                <w:i/>
                <w:iCs/>
                <w:noProof/>
                <w:color w:val="000000" w:themeColor="text1"/>
                <w:sz w:val="20"/>
                <w:szCs w:val="20"/>
              </w:rPr>
              <w:br/>
            </w:r>
            <w:r>
              <w:rPr>
                <w:noProof/>
                <w:color w:val="000000" w:themeColor="text1"/>
                <w:sz w:val="20"/>
              </w:rPr>
              <w:t>(Falso ratto d'acqua)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Trasferimento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Trasferimento all'appendice II raccomandato dal comitato "Animali" della CITES. La specie non è presente nel commercio internazionale.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Zyzomys pedunculatus</w:t>
            </w:r>
            <w:r>
              <w:rPr>
                <w:rFonts w:eastAsia="Times New Roman"/>
                <w:i/>
                <w:iCs/>
                <w:noProof/>
                <w:color w:val="000000" w:themeColor="text1"/>
                <w:sz w:val="20"/>
                <w:szCs w:val="20"/>
              </w:rPr>
              <w:br/>
            </w:r>
            <w:r>
              <w:rPr>
                <w:noProof/>
                <w:color w:val="000000" w:themeColor="text1"/>
                <w:sz w:val="20"/>
              </w:rPr>
              <w:t>(Ratto di roccia dalla grossa coda)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Trasferimento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Trasferimento all'appendice II raccomandato dal comitato "Animali" della CITES. La specie non è presente nel commercio internazionale.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Syrmaticus reevesii</w:t>
            </w:r>
          </w:p>
          <w:p>
            <w:pPr>
              <w:spacing w:before="0" w:after="0"/>
              <w:jc w:val="left"/>
              <w:rPr>
                <w:rFonts w:eastAsia="Times New Roman"/>
                <w:noProof/>
                <w:color w:val="000000" w:themeColor="text1"/>
                <w:sz w:val="20"/>
                <w:szCs w:val="20"/>
              </w:rPr>
            </w:pPr>
            <w:r>
              <w:rPr>
                <w:noProof/>
                <w:color w:val="000000" w:themeColor="text1"/>
                <w:sz w:val="20"/>
              </w:rPr>
              <w:t>(Fagiano venerato)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Solo la popolazione della Cina soddisfa i criteri di inclusione nell'appendice II. Essere disposti a sostenere una proposta più limitata, che consenta di mantenere proporzionato il carico amministrativo legato alla gestione del commercio di esemplari delle popolazioni inserite. Ciò può essere ottenuto limitando l'inserimento nell'appendice II alla popolazione della Cina o facendo inserire la specie dalla Cina nell'appendice III.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shd w:val="clear" w:color="auto" w:fill="auto"/>
          </w:tcPr>
          <w:p>
            <w:pPr>
              <w:spacing w:after="0"/>
              <w:jc w:val="center"/>
              <w:rPr>
                <w:rFonts w:eastAsia="Times New Roman"/>
                <w:noProof/>
                <w:color w:val="000000" w:themeColor="text1"/>
                <w:sz w:val="20"/>
                <w:szCs w:val="20"/>
              </w:rPr>
            </w:pPr>
            <w:r>
              <w:rPr>
                <w:noProof/>
                <w:color w:val="000000" w:themeColor="text1"/>
                <w:sz w:val="20"/>
              </w:rPr>
              <w:t>19</w:t>
            </w:r>
          </w:p>
        </w:tc>
        <w:tc>
          <w:tcPr>
            <w:tcW w:w="0" w:type="auto"/>
            <w:shd w:val="clear" w:color="auto" w:fill="auto"/>
          </w:tcPr>
          <w:p>
            <w:pPr>
              <w:spacing w:after="0"/>
              <w:jc w:val="left"/>
              <w:rPr>
                <w:rFonts w:eastAsia="Times New Roman"/>
                <w:noProof/>
                <w:color w:val="000000" w:themeColor="text1"/>
                <w:sz w:val="20"/>
                <w:szCs w:val="20"/>
              </w:rPr>
            </w:pPr>
            <w:r>
              <w:rPr>
                <w:i/>
                <w:noProof/>
                <w:color w:val="000000" w:themeColor="text1"/>
                <w:sz w:val="20"/>
              </w:rPr>
              <w:t>Balearica pavonina</w:t>
            </w:r>
            <w:r>
              <w:rPr>
                <w:rFonts w:eastAsia="Times New Roman"/>
                <w:i/>
                <w:iCs/>
                <w:noProof/>
                <w:color w:val="000000" w:themeColor="text1"/>
                <w:sz w:val="20"/>
                <w:szCs w:val="20"/>
              </w:rPr>
              <w:br/>
            </w:r>
            <w:r>
              <w:rPr>
                <w:noProof/>
                <w:color w:val="000000" w:themeColor="text1"/>
                <w:sz w:val="20"/>
              </w:rPr>
              <w:t>(Gru coronata nera)</w:t>
            </w:r>
          </w:p>
        </w:tc>
        <w:tc>
          <w:tcPr>
            <w:tcW w:w="2375" w:type="dxa"/>
            <w:shd w:val="clear" w:color="auto" w:fill="auto"/>
          </w:tcPr>
          <w:p>
            <w:pPr>
              <w:spacing w:after="0"/>
              <w:jc w:val="left"/>
              <w:rPr>
                <w:rFonts w:eastAsia="Times New Roman"/>
                <w:noProof/>
                <w:color w:val="000000" w:themeColor="text1"/>
                <w:sz w:val="20"/>
                <w:szCs w:val="20"/>
              </w:rPr>
            </w:pPr>
            <w:r>
              <w:rPr>
                <w:noProof/>
                <w:color w:val="000000" w:themeColor="text1"/>
                <w:sz w:val="20"/>
              </w:rPr>
              <w:t>II - I</w:t>
            </w:r>
          </w:p>
          <w:p>
            <w:pPr>
              <w:spacing w:after="0"/>
              <w:jc w:val="left"/>
              <w:rPr>
                <w:rFonts w:eastAsia="Times New Roman"/>
                <w:noProof/>
                <w:color w:val="000000" w:themeColor="text1"/>
                <w:sz w:val="20"/>
                <w:szCs w:val="20"/>
              </w:rPr>
            </w:pPr>
            <w:r>
              <w:rPr>
                <w:noProof/>
                <w:color w:val="000000" w:themeColor="text1"/>
                <w:sz w:val="20"/>
              </w:rPr>
              <w:t>Trasferimento dall'appendice II all'appendice I</w:t>
            </w:r>
          </w:p>
        </w:tc>
        <w:tc>
          <w:tcPr>
            <w:tcW w:w="1586" w:type="dxa"/>
            <w:shd w:val="clear" w:color="auto" w:fill="auto"/>
          </w:tcPr>
          <w:p>
            <w:pPr>
              <w:spacing w:after="0"/>
              <w:jc w:val="left"/>
              <w:rPr>
                <w:rFonts w:eastAsia="Times New Roman"/>
                <w:noProof/>
                <w:color w:val="000000" w:themeColor="text1"/>
                <w:sz w:val="20"/>
                <w:szCs w:val="20"/>
              </w:rPr>
            </w:pPr>
            <w:r>
              <w:rPr>
                <w:noProof/>
                <w:color w:val="000000" w:themeColor="text1"/>
                <w:sz w:val="20"/>
              </w:rPr>
              <w:t>Burkina Faso, Costa d'Avorio e Senegal</w:t>
            </w:r>
          </w:p>
        </w:tc>
        <w:tc>
          <w:tcPr>
            <w:tcW w:w="0" w:type="auto"/>
            <w:shd w:val="clear" w:color="auto" w:fill="auto"/>
          </w:tcPr>
          <w:p>
            <w:pPr>
              <w:spacing w:after="0"/>
              <w:jc w:val="left"/>
              <w:rPr>
                <w:noProof/>
                <w:color w:val="000000" w:themeColor="text1"/>
                <w:sz w:val="20"/>
                <w:szCs w:val="20"/>
                <w:highlight w:val="yellow"/>
              </w:rPr>
            </w:pPr>
            <w:r>
              <w:rPr>
                <w:noProof/>
                <w:color w:val="000000" w:themeColor="text1"/>
                <w:sz w:val="20"/>
              </w:rPr>
              <w:t xml:space="preserve">Non è chiaro se i criteri di inclusione nell'appendice siano soddisfatti e se il trasferimento aiuterebbe a contrastare il commercio illegale. È necessario effettuare un'analisi del potenziale impatto sul commercio della </w:t>
            </w:r>
            <w:r>
              <w:rPr>
                <w:i/>
                <w:noProof/>
                <w:color w:val="000000" w:themeColor="text1"/>
                <w:sz w:val="20"/>
              </w:rPr>
              <w:t>Balearica regulorum</w:t>
            </w:r>
            <w:r>
              <w:rPr>
                <w:noProof/>
                <w:color w:val="000000" w:themeColor="text1"/>
                <w:sz w:val="20"/>
              </w:rPr>
              <w:t xml:space="preserve"> (appendice II) che è sempre più minacciata (lista rossa dell'IUCN). – Due Stati dell'area di distribuzione sono al momento soggetti a una sospensione del commercio nell'ambito del processo di riesame del commercio rilevante. Gli altri Stati dell'area di distribuzione sono stati eliminati dal processo in quanto non rilevanti. Il CA non è stato consultato come previsto dall'allegato 6, punto 10, della risoluzione Conf. 9.24, che dispone che le proposte di trasferimento di specie dall'appendice II all'appendice I siano soggette al riesame del commercio rilevante. È meglio attendere il risultato del riesame del commercio rilevante prima di procedere al trasferimento.</w:t>
            </w:r>
          </w:p>
        </w:tc>
        <w:tc>
          <w:tcPr>
            <w:tcW w:w="0" w:type="auto"/>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Dasyornis broadbenti litoralis</w:t>
            </w:r>
            <w:r>
              <w:rPr>
                <w:rFonts w:eastAsia="Times New Roman"/>
                <w:i/>
                <w:iCs/>
                <w:noProof/>
                <w:color w:val="000000" w:themeColor="text1"/>
                <w:sz w:val="20"/>
                <w:szCs w:val="20"/>
              </w:rPr>
              <w:br/>
            </w:r>
            <w:r>
              <w:rPr>
                <w:rStyle w:val="Bodytext2"/>
                <w:noProof/>
                <w:color w:val="000000" w:themeColor="text1"/>
                <w:sz w:val="20"/>
              </w:rPr>
              <w:t>(Pigliamosche rosso occidentale)</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Trasferimento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La proposta prende le mosse dal riesame periodico della CITES e riguarda una specie che non è presente in commercio (considerata estinta, ultima osservazione nel 1906).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Dasyornis longirostris</w:t>
            </w:r>
            <w:r>
              <w:rPr>
                <w:rFonts w:eastAsia="Times New Roman"/>
                <w:i/>
                <w:iCs/>
                <w:noProof/>
                <w:color w:val="000000" w:themeColor="text1"/>
                <w:sz w:val="20"/>
                <w:szCs w:val="20"/>
              </w:rPr>
              <w:br/>
            </w:r>
            <w:r>
              <w:rPr>
                <w:rStyle w:val="Bodytext2"/>
                <w:noProof/>
                <w:color w:val="000000" w:themeColor="text1"/>
                <w:sz w:val="20"/>
              </w:rPr>
              <w:t>(Pigliamosche di erba dal becco lungo)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r>
              <w:rPr>
                <w:rFonts w:eastAsia="Times New Roman"/>
                <w:noProof/>
                <w:color w:val="000000" w:themeColor="text1"/>
                <w:sz w:val="20"/>
                <w:szCs w:val="20"/>
              </w:rPr>
              <w:br/>
            </w:r>
            <w:r>
              <w:rPr>
                <w:noProof/>
                <w:color w:val="000000" w:themeColor="text1"/>
                <w:sz w:val="20"/>
              </w:rPr>
              <w:t>Trasferimento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Australia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La proposta prende le mosse dal riesame periodico della CITES e riguarda una specie che non è presente in commercio.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Crocodylus acutus</w:t>
            </w:r>
            <w:r>
              <w:rPr>
                <w:rFonts w:eastAsia="Times New Roman"/>
                <w:i/>
                <w:iCs/>
                <w:noProof/>
                <w:color w:val="000000" w:themeColor="text1"/>
                <w:sz w:val="20"/>
                <w:szCs w:val="20"/>
              </w:rPr>
              <w:br/>
            </w:r>
            <w:r>
              <w:rPr>
                <w:noProof/>
                <w:color w:val="000000" w:themeColor="text1"/>
                <w:sz w:val="20"/>
              </w:rPr>
              <w:t>(Coccodrillo americano)</w:t>
            </w:r>
            <w:r>
              <w:rPr>
                <w:rFonts w:eastAsia="Times New Roman"/>
                <w:noProof/>
                <w:color w:val="000000" w:themeColor="text1"/>
                <w:sz w:val="20"/>
                <w:szCs w:val="20"/>
              </w:rPr>
              <w:br/>
            </w:r>
            <w:r>
              <w:rPr>
                <w:noProof/>
                <w:color w:val="000000" w:themeColor="text1"/>
                <w:sz w:val="20"/>
              </w:rPr>
              <w:t>(popolazione del Messico)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 - II</w:t>
            </w:r>
          </w:p>
          <w:p>
            <w:pPr>
              <w:spacing w:after="0"/>
              <w:jc w:val="left"/>
              <w:rPr>
                <w:rFonts w:eastAsia="Times New Roman"/>
                <w:noProof/>
                <w:color w:val="000000" w:themeColor="text1"/>
                <w:sz w:val="20"/>
                <w:szCs w:val="20"/>
              </w:rPr>
            </w:pPr>
            <w:r>
              <w:rPr>
                <w:noProof/>
                <w:color w:val="000000" w:themeColor="text1"/>
                <w:sz w:val="20"/>
              </w:rPr>
              <w:t>Trasferimento della popolazione del Messico dall'appendice I 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Messico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Sostenere il trasferimento dall'appendice I all'appendice II, se il Messico stabilisce una quota zero per gli esemplari prelevati dall'ambiente naturale (codice di origine W).</w:t>
            </w:r>
          </w:p>
          <w:p>
            <w:pPr>
              <w:spacing w:after="0"/>
              <w:jc w:val="left"/>
              <w:rPr>
                <w:noProof/>
                <w:color w:val="000000" w:themeColor="text1"/>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Calotes nigrilabris </w:t>
            </w:r>
            <w:r>
              <w:rPr>
                <w:noProof/>
                <w:color w:val="000000" w:themeColor="text1"/>
                <w:sz w:val="20"/>
              </w:rPr>
              <w:t>e </w:t>
            </w:r>
            <w:r>
              <w:rPr>
                <w:i/>
                <w:noProof/>
                <w:color w:val="000000" w:themeColor="text1"/>
                <w:sz w:val="20"/>
              </w:rPr>
              <w:t>Calotes pethiyagodai</w:t>
            </w:r>
            <w:r>
              <w:rPr>
                <w:rFonts w:eastAsia="Times New Roman"/>
                <w:i/>
                <w:iCs/>
                <w:noProof/>
                <w:color w:val="000000" w:themeColor="text1"/>
                <w:sz w:val="20"/>
                <w:szCs w:val="20"/>
              </w:rPr>
              <w:br/>
            </w:r>
            <w:r>
              <w:rPr>
                <w:noProof/>
                <w:color w:val="000000" w:themeColor="text1"/>
                <w:sz w:val="20"/>
              </w:rPr>
              <w:t>(Lucertole da giardino)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Inserire nell'appendice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rPr>
            </w:pPr>
            <w:r>
              <w:rPr>
                <w:noProof/>
                <w:color w:val="000000" w:themeColor="text1"/>
                <w:sz w:val="20"/>
              </w:rPr>
              <w:t xml:space="preserve">Sembra che i criteri </w:t>
            </w:r>
            <w:r>
              <w:rPr>
                <w:i/>
                <w:noProof/>
                <w:color w:val="000000" w:themeColor="text1"/>
                <w:sz w:val="20"/>
              </w:rPr>
              <w:t>biologici</w:t>
            </w:r>
            <w:r>
              <w:rPr>
                <w:noProof/>
                <w:color w:val="000000" w:themeColor="text1"/>
                <w:sz w:val="20"/>
              </w:rPr>
              <w:t xml:space="preserve"> per l'inserimento nelle appendici della CITES siano soddisfatti, ma non vi sono prove sufficienti a dimostrazione del fatto che i livelli attuali o previsti del </w:t>
            </w:r>
            <w:r>
              <w:rPr>
                <w:i/>
                <w:noProof/>
                <w:color w:val="000000" w:themeColor="text1"/>
                <w:sz w:val="20"/>
              </w:rPr>
              <w:t>commercio</w:t>
            </w:r>
            <w:r>
              <w:rPr>
                <w:noProof/>
                <w:color w:val="000000" w:themeColor="text1"/>
                <w:sz w:val="20"/>
              </w:rPr>
              <w:t xml:space="preserve"> compromettano la sopravvivenza in natura. </w:t>
            </w:r>
          </w:p>
          <w:p>
            <w:pPr>
              <w:spacing w:after="0"/>
              <w:jc w:val="left"/>
              <w:rPr>
                <w:noProof/>
                <w:color w:val="000000" w:themeColor="text1"/>
                <w:sz w:val="20"/>
                <w:szCs w:val="20"/>
                <w:highlight w:val="yellow"/>
              </w:rPr>
            </w:pPr>
            <w:r>
              <w:rPr>
                <w:noProof/>
                <w:color w:val="000000" w:themeColor="text1"/>
                <w:sz w:val="20"/>
              </w:rPr>
              <w:t xml:space="preserve">Dopo la suddivisione tassonomica del </w:t>
            </w:r>
            <w:r>
              <w:rPr>
                <w:i/>
                <w:noProof/>
                <w:color w:val="000000" w:themeColor="text1"/>
                <w:sz w:val="20"/>
              </w:rPr>
              <w:t xml:space="preserve">Calotes liocephalus </w:t>
            </w:r>
            <w:r>
              <w:rPr>
                <w:noProof/>
                <w:color w:val="000000" w:themeColor="text1"/>
                <w:sz w:val="20"/>
              </w:rPr>
              <w:t xml:space="preserve">e del </w:t>
            </w:r>
            <w:r>
              <w:rPr>
                <w:i/>
                <w:noProof/>
                <w:color w:val="000000" w:themeColor="text1"/>
                <w:sz w:val="20"/>
              </w:rPr>
              <w:t>C. pethiyagodai</w:t>
            </w:r>
            <w:r>
              <w:rPr>
                <w:noProof/>
                <w:color w:val="000000" w:themeColor="text1"/>
                <w:sz w:val="20"/>
              </w:rPr>
              <w:t xml:space="preserve">, lo status nazionale è passato alla categoria "a grave rischio di estinzione" per il </w:t>
            </w:r>
            <w:r>
              <w:rPr>
                <w:i/>
                <w:noProof/>
                <w:color w:val="000000" w:themeColor="text1"/>
                <w:sz w:val="20"/>
              </w:rPr>
              <w:t>C. liocephalus,</w:t>
            </w:r>
            <w:r>
              <w:rPr>
                <w:noProof/>
                <w:color w:val="000000" w:themeColor="text1"/>
                <w:sz w:val="20"/>
              </w:rPr>
              <w:t xml:space="preserve"> per il quale non è proposta l'inclusione nell'elenco, sebbene tale specie sia anche più minacciata del </w:t>
            </w:r>
            <w:r>
              <w:rPr>
                <w:i/>
                <w:noProof/>
                <w:color w:val="000000" w:themeColor="text1"/>
                <w:sz w:val="20"/>
              </w:rPr>
              <w:t xml:space="preserve">C. pethivagodai. </w:t>
            </w:r>
            <w:r>
              <w:rPr>
                <w:noProof/>
                <w:color w:val="000000" w:themeColor="text1"/>
                <w:sz w:val="20"/>
              </w:rPr>
              <w:t xml:space="preserve">Poiché le due specie sono state considerate in precedenza come specie unica ed è quindi difficile distinguerle, l'inserimento nell'appendice I soltanto del </w:t>
            </w:r>
            <w:r>
              <w:rPr>
                <w:i/>
                <w:noProof/>
                <w:color w:val="000000" w:themeColor="text1"/>
                <w:sz w:val="20"/>
              </w:rPr>
              <w:t>C</w:t>
            </w:r>
            <w:r>
              <w:rPr>
                <w:noProof/>
                <w:color w:val="000000" w:themeColor="text1"/>
                <w:sz w:val="20"/>
              </w:rPr>
              <w:t xml:space="preserve">. </w:t>
            </w:r>
            <w:r>
              <w:rPr>
                <w:i/>
                <w:noProof/>
                <w:color w:val="000000" w:themeColor="text1"/>
                <w:sz w:val="20"/>
              </w:rPr>
              <w:t>Pethiyagodai</w:t>
            </w:r>
            <w:r>
              <w:rPr>
                <w:noProof/>
                <w:color w:val="000000" w:themeColor="text1"/>
                <w:sz w:val="20"/>
              </w:rPr>
              <w:t xml:space="preserve"> potrebbe creare problemi di conservazione per il </w:t>
            </w:r>
            <w:r>
              <w:rPr>
                <w:i/>
                <w:noProof/>
                <w:color w:val="000000" w:themeColor="text1"/>
                <w:sz w:val="20"/>
              </w:rPr>
              <w:t>C. liocephalus</w:t>
            </w:r>
            <w:r>
              <w:rPr>
                <w:noProof/>
                <w:color w:val="000000" w:themeColor="text1"/>
                <w:sz w:val="20"/>
              </w:rPr>
              <w:t xml:space="preserve"> oppure il commercio del </w:t>
            </w:r>
            <w:r>
              <w:rPr>
                <w:i/>
                <w:noProof/>
                <w:color w:val="000000" w:themeColor="text1"/>
                <w:sz w:val="20"/>
              </w:rPr>
              <w:t>C</w:t>
            </w:r>
            <w:r>
              <w:rPr>
                <w:noProof/>
                <w:color w:val="000000" w:themeColor="text1"/>
                <w:sz w:val="20"/>
              </w:rPr>
              <w:t xml:space="preserve">. </w:t>
            </w:r>
            <w:r>
              <w:rPr>
                <w:i/>
                <w:noProof/>
                <w:color w:val="000000" w:themeColor="text1"/>
                <w:sz w:val="20"/>
              </w:rPr>
              <w:t xml:space="preserve">pethiyagodai </w:t>
            </w:r>
            <w:r>
              <w:rPr>
                <w:noProof/>
                <w:color w:val="000000" w:themeColor="text1"/>
                <w:sz w:val="20"/>
              </w:rPr>
              <w:t xml:space="preserve">potrebbe proseguire come </w:t>
            </w:r>
            <w:r>
              <w:rPr>
                <w:i/>
                <w:noProof/>
                <w:color w:val="000000" w:themeColor="text1"/>
                <w:sz w:val="20"/>
              </w:rPr>
              <w:t xml:space="preserve">C. liocephalus. </w:t>
            </w:r>
            <w:r>
              <w:rPr>
                <w:noProof/>
                <w:color w:val="000000" w:themeColor="text1"/>
                <w:sz w:val="20"/>
              </w:rPr>
              <w:t>Vi sono anche problemi legati alla marcatura individuale degli esemplari se inseriti nell'appendice I, a causa delle dimensioni ridotte e del cambiamento di colore.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Ceratophora </w:t>
            </w:r>
            <w:r>
              <w:rPr>
                <w:noProof/>
                <w:color w:val="000000" w:themeColor="text1"/>
                <w:sz w:val="20"/>
              </w:rPr>
              <w:t>spp.</w:t>
            </w:r>
            <w:r>
              <w:rPr>
                <w:rFonts w:eastAsia="Times New Roman"/>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Inserire nell'appendice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rPr>
            </w:pPr>
            <w:r>
              <w:rPr>
                <w:noProof/>
                <w:color w:val="000000" w:themeColor="text1"/>
                <w:sz w:val="20"/>
              </w:rPr>
              <w:t xml:space="preserve">Opporsi all'inserimento del genere nell'appendice I, ma accettare di includere </w:t>
            </w:r>
            <w:r>
              <w:rPr>
                <w:i/>
                <w:noProof/>
                <w:color w:val="000000" w:themeColor="text1"/>
                <w:sz w:val="20"/>
              </w:rPr>
              <w:t>C. erdeleni, C. karu</w:t>
            </w:r>
            <w:r>
              <w:rPr>
                <w:noProof/>
                <w:color w:val="000000" w:themeColor="text1"/>
                <w:sz w:val="20"/>
              </w:rPr>
              <w:t xml:space="preserve"> e </w:t>
            </w:r>
            <w:r>
              <w:rPr>
                <w:i/>
                <w:noProof/>
                <w:color w:val="000000" w:themeColor="text1"/>
                <w:sz w:val="20"/>
              </w:rPr>
              <w:t>C. tennenti</w:t>
            </w:r>
            <w:r>
              <w:rPr>
                <w:noProof/>
                <w:color w:val="000000" w:themeColor="text1"/>
                <w:sz w:val="20"/>
              </w:rPr>
              <w:t xml:space="preserve"> nell'appendice I e </w:t>
            </w:r>
            <w:r>
              <w:rPr>
                <w:i/>
                <w:noProof/>
                <w:color w:val="000000" w:themeColor="text1"/>
                <w:sz w:val="20"/>
              </w:rPr>
              <w:t>C. stoddartii</w:t>
            </w:r>
            <w:r>
              <w:rPr>
                <w:noProof/>
                <w:color w:val="000000" w:themeColor="text1"/>
                <w:sz w:val="20"/>
              </w:rPr>
              <w:t xml:space="preserve"> e </w:t>
            </w:r>
            <w:r>
              <w:rPr>
                <w:i/>
                <w:noProof/>
                <w:color w:val="000000" w:themeColor="text1"/>
                <w:sz w:val="20"/>
              </w:rPr>
              <w:t>C. asper</w:t>
            </w:r>
            <w:r>
              <w:rPr>
                <w:noProof/>
                <w:color w:val="000000" w:themeColor="text1"/>
                <w:sz w:val="20"/>
              </w:rPr>
              <w:t xml:space="preserve"> nell'appendice II.</w:t>
            </w:r>
          </w:p>
          <w:p>
            <w:pPr>
              <w:keepLines/>
              <w:spacing w:after="0"/>
              <w:jc w:val="left"/>
              <w:rPr>
                <w:noProof/>
                <w:color w:val="000000" w:themeColor="text1"/>
                <w:sz w:val="20"/>
              </w:rPr>
            </w:pPr>
            <w:r>
              <w:rPr>
                <w:noProof/>
                <w:color w:val="000000" w:themeColor="text1"/>
                <w:sz w:val="20"/>
              </w:rPr>
              <w:t xml:space="preserve">Sono soddisfatti i criteri biologici per l'appendice I per le tre specie (su cinque specie del genere): </w:t>
            </w:r>
            <w:r>
              <w:rPr>
                <w:i/>
                <w:noProof/>
                <w:color w:val="000000" w:themeColor="text1"/>
                <w:sz w:val="20"/>
              </w:rPr>
              <w:t>C. karu, C. erdelen</w:t>
            </w:r>
            <w:r>
              <w:rPr>
                <w:noProof/>
                <w:color w:val="000000" w:themeColor="text1"/>
                <w:sz w:val="20"/>
              </w:rPr>
              <w:t xml:space="preserve">i e </w:t>
            </w:r>
            <w:r>
              <w:rPr>
                <w:i/>
                <w:noProof/>
                <w:color w:val="000000" w:themeColor="text1"/>
                <w:sz w:val="20"/>
              </w:rPr>
              <w:t>C. tennentii</w:t>
            </w:r>
            <w:r>
              <w:rPr>
                <w:noProof/>
                <w:color w:val="000000" w:themeColor="text1"/>
                <w:sz w:val="20"/>
              </w:rPr>
              <w:t xml:space="preserve">. L'appendice II sembra più idonea per le altre due specie </w:t>
            </w:r>
            <w:r>
              <w:rPr>
                <w:i/>
                <w:noProof/>
                <w:color w:val="000000" w:themeColor="text1"/>
                <w:sz w:val="20"/>
              </w:rPr>
              <w:t>C. aspera &amp; C. stoddartii</w:t>
            </w:r>
            <w:r>
              <w:rPr>
                <w:noProof/>
                <w:color w:val="000000" w:themeColor="text1"/>
                <w:sz w:val="20"/>
              </w:rPr>
              <w:t>, che sono più comuni, ma anche più commercializzate; da notare che non esiste alcun criterio di "somiglianza" per l'inserimento nell'appendice I [allegato 1 della risoluzione Conf. 9.24 (Rev. CoP17)].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Cophotis ceylanica </w:t>
            </w:r>
            <w:r>
              <w:rPr>
                <w:noProof/>
                <w:color w:val="000000" w:themeColor="text1"/>
                <w:sz w:val="20"/>
              </w:rPr>
              <w:t xml:space="preserve">e </w:t>
            </w:r>
            <w:r>
              <w:rPr>
                <w:i/>
                <w:noProof/>
                <w:color w:val="000000" w:themeColor="text1"/>
                <w:sz w:val="20"/>
              </w:rPr>
              <w:t>Cophotis dumbara</w:t>
            </w:r>
            <w:r>
              <w:rPr>
                <w:rFonts w:eastAsia="Times New Roman"/>
                <w:i/>
                <w:iCs/>
                <w:noProof/>
                <w:color w:val="000000" w:themeColor="text1"/>
                <w:sz w:val="20"/>
                <w:szCs w:val="20"/>
              </w:rPr>
              <w:br/>
            </w:r>
            <w:r>
              <w:rPr>
                <w:noProof/>
                <w:color w:val="000000" w:themeColor="text1"/>
                <w:sz w:val="20"/>
              </w:rPr>
              <w:t>(Lucertola pigmea)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Inserire nell'appendice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La proposta sembra soddisfare i criteri biologici; prelievi anche di piccole quantità possono avere un impatto considerevole sulle restanti popolazioni. Queste sono le uniche due specie di questo genere ed entrambe sono endemiche dello Sri Lanka e sono classificate come specie fortemente minacciate nella lista rossa nazionale dello Sri Lanka (2012). Ulteriori elementi di prova di attività commerciali internazionali recenti di esemplari catturati nel loro ambiente naturale sosterrebbero l'inserimento nell'appendice I, altrimenti l'appendice II potrebbe risultare più appropriata.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Lyriocephalus scutatus</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Inserire nell'appendice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Sostenere l'inserimento nell'appendice II, dato che i criteri per l'inserimento nell'appendice I non sono soddisfatti, mentre lo sono quelli per l'appendice II.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szCs w:val="20"/>
              </w:rPr>
              <w:t>Goniurosaurus spp.</w:t>
            </w:r>
            <w:r>
              <w:rPr>
                <w:rFonts w:eastAsia="Times New Roman"/>
                <w:i/>
                <w:iCs/>
                <w:noProof/>
                <w:color w:val="000000" w:themeColor="text1"/>
                <w:sz w:val="20"/>
                <w:szCs w:val="20"/>
              </w:rPr>
              <w:br/>
            </w:r>
            <w:r>
              <w:rPr>
                <w:noProof/>
                <w:color w:val="000000" w:themeColor="text1"/>
                <w:sz w:val="20"/>
                <w:szCs w:val="20"/>
              </w:rPr>
              <w:t>(Gechi leopardo)</w:t>
            </w:r>
            <w:r>
              <w:rPr>
                <w:rFonts w:eastAsia="Times New Roman"/>
                <w:iCs/>
                <w:noProof/>
                <w:color w:val="000000" w:themeColor="text1"/>
                <w:sz w:val="20"/>
                <w:szCs w:val="20"/>
              </w:rPr>
              <w:br/>
            </w:r>
            <w:r>
              <w:rPr>
                <w:noProof/>
                <w:color w:val="000000" w:themeColor="text1"/>
                <w:sz w:val="20"/>
                <w:szCs w:val="20"/>
              </w:rPr>
              <w:t>(popolazioni della Cina e del Vietnam)</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Inserire le specie della Cina e del Vietnam nell'appendice II</w:t>
            </w:r>
          </w:p>
          <w:p>
            <w:pPr>
              <w:spacing w:after="0"/>
              <w:jc w:val="left"/>
              <w:rPr>
                <w:rFonts w:eastAsia="Times New Roman"/>
                <w:noProof/>
                <w:color w:val="000000" w:themeColor="text1"/>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cs="Times New Roman"/>
                <w:noProof/>
                <w:color w:val="000000" w:themeColor="text1"/>
                <w:sz w:val="20"/>
                <w:szCs w:val="20"/>
              </w:rPr>
              <w:t>Cina, Unione europea, Vietnam</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Co-proposto dall'UE.</w:t>
            </w:r>
          </w:p>
          <w:p>
            <w:pPr>
              <w:spacing w:after="0"/>
              <w:jc w:val="left"/>
              <w:rPr>
                <w:noProof/>
                <w:color w:val="000000" w:themeColor="text1"/>
                <w:sz w:val="20"/>
                <w:szCs w:val="20"/>
              </w:rPr>
            </w:pPr>
            <w:r>
              <w:rPr>
                <w:noProof/>
                <w:color w:val="000000" w:themeColor="text1"/>
                <w:sz w:val="20"/>
                <w:szCs w:val="20"/>
              </w:rPr>
              <w:t>Richiedere la correzione della presentazione della proposta di inserimento sul sito web della COP 18 della CITES da "</w:t>
            </w:r>
            <w:r>
              <w:rPr>
                <w:i/>
                <w:noProof/>
                <w:color w:val="000000" w:themeColor="text1"/>
                <w:sz w:val="20"/>
                <w:szCs w:val="20"/>
              </w:rPr>
              <w:t>popolazioni</w:t>
            </w:r>
            <w:r>
              <w:rPr>
                <w:noProof/>
                <w:color w:val="000000" w:themeColor="text1"/>
                <w:sz w:val="20"/>
                <w:szCs w:val="20"/>
              </w:rPr>
              <w:t xml:space="preserve"> della Cina e del Vietnam" a "</w:t>
            </w:r>
            <w:r>
              <w:rPr>
                <w:i/>
                <w:noProof/>
                <w:color w:val="000000" w:themeColor="text1"/>
                <w:sz w:val="20"/>
                <w:szCs w:val="20"/>
              </w:rPr>
              <w:t>specie</w:t>
            </w:r>
            <w:r>
              <w:rPr>
                <w:noProof/>
                <w:color w:val="000000" w:themeColor="text1"/>
                <w:sz w:val="20"/>
                <w:szCs w:val="20"/>
              </w:rPr>
              <w:t xml:space="preserve"> della Cina e del Vietnam", in linea con il testo della proposta di inserimento originariamente presentata.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szCs w:val="20"/>
              </w:rPr>
              <w:t>Gekko gecko</w:t>
            </w:r>
            <w:r>
              <w:rPr>
                <w:rFonts w:eastAsia="Times New Roman"/>
                <w:i/>
                <w:iCs/>
                <w:noProof/>
                <w:color w:val="000000" w:themeColor="text1"/>
                <w:sz w:val="20"/>
                <w:szCs w:val="20"/>
              </w:rPr>
              <w:br/>
            </w:r>
            <w:r>
              <w:rPr>
                <w:noProof/>
                <w:color w:val="000000" w:themeColor="text1"/>
                <w:sz w:val="20"/>
                <w:szCs w:val="20"/>
              </w:rPr>
              <w:t>(Geco Tokay)</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cs="Times New Roman"/>
                <w:noProof/>
                <w:color w:val="000000" w:themeColor="text1"/>
                <w:sz w:val="20"/>
                <w:szCs w:val="20"/>
              </w:rPr>
              <w:t>Unione europea, India, Filippine, Stati Uniti d'America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szCs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i/>
                <w:noProof/>
                <w:color w:val="000000" w:themeColor="text1"/>
                <w:sz w:val="20"/>
                <w:szCs w:val="20"/>
              </w:rPr>
            </w:pPr>
            <w:r>
              <w:rPr>
                <w:i/>
                <w:noProof/>
                <w:color w:val="000000" w:themeColor="text1"/>
                <w:sz w:val="20"/>
                <w:szCs w:val="20"/>
              </w:rPr>
              <w:t xml:space="preserve">Gonatodes </w:t>
            </w:r>
            <w:r>
              <w:rPr>
                <w:rFonts w:eastAsia="Times New Roman"/>
                <w:i/>
                <w:iCs/>
                <w:noProof/>
                <w:color w:val="000000" w:themeColor="text1"/>
                <w:sz w:val="20"/>
                <w:szCs w:val="20"/>
              </w:rPr>
              <w:br/>
            </w:r>
            <w:r>
              <w:rPr>
                <w:i/>
                <w:noProof/>
                <w:color w:val="000000" w:themeColor="text1"/>
                <w:sz w:val="20"/>
                <w:szCs w:val="20"/>
              </w:rPr>
              <w:t>daudini</w:t>
            </w:r>
          </w:p>
          <w:p>
            <w:pPr>
              <w:spacing w:after="0"/>
              <w:jc w:val="left"/>
              <w:rPr>
                <w:rFonts w:eastAsia="Times New Roman"/>
                <w:noProof/>
                <w:color w:val="000000" w:themeColor="text1"/>
                <w:sz w:val="20"/>
                <w:szCs w:val="20"/>
              </w:rPr>
            </w:pP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w:t>
            </w:r>
          </w:p>
          <w:p>
            <w:pPr>
              <w:spacing w:after="0"/>
              <w:jc w:val="left"/>
              <w:rPr>
                <w:rFonts w:eastAsia="Times New Roman"/>
                <w:noProof/>
                <w:color w:val="000000" w:themeColor="text1"/>
                <w:sz w:val="20"/>
                <w:szCs w:val="20"/>
              </w:rPr>
            </w:pPr>
            <w:r>
              <w:rPr>
                <w:noProof/>
                <w:color w:val="000000" w:themeColor="text1"/>
                <w:sz w:val="20"/>
                <w:szCs w:val="20"/>
              </w:rPr>
              <w:t>Inserire nell'appendice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cs="Times New Roman"/>
                <w:noProof/>
                <w:color w:val="000000" w:themeColor="text1"/>
                <w:sz w:val="20"/>
                <w:szCs w:val="20"/>
              </w:rPr>
              <w:t>Saint Vincent e Grenadine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La specie soddisfa i criteri biologi per l'inserimento nell'appendice I. Il commercio internazionale è iniziato poco dopo la scoperta della specie ed è ancora in corso, sebbene non sia consentito prelevare tale specie dal suo habitat naturale.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szCs w:val="20"/>
              </w:rPr>
              <w:t>Paroedura androyensis</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szCs w:val="20"/>
              </w:rPr>
              <w:t>Unione europea, Madagascar</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szCs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szCs w:val="20"/>
              </w:rPr>
              <w:t>Ctenosaura </w:t>
            </w:r>
            <w:r>
              <w:rPr>
                <w:noProof/>
                <w:color w:val="000000" w:themeColor="text1"/>
                <w:sz w:val="20"/>
                <w:szCs w:val="20"/>
              </w:rPr>
              <w:t>spp.</w:t>
            </w:r>
            <w:r>
              <w:rPr>
                <w:rFonts w:eastAsia="Times New Roman"/>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line="212" w:lineRule="exact"/>
              <w:jc w:val="left"/>
              <w:rPr>
                <w:rFonts w:eastAsia="Times New Roman"/>
                <w:noProof/>
                <w:color w:val="000000" w:themeColor="text1"/>
                <w:sz w:val="20"/>
                <w:szCs w:val="20"/>
              </w:rPr>
            </w:pPr>
            <w:r>
              <w:rPr>
                <w:rStyle w:val="Bodytext2"/>
                <w:rFonts w:ascii="Times New Roman" w:hAnsi="Times New Roman" w:cs="Times New Roman"/>
                <w:noProof/>
                <w:color w:val="000000" w:themeColor="text1"/>
                <w:sz w:val="20"/>
                <w:szCs w:val="20"/>
              </w:rPr>
              <w:t>El Salvador e Messico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La proposta soddisfa i criteri di inserimento; diverse specie del genere potrebbero essere incluse nell'appendice I in futuro se il commercio non viene regolamentato, poiché sono caratterizzate da popolazioni esigue, aree di distribuzione limitate e hanno subito una diminuzione della popolazione, o una combinazione di questi tre criteri, e sono altamente vulnerabili a fattori intrinseci o estrinseci.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szCs w:val="20"/>
              </w:rPr>
              <w:t>Pseudocerastes urarachnoides</w:t>
            </w:r>
            <w:r>
              <w:rPr>
                <w:rFonts w:eastAsia="Times New Roman"/>
                <w:i/>
                <w:iCs/>
                <w:noProof/>
                <w:color w:val="000000" w:themeColor="text1"/>
                <w:sz w:val="20"/>
                <w:szCs w:val="20"/>
              </w:rPr>
              <w:br/>
            </w:r>
            <w:r>
              <w:rPr>
                <w:rStyle w:val="Bodytext2"/>
                <w:rFonts w:ascii="Times New Roman" w:hAnsi="Times New Roman" w:cs="Times New Roman"/>
                <w:noProof/>
                <w:color w:val="000000" w:themeColor="text1"/>
                <w:sz w:val="20"/>
                <w:szCs w:val="20"/>
              </w:rPr>
              <w:t>(Vipera cornuta dalla coda di ragno)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Iran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Sono necessarie ulteriori informazioni per dimostrare che i criteri </w:t>
            </w:r>
            <w:r>
              <w:rPr>
                <w:i/>
                <w:noProof/>
                <w:color w:val="000000" w:themeColor="text1"/>
                <w:sz w:val="20"/>
                <w:szCs w:val="20"/>
              </w:rPr>
              <w:t>commerciali</w:t>
            </w:r>
            <w:r>
              <w:rPr>
                <w:noProof/>
                <w:color w:val="000000" w:themeColor="text1"/>
                <w:sz w:val="20"/>
                <w:szCs w:val="20"/>
              </w:rPr>
              <w:t xml:space="preserve"> sono soddisfatti. La proposta sulla portata del prelievo in natura e sul commercio internazionale della specie contiene scarse informazioni (con indicazioni relative soltanto a un piccolo gruppo di esemplari commerciati al di fuori del proprio Stato dell'area di distribuzione) e, sebbene la specie sia classificata come "in pericolo a livello nazionale", non sono disponibili dati che indichino la dimensione della popolazione, la distribuzione o se la specie registri una diminuzione.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0</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szCs w:val="20"/>
              </w:rPr>
              <w:t>Cuora bourreti</w:t>
            </w:r>
            <w:r>
              <w:rPr>
                <w:rFonts w:eastAsia="Times New Roman"/>
                <w:i/>
                <w:iCs/>
                <w:noProof/>
                <w:color w:val="000000" w:themeColor="text1"/>
                <w:sz w:val="20"/>
                <w:szCs w:val="20"/>
              </w:rPr>
              <w:br/>
            </w:r>
            <w:r>
              <w:rPr>
                <w:noProof/>
                <w:color w:val="000000" w:themeColor="text1"/>
                <w:sz w:val="20"/>
                <w:szCs w:val="20"/>
              </w:rPr>
              <w:t>(Tartaruga scatola di Bourret)</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Vietnam</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Sostenere il trasferimento all'appendice I; si tratta di una specie "a grave rischio di estinzione" che soddisfa almeno il criterio C.i) dell'allegato 1 della risoluzione Conf. 9.24 ed è molto commercializzata.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szCs w:val="20"/>
              </w:rPr>
              <w:t>Cuora picturata</w:t>
            </w:r>
            <w:r>
              <w:rPr>
                <w:rFonts w:eastAsia="Times New Roman"/>
                <w:i/>
                <w:iCs/>
                <w:noProof/>
                <w:color w:val="000000" w:themeColor="text1"/>
                <w:sz w:val="20"/>
                <w:szCs w:val="20"/>
              </w:rPr>
              <w:br/>
            </w:r>
            <w:r>
              <w:rPr>
                <w:rStyle w:val="Bodytext2"/>
                <w:rFonts w:ascii="Times New Roman" w:hAnsi="Times New Roman" w:cs="Times New Roman"/>
                <w:noProof/>
                <w:color w:val="000000" w:themeColor="text1"/>
                <w:sz w:val="20"/>
                <w:szCs w:val="20"/>
              </w:rPr>
              <w:t>(</w:t>
            </w:r>
            <w:r>
              <w:rPr>
                <w:noProof/>
                <w:color w:val="000000" w:themeColor="text1"/>
                <w:sz w:val="20"/>
                <w:szCs w:val="20"/>
              </w:rPr>
              <w:t>Tartaruga scatola del Vietnam)</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Vietnam</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Sostenere il trasferimento all'appendice I; si tratta di una specie "a grave rischio di estinzione" che soddisfa tutti i criteri biologici della risoluzione Conf. 9.24 dell'appendice I ed è molto commercializzata. La proposta nasce da una raccomandazione di riesame periodico.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szCs w:val="20"/>
              </w:rPr>
              <w:t xml:space="preserve">Mauremys </w:t>
            </w:r>
            <w:r>
              <w:rPr>
                <w:rFonts w:eastAsia="Times New Roman"/>
                <w:i/>
                <w:iCs/>
                <w:noProof/>
                <w:color w:val="000000" w:themeColor="text1"/>
                <w:sz w:val="20"/>
                <w:szCs w:val="20"/>
              </w:rPr>
              <w:br/>
            </w:r>
            <w:r>
              <w:rPr>
                <w:i/>
                <w:noProof/>
                <w:color w:val="000000" w:themeColor="text1"/>
                <w:sz w:val="20"/>
                <w:szCs w:val="20"/>
              </w:rPr>
              <w:t>annamensis</w:t>
            </w:r>
            <w:r>
              <w:rPr>
                <w:rFonts w:eastAsia="Times New Roman"/>
                <w:i/>
                <w:iCs/>
                <w:noProof/>
                <w:color w:val="000000" w:themeColor="text1"/>
                <w:sz w:val="20"/>
                <w:szCs w:val="20"/>
              </w:rPr>
              <w:br/>
            </w:r>
            <w:r>
              <w:rPr>
                <w:noProof/>
                <w:color w:val="000000" w:themeColor="text1"/>
                <w:sz w:val="20"/>
                <w:szCs w:val="20"/>
              </w:rPr>
              <w:t>(Tartaruga palustre del Vietnam)</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Vietnam</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Sostenere il trasferimento all'appendice I; si tratta di una specie "a grave rischio di estinzione" che soddisfa almeno il criterio C. i) dell'allegato 1 della risoluzione Conf. 9.24 ed è molto commercializzata. La proposta nasce da una raccomandazione di riesame periodico.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szCs w:val="20"/>
              </w:rPr>
              <w:t xml:space="preserve">Geochelone </w:t>
            </w:r>
            <w:r>
              <w:rPr>
                <w:rFonts w:eastAsia="Times New Roman"/>
                <w:i/>
                <w:iCs/>
                <w:noProof/>
                <w:color w:val="000000" w:themeColor="text1"/>
                <w:sz w:val="20"/>
                <w:szCs w:val="20"/>
              </w:rPr>
              <w:br/>
            </w:r>
            <w:r>
              <w:rPr>
                <w:i/>
                <w:noProof/>
                <w:color w:val="000000" w:themeColor="text1"/>
                <w:sz w:val="20"/>
                <w:szCs w:val="20"/>
              </w:rPr>
              <w:t>elegans</w:t>
            </w:r>
            <w:r>
              <w:rPr>
                <w:rFonts w:eastAsia="Times New Roman"/>
                <w:i/>
                <w:iCs/>
                <w:noProof/>
                <w:color w:val="000000" w:themeColor="text1"/>
                <w:sz w:val="20"/>
                <w:szCs w:val="20"/>
              </w:rPr>
              <w:br/>
            </w:r>
            <w:r>
              <w:rPr>
                <w:rStyle w:val="Bodytext2"/>
                <w:rFonts w:ascii="Times New Roman" w:hAnsi="Times New Roman" w:cs="Times New Roman"/>
                <w:noProof/>
                <w:color w:val="000000" w:themeColor="text1"/>
                <w:sz w:val="20"/>
                <w:szCs w:val="20"/>
              </w:rPr>
              <w:t>(Tartaruga stellata)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cs="Times New Roman"/>
                <w:noProof/>
                <w:color w:val="000000" w:themeColor="text1"/>
                <w:sz w:val="20"/>
                <w:szCs w:val="20"/>
              </w:rPr>
              <w:t>Bangladesh, India, Senegal e Sri Lanka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 xml:space="preserve">L'inserimento nell'elenco è proposto congiuntamente dalla maggioranza degli Stati dell'area di distribuzione. Tuttavia, sarebbero necessarie maggiori informazioni per confermare che i criteri biologici dell'allegato 1 della risoluzione Conf. 9.24 siano soddisfatti. Il commercio illegale è motivo di grande preoccupazione, sebbene il prelievo e il commercio degli esemplari selvatici sia già proibito negli Stati dell'area di distribuzione. Le preoccupazioni legate all'utilizzo errato del codice di origine C e al potenziale riciclaggio di esemplari selvatici mediante operazioni di allevamento in cattività sono già affrontate dalla CITES nella risoluzione Conf. 17.7.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szCs w:val="20"/>
              </w:rPr>
              <w:t>Malacochersus tornieri</w:t>
            </w:r>
            <w:r>
              <w:rPr>
                <w:rFonts w:eastAsia="Times New Roman"/>
                <w:i/>
                <w:iCs/>
                <w:noProof/>
                <w:color w:val="000000" w:themeColor="text1"/>
                <w:sz w:val="20"/>
                <w:szCs w:val="20"/>
              </w:rPr>
              <w:br/>
            </w:r>
            <w:r>
              <w:rPr>
                <w:rStyle w:val="Bodytext2"/>
                <w:rFonts w:ascii="Times New Roman" w:hAnsi="Times New Roman" w:cs="Times New Roman"/>
                <w:noProof/>
                <w:color w:val="000000" w:themeColor="text1"/>
                <w:sz w:val="20"/>
                <w:szCs w:val="20"/>
              </w:rPr>
              <w:t>(Testuggine focaccia africana)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II – I</w:t>
            </w:r>
          </w:p>
          <w:p>
            <w:pPr>
              <w:spacing w:after="0"/>
              <w:jc w:val="left"/>
              <w:rPr>
                <w:rFonts w:eastAsia="Times New Roman"/>
                <w:noProof/>
                <w:color w:val="000000" w:themeColor="text1"/>
                <w:sz w:val="20"/>
                <w:szCs w:val="20"/>
              </w:rPr>
            </w:pPr>
            <w:r>
              <w:rPr>
                <w:noProof/>
                <w:color w:val="000000" w:themeColor="text1"/>
                <w:sz w:val="20"/>
                <w:szCs w:val="20"/>
              </w:rPr>
              <w:t>Trasferimento dall'appendice II all'appendice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Kenya,</w:t>
            </w:r>
            <w:r>
              <w:rPr>
                <w:rFonts w:eastAsia="Times New Roman"/>
                <w:noProof/>
                <w:color w:val="000000" w:themeColor="text1"/>
                <w:sz w:val="20"/>
                <w:szCs w:val="20"/>
              </w:rPr>
              <w:br/>
            </w:r>
            <w:r>
              <w:rPr>
                <w:noProof/>
                <w:color w:val="000000" w:themeColor="text1"/>
                <w:sz w:val="20"/>
                <w:szCs w:val="20"/>
              </w:rPr>
              <w:t>Stati Uniti d'America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Sostenere la proposta. La più recente valutazione della lista rossa (2018)</w:t>
            </w:r>
            <w:r>
              <w:rPr>
                <w:i/>
                <w:noProof/>
                <w:color w:val="000000" w:themeColor="text1"/>
                <w:sz w:val="20"/>
                <w:szCs w:val="20"/>
              </w:rPr>
              <w:t xml:space="preserve"> </w:t>
            </w:r>
            <w:r>
              <w:rPr>
                <w:noProof/>
                <w:color w:val="000000" w:themeColor="text1"/>
                <w:sz w:val="20"/>
                <w:szCs w:val="20"/>
              </w:rPr>
              <w:t>ha definito la specie "a grave rischio di estinzione". La proposta sembra essere proporzionata ai rischi previsti per la specie, che registra una forte domanda dal settore commerciale ed è oggetto di commercio illegale. Si rileva che lo sfruttamento eccessivo sia il principale fattore che colpisce al momento le popolazioni della specie. La specie sembra soddisfare i criteri di inserimento nell'appendice 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szCs w:val="20"/>
              </w:rPr>
              <w:t xml:space="preserve">Hyalinobatrachium </w:t>
            </w:r>
            <w:r>
              <w:rPr>
                <w:noProof/>
                <w:color w:val="000000" w:themeColor="text1"/>
                <w:sz w:val="20"/>
                <w:szCs w:val="20"/>
              </w:rPr>
              <w:t xml:space="preserve">spp., </w:t>
            </w:r>
            <w:r>
              <w:rPr>
                <w:i/>
                <w:noProof/>
                <w:color w:val="000000" w:themeColor="text1"/>
                <w:sz w:val="20"/>
                <w:szCs w:val="20"/>
              </w:rPr>
              <w:t>Centrolene</w:t>
            </w:r>
            <w:r>
              <w:rPr>
                <w:noProof/>
                <w:color w:val="000000" w:themeColor="text1"/>
                <w:sz w:val="20"/>
                <w:szCs w:val="20"/>
              </w:rPr>
              <w:t xml:space="preserve"> spp., </w:t>
            </w:r>
            <w:r>
              <w:rPr>
                <w:i/>
                <w:noProof/>
                <w:color w:val="000000" w:themeColor="text1"/>
                <w:sz w:val="20"/>
                <w:szCs w:val="20"/>
              </w:rPr>
              <w:t>Cochranella</w:t>
            </w:r>
            <w:r>
              <w:rPr>
                <w:noProof/>
                <w:color w:val="000000" w:themeColor="text1"/>
                <w:sz w:val="20"/>
                <w:szCs w:val="20"/>
              </w:rPr>
              <w:t xml:space="preserve"> spp., e </w:t>
            </w:r>
            <w:r>
              <w:rPr>
                <w:i/>
                <w:noProof/>
                <w:color w:val="000000" w:themeColor="text1"/>
                <w:sz w:val="20"/>
                <w:szCs w:val="20"/>
              </w:rPr>
              <w:t>Sachatamia</w:t>
            </w:r>
            <w:r>
              <w:rPr>
                <w:noProof/>
                <w:color w:val="000000" w:themeColor="text1"/>
                <w:sz w:val="20"/>
                <w:szCs w:val="20"/>
              </w:rPr>
              <w:t xml:space="preserve"> spp.</w:t>
            </w:r>
            <w:r>
              <w:rPr>
                <w:rFonts w:eastAsia="Times New Roman"/>
                <w:noProof/>
                <w:color w:val="000000" w:themeColor="text1"/>
                <w:sz w:val="20"/>
                <w:szCs w:val="20"/>
              </w:rPr>
              <w:br/>
            </w:r>
            <w:r>
              <w:rPr>
                <w:noProof/>
                <w:color w:val="000000" w:themeColor="text1"/>
                <w:sz w:val="20"/>
                <w:szCs w:val="20"/>
              </w:rPr>
              <w:t>(Rane di vetro)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0 - II</w:t>
            </w:r>
          </w:p>
          <w:p>
            <w:pPr>
              <w:spacing w:after="0"/>
              <w:jc w:val="left"/>
              <w:rPr>
                <w:rFonts w:eastAsia="Times New Roman"/>
                <w:noProof/>
                <w:color w:val="000000" w:themeColor="text1"/>
                <w:sz w:val="20"/>
                <w:szCs w:val="20"/>
              </w:rPr>
            </w:pPr>
            <w:r>
              <w:rPr>
                <w:noProof/>
                <w:color w:val="000000" w:themeColor="text1"/>
                <w:sz w:val="20"/>
                <w:szCs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szCs w:val="20"/>
              </w:rPr>
              <w:t>Costa Rica,</w:t>
            </w:r>
            <w:r>
              <w:rPr>
                <w:rFonts w:eastAsia="Times New Roman"/>
                <w:noProof/>
                <w:color w:val="000000" w:themeColor="text1"/>
                <w:sz w:val="20"/>
                <w:szCs w:val="20"/>
              </w:rPr>
              <w:br/>
            </w:r>
            <w:r>
              <w:rPr>
                <w:noProof/>
                <w:color w:val="000000" w:themeColor="text1"/>
                <w:sz w:val="20"/>
                <w:szCs w:val="20"/>
              </w:rPr>
              <w:t>El Salvador</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szCs w:val="20"/>
              </w:rPr>
              <w:t xml:space="preserve">L'UE potrebbe sostenere una proposta più limitata, se i proponenti decidono di circoscriverla alle sole specie per cui è possibile dimostrare la conformità con i criteri di inserimento. Tuttavia, a causa della mancanza di dati sulla popolazione e poiché il commercio dichiarato avviene per lo più per le specie "a rischio minimo", l'inclusione nell'appendice II di tutte le 104 specie che appartengono ai quattro generi non sembra proporzionata. Sono necessarie ulteriori informazioni per quelle specie il cui commercio è più diffuso.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Echinotriton chinhaiensis </w:t>
            </w:r>
            <w:r>
              <w:rPr>
                <w:noProof/>
                <w:color w:val="000000" w:themeColor="text1"/>
                <w:sz w:val="20"/>
              </w:rPr>
              <w:t>e </w:t>
            </w:r>
            <w:r>
              <w:rPr>
                <w:i/>
                <w:noProof/>
                <w:color w:val="000000" w:themeColor="text1"/>
                <w:sz w:val="20"/>
              </w:rPr>
              <w:t>Echinotriton maxiquadratus</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r>
              <w:rPr>
                <w:rFonts w:eastAsia="Times New Roman"/>
                <w:noProof/>
                <w:color w:val="000000" w:themeColor="text1"/>
                <w:sz w:val="20"/>
                <w:szCs w:val="20"/>
              </w:rPr>
              <w:br/>
            </w: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Cina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Calibri"/>
                <w:noProof/>
                <w:color w:val="000000" w:themeColor="text1"/>
                <w:sz w:val="20"/>
                <w:szCs w:val="20"/>
              </w:rPr>
            </w:pPr>
            <w:r>
              <w:rPr>
                <w:noProof/>
                <w:color w:val="000000" w:themeColor="text1"/>
                <w:sz w:val="20"/>
              </w:rPr>
              <w:t>Le specie soddisfano i criteri biologi per l'inserimento nell'appendice I.</w:t>
            </w:r>
            <w:r>
              <w:rPr>
                <w:rFonts w:ascii="Calibri" w:hAnsi="Calibri"/>
                <w:noProof/>
                <w:color w:val="000000" w:themeColor="text1"/>
              </w:rPr>
              <w:t xml:space="preserve"> </w:t>
            </w:r>
            <w:r>
              <w:rPr>
                <w:noProof/>
                <w:color w:val="000000" w:themeColor="text1"/>
                <w:sz w:val="20"/>
              </w:rPr>
              <w:t xml:space="preserve">La loro conservazione trarrebbe beneficio da una tutela internazionale. Sebbene i livelli di commercio internazionale sembrino bassi, </w:t>
            </w:r>
            <w:r>
              <w:rPr>
                <w:i/>
                <w:noProof/>
                <w:color w:val="000000" w:themeColor="text1"/>
                <w:sz w:val="20"/>
              </w:rPr>
              <w:t>qualsiasi</w:t>
            </w:r>
            <w:r>
              <w:rPr>
                <w:noProof/>
                <w:color w:val="000000" w:themeColor="text1"/>
                <w:sz w:val="20"/>
              </w:rPr>
              <w:t xml:space="preserve"> commercio di esemplari selvatici potrebbe nuocere alla sopravvivenza delle popolazioni, poiché le popolazioni sono esigue e in diminuzione.</w:t>
            </w:r>
          </w:p>
          <w:p>
            <w:pPr>
              <w:spacing w:after="0"/>
              <w:jc w:val="left"/>
              <w:rPr>
                <w:noProof/>
                <w:color w:val="000000" w:themeColor="text1"/>
                <w:sz w:val="20"/>
                <w:szCs w:val="20"/>
                <w:highlight w:val="yellow"/>
              </w:rPr>
            </w:pPr>
            <w:r>
              <w:rPr>
                <w:noProof/>
                <w:color w:val="000000" w:themeColor="text1"/>
                <w:sz w:val="20"/>
              </w:rPr>
              <w:t>L'</w:t>
            </w:r>
            <w:r>
              <w:rPr>
                <w:i/>
                <w:noProof/>
                <w:color w:val="000000" w:themeColor="text1"/>
                <w:sz w:val="20"/>
              </w:rPr>
              <w:t>Echinotriton</w:t>
            </w:r>
            <w:r>
              <w:rPr>
                <w:noProof/>
                <w:color w:val="000000" w:themeColor="text1"/>
                <w:sz w:val="20"/>
              </w:rPr>
              <w:t xml:space="preserve"> è stato distinto dal </w:t>
            </w:r>
            <w:r>
              <w:rPr>
                <w:i/>
                <w:noProof/>
                <w:color w:val="000000" w:themeColor="text1"/>
                <w:sz w:val="20"/>
              </w:rPr>
              <w:t>Tylototriton</w:t>
            </w:r>
            <w:r>
              <w:rPr>
                <w:noProof/>
                <w:color w:val="000000" w:themeColor="text1"/>
                <w:sz w:val="20"/>
              </w:rPr>
              <w:t xml:space="preserve"> (proposta di inserimento n° 41) solo nel 1982. Pertanto, l'inserimento nell'elenco di entrambi i generi è altresì appropriato sulla base del criterio della somiglianza.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Paramesotriton spp.</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Cina, Unione europea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Tylototriton spp.</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cs="Times New Roman"/>
                <w:noProof/>
                <w:color w:val="000000" w:themeColor="text1"/>
                <w:sz w:val="20"/>
              </w:rPr>
              <w:t>Cina, Unione europea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Isurus oxyrinchus </w:t>
            </w:r>
            <w:r>
              <w:rPr>
                <w:noProof/>
                <w:color w:val="000000" w:themeColor="text1"/>
                <w:sz w:val="20"/>
              </w:rPr>
              <w:t>e</w:t>
            </w:r>
            <w:r>
              <w:rPr>
                <w:i/>
                <w:noProof/>
                <w:color w:val="000000" w:themeColor="text1"/>
                <w:sz w:val="20"/>
              </w:rPr>
              <w:t xml:space="preserve"> Isurus paucus</w:t>
            </w:r>
            <w:r>
              <w:rPr>
                <w:rFonts w:eastAsia="Times New Roman"/>
                <w:i/>
                <w:iCs/>
                <w:noProof/>
                <w:color w:val="000000" w:themeColor="text1"/>
                <w:sz w:val="20"/>
                <w:szCs w:val="20"/>
              </w:rPr>
              <w:br/>
            </w:r>
            <w:r>
              <w:rPr>
                <w:noProof/>
                <w:color w:val="000000" w:themeColor="text1"/>
                <w:sz w:val="20"/>
              </w:rPr>
              <w:t>(Squali mako)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Bangladesh, Benin, Bhutan, Brasile, Burkina Faso, Capo Verde, Ciad, Costa d'Avorio, Repubblica dominicana, Egitto, Unione europea, Gabon, Gambia, Giordania, Libano, Liberia, Maldive, Mali, Messico, Nepal, Niger, Nigeria, Palau, Samoa, Senegal, Sri Lanka, Sudan, Togo</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 Posizione da ultimare tenendo conto dei risultati delle valutazioni del gruppo consultivo di esperti della FAO, del Segretariato CITES e dell'IUCN.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Glaucostegus spp.</w:t>
            </w:r>
            <w:r>
              <w:rPr>
                <w:rFonts w:eastAsia="Times New Roman"/>
                <w:i/>
                <w:iCs/>
                <w:noProof/>
                <w:color w:val="000000" w:themeColor="text1"/>
                <w:sz w:val="20"/>
                <w:szCs w:val="20"/>
              </w:rPr>
              <w:br/>
            </w:r>
            <w:r>
              <w:rPr>
                <w:noProof/>
                <w:color w:val="000000" w:themeColor="text1"/>
                <w:sz w:val="20"/>
              </w:rPr>
              <w:t>(Pesci chitarra)</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Bangladesh, Benin, Bhutan, Brasile, Burkina Faso, Capo Verde, Ciad, Costa d'Avorio, Egitto, Unione europea, Gabon, Gambia, Maldive, Mali, Mauritania, Monaco, Nepal, Niger, Nigeria, Palau, Senegal, Sierra Leone, Sri Lanka, Repubblica araba siriana, Togo, Ucraina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Rhinidae spp.</w:t>
            </w:r>
            <w:r>
              <w:rPr>
                <w:rFonts w:eastAsia="Times New Roman"/>
                <w:i/>
                <w:iCs/>
                <w:noProof/>
                <w:color w:val="000000" w:themeColor="text1"/>
                <w:sz w:val="20"/>
                <w:szCs w:val="20"/>
              </w:rPr>
              <w:br/>
            </w:r>
            <w:r>
              <w:rPr>
                <w:noProof/>
                <w:color w:val="000000" w:themeColor="text1"/>
                <w:sz w:val="20"/>
              </w:rPr>
              <w:t>(Rinidi)</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Bangladesh, Benin, Bhutan, Brasile, Burkina Faso, Capo Verde, Ciad, Costa d'Avorio, Egitto, Etiopia, Unione europea, Figi, Gabon, Gambia, India, Giordania, Kenya, Libano, Maldive, Mali, Messico, Monaco, Nepal, Niger, Nigeria, Palau, Filippine, Arabia Saudita, Senegal, Seychelles, Sri Lanka, Sudan, Repubblica araba siriana, Togo e Ucraina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Holothuria (Microthele) fuscogilva, Holothuria (Microthele) nobilis, Holothuria (Microthele) whitmaei</w:t>
            </w:r>
            <w:r>
              <w:rPr>
                <w:rFonts w:eastAsia="Times New Roman"/>
                <w:i/>
                <w:iCs/>
                <w:noProof/>
                <w:color w:val="000000" w:themeColor="text1"/>
                <w:sz w:val="20"/>
                <w:szCs w:val="20"/>
              </w:rPr>
              <w:br/>
            </w:r>
            <w:r>
              <w:rPr>
                <w:noProof/>
                <w:color w:val="000000" w:themeColor="text1"/>
                <w:sz w:val="20"/>
              </w:rPr>
              <w:t>(Oloturie)</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Unione europea,</w:t>
            </w:r>
            <w:r>
              <w:rPr>
                <w:rFonts w:eastAsia="Times New Roman"/>
                <w:noProof/>
                <w:color w:val="000000" w:themeColor="text1"/>
                <w:sz w:val="20"/>
                <w:szCs w:val="20"/>
              </w:rPr>
              <w:br/>
            </w:r>
            <w:r>
              <w:rPr>
                <w:noProof/>
                <w:color w:val="000000" w:themeColor="text1"/>
                <w:sz w:val="20"/>
              </w:rPr>
              <w:t>Kenya, Senegal, Seychelles, Stati Uniti d'America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 xml:space="preserve">Poecilotheria </w:t>
            </w:r>
            <w:r>
              <w:rPr>
                <w:noProof/>
                <w:color w:val="000000" w:themeColor="text1"/>
                <w:sz w:val="20"/>
              </w:rPr>
              <w:t>spp.</w:t>
            </w:r>
            <w:r>
              <w:rPr>
                <w:rFonts w:eastAsia="Times New Roman"/>
                <w:noProof/>
                <w:color w:val="000000" w:themeColor="text1"/>
                <w:sz w:val="20"/>
                <w:szCs w:val="20"/>
              </w:rPr>
              <w:br/>
            </w:r>
            <w:r>
              <w:rPr>
                <w:rStyle w:val="Bodytext2"/>
                <w:noProof/>
                <w:color w:val="000000" w:themeColor="text1"/>
                <w:sz w:val="20"/>
              </w:rPr>
              <w:t>(Ragni ornamentali)</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Sri Lanka,</w:t>
            </w:r>
            <w:r>
              <w:rPr>
                <w:rFonts w:eastAsia="Times New Roman"/>
                <w:noProof/>
                <w:color w:val="000000" w:themeColor="text1"/>
                <w:sz w:val="20"/>
                <w:szCs w:val="20"/>
              </w:rPr>
              <w:br/>
            </w:r>
            <w:r>
              <w:rPr>
                <w:noProof/>
                <w:color w:val="000000" w:themeColor="text1"/>
                <w:sz w:val="20"/>
              </w:rPr>
              <w:t>Stati Uniti d'America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Sostenere in modo provvisorio. Tutte le specie sembrano soddisfare almeno alcuni dei criteri di inserimento nell'appendice II. Si potrebbero riscontrare delle difficoltà attuative per quanto riguarda l'identificazione degli esemplari allevati in cattività.</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center"/>
              <w:rPr>
                <w:rFonts w:eastAsia="Times New Roman"/>
                <w:noProof/>
                <w:color w:val="000000" w:themeColor="text1"/>
                <w:sz w:val="20"/>
                <w:szCs w:val="20"/>
              </w:rPr>
            </w:pPr>
            <w:r>
              <w:rPr>
                <w:noProof/>
                <w:color w:val="000000" w:themeColor="text1"/>
                <w:sz w:val="20"/>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left"/>
              <w:rPr>
                <w:rFonts w:eastAsia="Times New Roman"/>
                <w:i/>
                <w:iCs/>
                <w:noProof/>
                <w:color w:val="000000" w:themeColor="text1"/>
                <w:sz w:val="20"/>
                <w:szCs w:val="20"/>
              </w:rPr>
            </w:pPr>
            <w:r>
              <w:rPr>
                <w:i/>
                <w:noProof/>
                <w:color w:val="000000" w:themeColor="text1"/>
                <w:sz w:val="20"/>
              </w:rPr>
              <w:t>Achillides chikae hermeli</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left"/>
              <w:rPr>
                <w:rFonts w:eastAsia="Times New Roman"/>
                <w:noProof/>
                <w:color w:val="000000" w:themeColor="text1"/>
                <w:sz w:val="20"/>
                <w:szCs w:val="20"/>
              </w:rPr>
            </w:pPr>
            <w:r>
              <w:rPr>
                <w:noProof/>
                <w:color w:val="000000" w:themeColor="text1"/>
                <w:sz w:val="20"/>
              </w:rPr>
              <w:t>0 -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cs="Times New Roman"/>
                <w:noProof/>
                <w:color w:val="000000" w:themeColor="text1"/>
              </w:rPr>
              <w:t>Unione europea,</w:t>
            </w:r>
            <w:r>
              <w:rPr>
                <w:rStyle w:val="Bodytext2"/>
                <w:rFonts w:ascii="Times New Roman" w:hAnsi="Times New Roman" w:cs="Times New Roman"/>
                <w:noProof/>
                <w:color w:val="000000" w:themeColor="text1"/>
              </w:rPr>
              <w:br/>
              <w:t>Filippine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Parides burchellanus</w:t>
            </w:r>
            <w:r>
              <w:rPr>
                <w:rFonts w:eastAsia="Times New Roman"/>
                <w:i/>
                <w:iCs/>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w:t>
            </w:r>
          </w:p>
          <w:p>
            <w:pPr>
              <w:spacing w:after="0"/>
              <w:jc w:val="left"/>
              <w:rPr>
                <w:rFonts w:eastAsia="Times New Roman"/>
                <w:noProof/>
                <w:color w:val="000000" w:themeColor="text1"/>
                <w:sz w:val="20"/>
                <w:szCs w:val="20"/>
              </w:rPr>
            </w:pPr>
            <w:r>
              <w:rPr>
                <w:noProof/>
                <w:color w:val="000000" w:themeColor="text1"/>
                <w:sz w:val="20"/>
              </w:rPr>
              <w:t>Inserire nell'appendice 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Brasile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 xml:space="preserve">Sostenere la proposta. </w:t>
            </w:r>
            <w:r>
              <w:rPr>
                <w:i/>
                <w:noProof/>
                <w:color w:val="000000" w:themeColor="text1"/>
                <w:sz w:val="20"/>
              </w:rPr>
              <w:t xml:space="preserve">La specie soddisfa i criteri di inserimento nell'appendice I. La specie </w:t>
            </w:r>
            <w:r>
              <w:rPr>
                <w:noProof/>
                <w:color w:val="000000" w:themeColor="text1"/>
                <w:sz w:val="20"/>
              </w:rPr>
              <w:t xml:space="preserve">è presente in commercio e, vista la dimensione ridotta della popolazione, qualsiasi tipo di commercio potrebbe essere dannoso. </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49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 xml:space="preserve">Handroanthus </w:t>
            </w:r>
            <w:r>
              <w:rPr>
                <w:noProof/>
                <w:color w:val="000000" w:themeColor="text1"/>
                <w:sz w:val="20"/>
              </w:rPr>
              <w:t>spp</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rPr>
              <w:t xml:space="preserve">Tabebuia </w:t>
            </w:r>
            <w:r>
              <w:rPr>
                <w:noProof/>
                <w:color w:val="000000" w:themeColor="text1"/>
                <w:sz w:val="20"/>
              </w:rPr>
              <w:t>spp. e </w:t>
            </w:r>
            <w:r>
              <w:rPr>
                <w:rFonts w:eastAsia="Times New Roman"/>
                <w:noProof/>
                <w:color w:val="000000" w:themeColor="text1"/>
                <w:sz w:val="20"/>
                <w:szCs w:val="20"/>
              </w:rPr>
              <w:br/>
            </w:r>
            <w:r>
              <w:rPr>
                <w:i/>
                <w:noProof/>
                <w:color w:val="000000" w:themeColor="text1"/>
                <w:sz w:val="20"/>
              </w:rPr>
              <w:t xml:space="preserve">Roseodendron </w:t>
            </w:r>
            <w:r>
              <w:rPr>
                <w:noProof/>
                <w:color w:val="000000" w:themeColor="text1"/>
                <w:sz w:val="20"/>
              </w:rPr>
              <w:t>spp.</w:t>
            </w:r>
            <w:r>
              <w:rPr>
                <w:rFonts w:eastAsia="Times New Roman"/>
                <w:noProof/>
                <w:color w:val="000000" w:themeColor="text1"/>
                <w:sz w:val="20"/>
                <w:szCs w:val="20"/>
              </w:rPr>
              <w:br/>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 con annotazione #6</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Brasile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 xml:space="preserve">Sostenere la proposta. Sono soddisfatti i criteri delle risoluzioni 9.24 e 11.21. Le specie del genere </w:t>
            </w:r>
            <w:r>
              <w:rPr>
                <w:i/>
                <w:noProof/>
                <w:color w:val="000000" w:themeColor="text1"/>
                <w:sz w:val="20"/>
              </w:rPr>
              <w:t>Handroanthus</w:t>
            </w:r>
            <w:r>
              <w:rPr>
                <w:noProof/>
                <w:color w:val="000000" w:themeColor="text1"/>
                <w:sz w:val="20"/>
              </w:rPr>
              <w:t xml:space="preserve"> sono note in commercio per applicazioni nel settore dell'edilizia e da esterno. Le valutazioni scientifiche suggeriscono che questo commercio è responsabile della diminuzione della popolazione e ha un effetto nocivo sullo stato di conservazione della specie. La </w:t>
            </w:r>
            <w:r>
              <w:rPr>
                <w:i/>
                <w:noProof/>
                <w:color w:val="000000" w:themeColor="text1"/>
                <w:sz w:val="20"/>
              </w:rPr>
              <w:t>Tabebuia</w:t>
            </w:r>
            <w:r>
              <w:rPr>
                <w:noProof/>
                <w:color w:val="000000" w:themeColor="text1"/>
                <w:sz w:val="20"/>
              </w:rPr>
              <w:t xml:space="preserve"> e il </w:t>
            </w:r>
            <w:r>
              <w:rPr>
                <w:i/>
                <w:noProof/>
                <w:color w:val="000000" w:themeColor="text1"/>
                <w:sz w:val="20"/>
              </w:rPr>
              <w:t>Roseodendron</w:t>
            </w:r>
            <w:r>
              <w:rPr>
                <w:noProof/>
                <w:color w:val="000000" w:themeColor="text1"/>
                <w:sz w:val="20"/>
              </w:rPr>
              <w:t xml:space="preserve"> sono commercializzati con lo stesso nome commerciale e scientifico ed è difficile distinguere il legname dall'</w:t>
            </w:r>
            <w:r>
              <w:rPr>
                <w:i/>
                <w:noProof/>
                <w:color w:val="000000" w:themeColor="text1"/>
                <w:sz w:val="20"/>
              </w:rPr>
              <w:t>Handroanthus</w:t>
            </w:r>
            <w:r>
              <w:rPr>
                <w:noProof/>
                <w:color w:val="000000" w:themeColor="text1"/>
                <w:sz w:val="20"/>
              </w:rPr>
              <w:t>. La portata della proposta è ben giustificata per ragioni basate sulla somiglianza. L'UE è un grande importatore a livello mondiale.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Widdringtonia whytei</w:t>
            </w:r>
            <w:r>
              <w:rPr>
                <w:rFonts w:eastAsia="Times New Roman"/>
                <w:i/>
                <w:iCs/>
                <w:noProof/>
                <w:color w:val="000000" w:themeColor="text1"/>
                <w:sz w:val="20"/>
                <w:szCs w:val="20"/>
              </w:rPr>
              <w:br/>
            </w:r>
            <w:r>
              <w:rPr>
                <w:rStyle w:val="Bodytext2"/>
                <w:noProof/>
                <w:color w:val="000000" w:themeColor="text1"/>
                <w:sz w:val="20"/>
              </w:rPr>
              <w:t>(Cedro di Mulanje)</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Malawi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Opporsi, a meno che il Malawi non dimostri che il commercio internazionale è nocivo per la conservazione della specie. La specie potrebbe invece beneficiare da un inserimento nell'appendice III.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tabs>
                <w:tab w:val="left" w:pos="263"/>
              </w:tabs>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Dalbergia sissoo</w:t>
            </w:r>
            <w:r>
              <w:rPr>
                <w:rFonts w:eastAsia="Times New Roman"/>
                <w:i/>
                <w:iCs/>
                <w:noProof/>
                <w:color w:val="000000" w:themeColor="text1"/>
                <w:sz w:val="20"/>
                <w:szCs w:val="20"/>
              </w:rPr>
              <w:br/>
            </w:r>
            <w:r>
              <w:rPr>
                <w:rStyle w:val="Bodytext2"/>
                <w:noProof/>
                <w:color w:val="000000" w:themeColor="text1"/>
              </w:rPr>
              <w:t>(</w:t>
            </w:r>
            <w:r>
              <w:rPr>
                <w:noProof/>
                <w:color w:val="000000" w:themeColor="text1"/>
                <w:sz w:val="20"/>
              </w:rPr>
              <w:t>Palissandro Shisham)</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- 0</w:t>
            </w:r>
          </w:p>
          <w:p>
            <w:pPr>
              <w:spacing w:after="0"/>
              <w:jc w:val="left"/>
              <w:rPr>
                <w:rFonts w:eastAsia="Times New Roman"/>
                <w:noProof/>
                <w:color w:val="000000" w:themeColor="text1"/>
                <w:sz w:val="20"/>
                <w:szCs w:val="20"/>
              </w:rPr>
            </w:pPr>
            <w:r>
              <w:rPr>
                <w:noProof/>
                <w:color w:val="000000" w:themeColor="text1"/>
                <w:sz w:val="20"/>
              </w:rPr>
              <w:t>Cancellare dall'appendice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Bangladesh, Bhutan, India e Nepal</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La specie è comune e non soddisfa i criteri biologici dell'appendice II, ma probabilmente soddisfa ancora il criterio di somiglianza della risoluzione 9.24 (criterio A dell'allegato 2 b). Questa proposta dovrebbe anche essere considerata congiuntamente con le modifiche proposte dell'annotazione #15.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Cs/>
                <w:noProof/>
                <w:color w:val="000000" w:themeColor="text1"/>
                <w:sz w:val="20"/>
                <w:szCs w:val="20"/>
              </w:rPr>
            </w:pPr>
            <w:r>
              <w:rPr>
                <w:i/>
                <w:noProof/>
                <w:color w:val="000000" w:themeColor="text1"/>
                <w:sz w:val="20"/>
              </w:rPr>
              <w:t>Dalbergia </w:t>
            </w:r>
            <w:r>
              <w:rPr>
                <w:noProof/>
                <w:color w:val="000000" w:themeColor="text1"/>
                <w:sz w:val="20"/>
              </w:rPr>
              <w:t xml:space="preserve">spp., </w:t>
            </w:r>
            <w:r>
              <w:rPr>
                <w:i/>
                <w:noProof/>
                <w:color w:val="000000" w:themeColor="text1"/>
                <w:sz w:val="20"/>
              </w:rPr>
              <w:t>Guibourtia demeusei</w:t>
            </w:r>
            <w:r>
              <w:rPr>
                <w:noProof/>
                <w:color w:val="000000" w:themeColor="text1"/>
                <w:sz w:val="20"/>
              </w:rPr>
              <w:t xml:space="preserve">, </w:t>
            </w:r>
            <w:r>
              <w:rPr>
                <w:i/>
                <w:noProof/>
                <w:color w:val="000000" w:themeColor="text1"/>
                <w:sz w:val="20"/>
              </w:rPr>
              <w:t>Guibourtia pellegriniana</w:t>
            </w:r>
            <w:r>
              <w:rPr>
                <w:noProof/>
                <w:color w:val="000000" w:themeColor="text1"/>
                <w:sz w:val="20"/>
              </w:rPr>
              <w:t xml:space="preserve">, </w:t>
            </w:r>
            <w:r>
              <w:rPr>
                <w:i/>
                <w:noProof/>
                <w:color w:val="000000" w:themeColor="text1"/>
                <w:sz w:val="20"/>
              </w:rPr>
              <w:t>Guibourtia tessmannii</w:t>
            </w:r>
            <w:r>
              <w:rPr>
                <w:rFonts w:eastAsia="Times New Roman"/>
                <w:i/>
                <w:iCs/>
                <w:noProof/>
                <w:color w:val="000000" w:themeColor="text1"/>
                <w:sz w:val="20"/>
                <w:szCs w:val="20"/>
              </w:rPr>
              <w:br/>
            </w:r>
            <w:r>
              <w:rPr>
                <w:noProof/>
                <w:color w:val="000000" w:themeColor="text1"/>
                <w:sz w:val="20"/>
              </w:rPr>
              <w:t>(Palissandri e bubinga)</w:t>
            </w:r>
          </w:p>
          <w:p>
            <w:pPr>
              <w:spacing w:after="0"/>
              <w:jc w:val="left"/>
              <w:rPr>
                <w:rFonts w:eastAsia="Times New Roman"/>
                <w:i/>
                <w:iCs/>
                <w:noProof/>
                <w:color w:val="000000" w:themeColor="text1"/>
                <w:sz w:val="20"/>
                <w:szCs w:val="20"/>
              </w:rPr>
            </w:pPr>
            <w:r>
              <w:rPr>
                <w:noProof/>
                <w:color w:val="000000" w:themeColor="text1"/>
                <w:sz w:val="20"/>
              </w:rPr>
              <w:t xml:space="preserve">Modifica dell' </w:t>
            </w:r>
            <w:r>
              <w:rPr>
                <w:rFonts w:eastAsia="Times New Roman"/>
                <w:iCs/>
                <w:noProof/>
                <w:color w:val="000000" w:themeColor="text1"/>
                <w:sz w:val="20"/>
                <w:szCs w:val="20"/>
              </w:rPr>
              <w:br/>
            </w:r>
            <w:r>
              <w:rPr>
                <w:noProof/>
                <w:color w:val="000000" w:themeColor="text1"/>
                <w:sz w:val="20"/>
              </w:rPr>
              <w:t>annotazione #15</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II</w:t>
            </w:r>
          </w:p>
          <w:p>
            <w:pPr>
              <w:spacing w:after="0"/>
              <w:jc w:val="left"/>
              <w:rPr>
                <w:rFonts w:eastAsia="Times New Roman"/>
                <w:noProof/>
                <w:color w:val="000000" w:themeColor="text1"/>
                <w:sz w:val="20"/>
                <w:szCs w:val="20"/>
              </w:rPr>
            </w:pPr>
            <w:r>
              <w:rPr>
                <w:noProof/>
                <w:color w:val="000000" w:themeColor="text1"/>
                <w:sz w:val="20"/>
              </w:rPr>
              <w:t>Modificare l'annotazione #15 come segue:</w:t>
            </w:r>
          </w:p>
          <w:p>
            <w:pPr>
              <w:spacing w:after="0"/>
              <w:jc w:val="left"/>
              <w:rPr>
                <w:rFonts w:eastAsia="Times New Roman"/>
                <w:noProof/>
                <w:color w:val="000000" w:themeColor="text1"/>
                <w:sz w:val="20"/>
                <w:szCs w:val="20"/>
              </w:rPr>
            </w:pPr>
            <w:r>
              <w:rPr>
                <w:noProof/>
                <w:color w:val="000000" w:themeColor="text1"/>
                <w:sz w:val="20"/>
              </w:rPr>
              <w:t>"tutte le parti e i prodotti, eccetto:</w:t>
            </w:r>
          </w:p>
          <w:p>
            <w:pPr>
              <w:numPr>
                <w:ilvl w:val="0"/>
                <w:numId w:val="11"/>
              </w:numPr>
              <w:spacing w:before="0" w:after="0"/>
              <w:jc w:val="left"/>
              <w:rPr>
                <w:rFonts w:eastAsia="Times New Roman"/>
                <w:noProof/>
                <w:color w:val="000000" w:themeColor="text1"/>
                <w:sz w:val="20"/>
                <w:szCs w:val="20"/>
              </w:rPr>
            </w:pPr>
            <w:r>
              <w:rPr>
                <w:noProof/>
                <w:color w:val="000000" w:themeColor="text1"/>
                <w:sz w:val="20"/>
              </w:rPr>
              <w:t>foglie, fiori, polline, frutti e semi;</w:t>
            </w:r>
          </w:p>
          <w:p>
            <w:pPr>
              <w:numPr>
                <w:ilvl w:val="0"/>
                <w:numId w:val="11"/>
              </w:numPr>
              <w:spacing w:before="0" w:after="0"/>
              <w:jc w:val="left"/>
              <w:rPr>
                <w:rFonts w:eastAsia="Times New Roman"/>
                <w:noProof/>
                <w:color w:val="000000" w:themeColor="text1"/>
                <w:sz w:val="20"/>
                <w:szCs w:val="20"/>
              </w:rPr>
            </w:pPr>
            <w:r>
              <w:rPr>
                <w:noProof/>
                <w:color w:val="000000" w:themeColor="text1"/>
                <w:sz w:val="20"/>
              </w:rPr>
              <w:t>prodotti finiti fino a un peso massimo del legno delle specie in elenco di 500 g per articolo;</w:t>
            </w:r>
          </w:p>
          <w:p>
            <w:pPr>
              <w:numPr>
                <w:ilvl w:val="0"/>
                <w:numId w:val="11"/>
              </w:numPr>
              <w:spacing w:before="0" w:after="0"/>
              <w:jc w:val="left"/>
              <w:rPr>
                <w:rFonts w:eastAsia="Times New Roman"/>
                <w:noProof/>
                <w:color w:val="000000" w:themeColor="text1"/>
                <w:sz w:val="20"/>
                <w:szCs w:val="20"/>
              </w:rPr>
            </w:pPr>
            <w:r>
              <w:rPr>
                <w:noProof/>
                <w:color w:val="000000" w:themeColor="text1"/>
                <w:sz w:val="20"/>
              </w:rPr>
              <w:t>strumenti musicali finiti, parti di strumenti musicali finiti e accessori di strumenti musicali finiti;</w:t>
            </w:r>
          </w:p>
          <w:p>
            <w:pPr>
              <w:numPr>
                <w:ilvl w:val="0"/>
                <w:numId w:val="11"/>
              </w:numPr>
              <w:spacing w:before="0" w:after="0"/>
              <w:jc w:val="left"/>
              <w:rPr>
                <w:rFonts w:eastAsia="Times New Roman"/>
                <w:noProof/>
                <w:color w:val="000000" w:themeColor="text1"/>
                <w:sz w:val="20"/>
                <w:szCs w:val="20"/>
              </w:rPr>
            </w:pPr>
            <w:r>
              <w:rPr>
                <w:noProof/>
                <w:color w:val="000000" w:themeColor="text1"/>
                <w:sz w:val="20"/>
              </w:rPr>
              <w:t xml:space="preserve">parti e prodotti derivati di </w:t>
            </w:r>
            <w:r>
              <w:rPr>
                <w:i/>
                <w:noProof/>
                <w:color w:val="000000" w:themeColor="text1"/>
                <w:sz w:val="20"/>
              </w:rPr>
              <w:t>Dalbergia cochinchinensis</w:t>
            </w:r>
            <w:r>
              <w:rPr>
                <w:noProof/>
                <w:color w:val="000000" w:themeColor="text1"/>
                <w:sz w:val="20"/>
              </w:rPr>
              <w:t xml:space="preserve"> contemplati nell'annotazione #4;</w:t>
            </w:r>
          </w:p>
          <w:p>
            <w:pPr>
              <w:spacing w:after="0"/>
              <w:jc w:val="left"/>
              <w:rPr>
                <w:rFonts w:eastAsia="Times New Roman"/>
                <w:noProof/>
                <w:color w:val="000000" w:themeColor="text1"/>
                <w:sz w:val="20"/>
                <w:szCs w:val="20"/>
              </w:rPr>
            </w:pPr>
            <w:r>
              <w:rPr>
                <w:noProof/>
                <w:color w:val="000000" w:themeColor="text1"/>
                <w:sz w:val="20"/>
              </w:rPr>
              <w:t xml:space="preserve">parti e prodotti derivati di </w:t>
            </w:r>
            <w:r>
              <w:rPr>
                <w:i/>
                <w:noProof/>
                <w:color w:val="000000" w:themeColor="text1"/>
                <w:sz w:val="20"/>
              </w:rPr>
              <w:t xml:space="preserve">Dalbergia spp. </w:t>
            </w:r>
            <w:r>
              <w:rPr>
                <w:noProof/>
                <w:color w:val="000000" w:themeColor="text1"/>
                <w:sz w:val="20"/>
              </w:rPr>
              <w:t>originari ed esportati dal Messico, contemplati nell'annotazione #6.</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rStyle w:val="Bodytext2"/>
                <w:rFonts w:ascii="Times New Roman" w:hAnsi="Times New Roman" w:cs="Times New Roman"/>
                <w:noProof/>
                <w:color w:val="000000" w:themeColor="text1"/>
              </w:rPr>
              <w:t>Canada,</w:t>
            </w:r>
            <w:r>
              <w:rPr>
                <w:rStyle w:val="Bodytext2"/>
                <w:rFonts w:ascii="Times New Roman" w:hAnsi="Times New Roman" w:cs="Times New Roman"/>
                <w:noProof/>
                <w:color w:val="000000" w:themeColor="text1"/>
              </w:rPr>
              <w:br/>
              <w:t>Unione europea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w:t>
            </w:r>
          </w:p>
        </w:tc>
      </w:tr>
      <w:tr>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i/>
                <w:iCs/>
                <w:noProof/>
                <w:color w:val="000000" w:themeColor="text1"/>
                <w:sz w:val="20"/>
                <w:szCs w:val="20"/>
              </w:rPr>
            </w:pPr>
            <w:r>
              <w:rPr>
                <w:i/>
                <w:noProof/>
                <w:color w:val="000000" w:themeColor="text1"/>
                <w:sz w:val="20"/>
              </w:rPr>
              <w:t>Pericopsis elata</w:t>
            </w:r>
            <w:r>
              <w:rPr>
                <w:rFonts w:eastAsia="Times New Roman"/>
                <w:i/>
                <w:iCs/>
                <w:noProof/>
                <w:color w:val="000000" w:themeColor="text1"/>
                <w:sz w:val="20"/>
                <w:szCs w:val="20"/>
              </w:rPr>
              <w:br/>
            </w:r>
            <w:r>
              <w:rPr>
                <w:noProof/>
                <w:color w:val="000000" w:themeColor="text1"/>
                <w:sz w:val="20"/>
              </w:rPr>
              <w:t>(Afrormosia)</w:t>
            </w:r>
          </w:p>
          <w:p>
            <w:pPr>
              <w:spacing w:after="0"/>
              <w:jc w:val="left"/>
              <w:rPr>
                <w:rFonts w:eastAsia="Times New Roman"/>
                <w:i/>
                <w:iCs/>
                <w:noProof/>
                <w:color w:val="000000" w:themeColor="text1"/>
                <w:sz w:val="20"/>
                <w:szCs w:val="20"/>
              </w:rPr>
            </w:pPr>
            <w:r>
              <w:rPr>
                <w:noProof/>
                <w:color w:val="000000" w:themeColor="text1"/>
                <w:sz w:val="20"/>
              </w:rPr>
              <w:t xml:space="preserve">Modifica dell' </w:t>
            </w:r>
            <w:r>
              <w:rPr>
                <w:rFonts w:eastAsia="Times New Roman"/>
                <w:iCs/>
                <w:noProof/>
                <w:color w:val="000000" w:themeColor="text1"/>
                <w:sz w:val="20"/>
                <w:szCs w:val="20"/>
              </w:rPr>
              <w:br/>
            </w:r>
            <w:r>
              <w:rPr>
                <w:noProof/>
                <w:color w:val="000000" w:themeColor="text1"/>
                <w:sz w:val="20"/>
              </w:rPr>
              <w:t>Annotazione #5</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Ampliare l'ambito d'applicazione dell'annotazione per la </w:t>
            </w:r>
            <w:r>
              <w:rPr>
                <w:i/>
                <w:noProof/>
                <w:color w:val="000000" w:themeColor="text1"/>
                <w:sz w:val="20"/>
              </w:rPr>
              <w:t>Pericopsis elata</w:t>
            </w:r>
            <w:r>
              <w:rPr>
                <w:noProof/>
                <w:color w:val="000000" w:themeColor="text1"/>
                <w:sz w:val="20"/>
              </w:rPr>
              <w:t xml:space="preserve"> (attualmente #5) al fine di includere il compensato e il legno trasformato nel modo seguente:</w:t>
            </w:r>
          </w:p>
          <w:p>
            <w:pPr>
              <w:spacing w:after="0"/>
              <w:jc w:val="left"/>
              <w:rPr>
                <w:rFonts w:eastAsia="Times New Roman"/>
                <w:noProof/>
                <w:color w:val="000000" w:themeColor="text1"/>
                <w:sz w:val="20"/>
                <w:szCs w:val="20"/>
              </w:rPr>
            </w:pPr>
            <w:r>
              <w:rPr>
                <w:noProof/>
                <w:color w:val="000000" w:themeColor="text1"/>
                <w:sz w:val="20"/>
              </w:rPr>
              <w:t>“tronchi, legno segato, fogli da impiallacciatura, compensato e legno trasformato</w:t>
            </w:r>
            <w:r>
              <w:rPr>
                <w:noProof/>
                <w:color w:val="000000" w:themeColor="text1"/>
                <w:sz w:val="20"/>
                <w:vertAlign w:val="superscript"/>
              </w:rPr>
              <w:t>1</w:t>
            </w:r>
            <w:r>
              <w:rPr>
                <w:noProof/>
                <w:color w:val="000000" w:themeColor="text1"/>
                <w:sz w:val="20"/>
              </w:rPr>
              <w:t>."</w:t>
            </w:r>
          </w:p>
          <w:p>
            <w:pPr>
              <w:spacing w:after="0"/>
              <w:jc w:val="left"/>
              <w:rPr>
                <w:rFonts w:eastAsia="Times New Roman"/>
                <w:noProof/>
                <w:color w:val="000000" w:themeColor="text1"/>
                <w:sz w:val="20"/>
                <w:szCs w:val="20"/>
              </w:rPr>
            </w:pPr>
            <w:r>
              <w:rPr>
                <w:noProof/>
                <w:color w:val="000000" w:themeColor="text1"/>
                <w:sz w:val="20"/>
                <w:vertAlign w:val="superscript"/>
              </w:rPr>
              <w:t>1</w:t>
            </w:r>
            <w:r>
              <w:rPr>
                <w:noProof/>
                <w:color w:val="000000" w:themeColor="text1"/>
                <w:sz w:val="20"/>
              </w:rPr>
              <w:t> Laddove il legno trasformato è definito dal codice SA 44.09: legno (comprese le liste e le tavolette per pavimenti, non riunite) profilato (con incastri semplici, scanalato, con incastri a V, con modanature o simili) lungo uno o più orli, estremità o superfici, anche piallato, levigato o incollato con giunture alle estremità.</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 xml:space="preserve">Costa d'Avorio, </w:t>
            </w:r>
            <w:r>
              <w:rPr>
                <w:rFonts w:eastAsia="Times New Roman"/>
                <w:noProof/>
                <w:color w:val="000000" w:themeColor="text1"/>
                <w:sz w:val="20"/>
                <w:szCs w:val="20"/>
              </w:rPr>
              <w:br/>
            </w:r>
            <w:r>
              <w:rPr>
                <w:noProof/>
                <w:color w:val="000000" w:themeColor="text1"/>
                <w:sz w:val="20"/>
              </w:rPr>
              <w:t>Unione europea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rPr>
            </w:pPr>
            <w:r>
              <w:rPr>
                <w:noProof/>
                <w:color w:val="000000" w:themeColor="text1"/>
                <w:sz w:val="20"/>
              </w:rPr>
              <w:t>Co-proposto dall'UE.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54</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Pterocarpus tinctorius</w:t>
            </w:r>
            <w:r>
              <w:rPr>
                <w:rFonts w:eastAsia="Times New Roman"/>
                <w:i/>
                <w:iCs/>
                <w:noProof/>
                <w:color w:val="000000" w:themeColor="text1"/>
                <w:sz w:val="20"/>
                <w:szCs w:val="20"/>
              </w:rPr>
              <w:br/>
            </w:r>
            <w:r>
              <w:rPr>
                <w:noProof/>
                <w:color w:val="000000" w:themeColor="text1"/>
                <w:sz w:val="20"/>
              </w:rPr>
              <w:t>(Paduk africano)</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Malawi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Sostenere, ma proporre un'annotazione (annotazione #5 eventualmente modificata). La specie soddisfa i criteri biologici di inserimento nell'appendice II, nonché il criterio commerciale (lo sfruttamento costituisce un rischio importante per la conservazione della specie e il disboscamento illegale si è sviluppato rapidamente negli ultimi anni per rispondere alla domanda asiatica). L'inclusione nell'appendice II eserciterebbe un forte effetto leva nella lotta al commercio illegale.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Aloe ferox</w:t>
            </w:r>
            <w:r>
              <w:rPr>
                <w:rFonts w:eastAsia="Times New Roman"/>
                <w:i/>
                <w:iCs/>
                <w:noProof/>
                <w:color w:val="000000" w:themeColor="text1"/>
                <w:sz w:val="20"/>
                <w:szCs w:val="20"/>
              </w:rPr>
              <w:br/>
            </w:r>
          </w:p>
          <w:p>
            <w:pPr>
              <w:jc w:val="left"/>
              <w:rPr>
                <w:rFonts w:eastAsia="Times New Roman"/>
                <w:noProof/>
                <w:color w:val="000000" w:themeColor="text1"/>
                <w:sz w:val="20"/>
                <w:szCs w:val="20"/>
              </w:rPr>
            </w:pPr>
            <w:r>
              <w:rPr>
                <w:noProof/>
                <w:color w:val="000000" w:themeColor="text1"/>
                <w:sz w:val="20"/>
              </w:rPr>
              <w:t>Modifica dell'annotazione #4</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II - II</w:t>
            </w:r>
          </w:p>
          <w:p>
            <w:pPr>
              <w:spacing w:after="0"/>
              <w:jc w:val="left"/>
              <w:rPr>
                <w:rFonts w:eastAsia="Times New Roman"/>
                <w:noProof/>
                <w:color w:val="000000" w:themeColor="text1"/>
                <w:sz w:val="20"/>
                <w:szCs w:val="20"/>
              </w:rPr>
            </w:pPr>
            <w:r>
              <w:rPr>
                <w:noProof/>
                <w:color w:val="000000" w:themeColor="text1"/>
                <w:sz w:val="20"/>
              </w:rPr>
              <w:t>"Modificare l'annotazione #4 per l'</w:t>
            </w:r>
            <w:r>
              <w:rPr>
                <w:i/>
                <w:noProof/>
                <w:color w:val="000000" w:themeColor="text1"/>
                <w:sz w:val="20"/>
              </w:rPr>
              <w:t>Aloe ferox</w:t>
            </w:r>
            <w:r>
              <w:rPr>
                <w:noProof/>
                <w:color w:val="000000" w:themeColor="text1"/>
                <w:sz w:val="20"/>
              </w:rPr>
              <w:t xml:space="preserve"> come segue: Tutte le parti e i prodotti derivati, eccetto:</w:t>
            </w:r>
            <w:r>
              <w:rPr>
                <w:rFonts w:eastAsia="Times New Roman"/>
                <w:noProof/>
                <w:color w:val="000000" w:themeColor="text1"/>
                <w:sz w:val="20"/>
                <w:szCs w:val="20"/>
              </w:rPr>
              <w:br/>
            </w:r>
            <w:r>
              <w:rPr>
                <w:noProof/>
                <w:color w:val="000000" w:themeColor="text1"/>
                <w:sz w:val="20"/>
              </w:rPr>
              <w:t>[…]</w:t>
            </w:r>
          </w:p>
          <w:p>
            <w:pPr>
              <w:spacing w:before="0" w:after="0"/>
              <w:ind w:left="720" w:hanging="720"/>
              <w:jc w:val="left"/>
              <w:rPr>
                <w:rFonts w:eastAsia="Times New Roman"/>
                <w:noProof/>
                <w:color w:val="000000" w:themeColor="text1"/>
                <w:sz w:val="20"/>
                <w:szCs w:val="20"/>
              </w:rPr>
            </w:pPr>
            <w:r>
              <w:rPr>
                <w:noProof/>
                <w:color w:val="000000" w:themeColor="text1"/>
                <w:sz w:val="20"/>
              </w:rPr>
              <w:t>f)</w:t>
            </w:r>
            <w:r>
              <w:rPr>
                <w:noProof/>
              </w:rPr>
              <w:tab/>
            </w:r>
            <w:r>
              <w:rPr>
                <w:noProof/>
                <w:color w:val="000000" w:themeColor="text1"/>
                <w:sz w:val="20"/>
              </w:rPr>
              <w:t>Prodotti finiti</w:t>
            </w:r>
            <w:r>
              <w:rPr>
                <w:noProof/>
                <w:color w:val="000000" w:themeColor="text1"/>
                <w:sz w:val="20"/>
                <w:vertAlign w:val="superscript"/>
              </w:rPr>
              <w:t>1</w:t>
            </w:r>
            <w:r>
              <w:rPr>
                <w:noProof/>
                <w:color w:val="000000" w:themeColor="text1"/>
                <w:sz w:val="20"/>
              </w:rPr>
              <w:t xml:space="preserve"> di </w:t>
            </w:r>
            <w:r>
              <w:rPr>
                <w:i/>
                <w:noProof/>
                <w:color w:val="000000" w:themeColor="text1"/>
                <w:sz w:val="20"/>
                <w:u w:val="single"/>
              </w:rPr>
              <w:t>Aloe ferox</w:t>
            </w:r>
            <w:r>
              <w:rPr>
                <w:noProof/>
                <w:color w:val="000000" w:themeColor="text1"/>
                <w:sz w:val="20"/>
                <w:u w:val="single"/>
              </w:rPr>
              <w:t> e</w:t>
            </w:r>
            <w:r>
              <w:rPr>
                <w:noProof/>
                <w:color w:val="000000" w:themeColor="text1"/>
                <w:sz w:val="20"/>
              </w:rPr>
              <w:t xml:space="preserve"> </w:t>
            </w:r>
            <w:r>
              <w:rPr>
                <w:i/>
                <w:noProof/>
                <w:color w:val="000000" w:themeColor="text1"/>
                <w:sz w:val="20"/>
              </w:rPr>
              <w:t xml:space="preserve">Euphorbia antisyphilitica </w:t>
            </w:r>
            <w:r>
              <w:rPr>
                <w:noProof/>
                <w:color w:val="000000" w:themeColor="text1"/>
                <w:sz w:val="20"/>
              </w:rPr>
              <w:t>imballati e pronti per la vendita al dettaglio.</w:t>
            </w:r>
          </w:p>
          <w:p>
            <w:pPr>
              <w:spacing w:after="0"/>
              <w:jc w:val="left"/>
              <w:rPr>
                <w:rFonts w:eastAsia="Times New Roman"/>
                <w:noProof/>
                <w:color w:val="000000" w:themeColor="text1"/>
                <w:sz w:val="20"/>
                <w:szCs w:val="20"/>
              </w:rPr>
            </w:pPr>
            <w:r>
              <w:rPr>
                <w:noProof/>
                <w:color w:val="000000" w:themeColor="text1"/>
                <w:sz w:val="20"/>
                <w:vertAlign w:val="superscript"/>
              </w:rPr>
              <w:t>1 </w:t>
            </w:r>
            <w:r>
              <w:rPr>
                <w:noProof/>
                <w:color w:val="000000" w:themeColor="text1"/>
                <w:sz w:val="20"/>
              </w:rPr>
              <w:t>Questo termine, così come è utilizzato nelle appendici della CITES, si riferisce ai prodotti spediti separatamente o in blocco, che non richiedono ulteriore lavorazione, imballati, etichettati per l'uso finale o la vendita al dettaglio, atti ad essere venduti a o utilizzati dal grande pubblico".</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Sudafrica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Sostenere, ma proporre uno o più progetti di decisione che incarichino il comitato "Piante" di monitorare l'impatto della modifica proposta e l'attuazione delle misure di gestione. I criteri della risoluzione 11.21 sono soddisfatti.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center"/>
              <w:rPr>
                <w:rFonts w:eastAsia="Times New Roman"/>
                <w:noProof/>
                <w:color w:val="000000" w:themeColor="text1"/>
                <w:sz w:val="20"/>
                <w:szCs w:val="20"/>
              </w:rPr>
            </w:pPr>
            <w:r>
              <w:rPr>
                <w:noProof/>
                <w:color w:val="000000" w:themeColor="text1"/>
                <w:sz w:val="20"/>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i/>
                <w:noProof/>
                <w:color w:val="000000" w:themeColor="text1"/>
                <w:sz w:val="20"/>
              </w:rPr>
              <w:t>Adansonia grandidieri</w:t>
            </w:r>
            <w:r>
              <w:rPr>
                <w:noProof/>
                <w:color w:val="000000" w:themeColor="text1"/>
                <w:sz w:val="20"/>
              </w:rPr>
              <w:t xml:space="preserve"> </w:t>
            </w:r>
            <w:r>
              <w:rPr>
                <w:rFonts w:eastAsia="Times New Roman"/>
                <w:noProof/>
                <w:color w:val="000000" w:themeColor="text1"/>
                <w:sz w:val="20"/>
                <w:szCs w:val="20"/>
              </w:rPr>
              <w:br/>
            </w:r>
            <w:r>
              <w:rPr>
                <w:rStyle w:val="Bodytext2"/>
                <w:noProof/>
                <w:color w:val="000000" w:themeColor="text1"/>
                <w:sz w:val="20"/>
              </w:rPr>
              <w:t>(Baobab di Grandidier)</w:t>
            </w:r>
          </w:p>
          <w:p>
            <w:pPr>
              <w:keepNext/>
              <w:spacing w:after="0"/>
              <w:jc w:val="left"/>
              <w:rPr>
                <w:rFonts w:eastAsia="Times New Roman"/>
                <w:noProof/>
                <w:color w:val="000000" w:themeColor="text1"/>
                <w:sz w:val="20"/>
                <w:szCs w:val="20"/>
              </w:rPr>
            </w:pPr>
            <w:r>
              <w:rPr>
                <w:noProof/>
                <w:color w:val="000000" w:themeColor="text1"/>
                <w:sz w:val="20"/>
              </w:rPr>
              <w:t>Modifica dell'annotazione #16</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noProof/>
                <w:color w:val="000000" w:themeColor="text1"/>
                <w:sz w:val="20"/>
              </w:rPr>
              <w:t>II – II</w:t>
            </w:r>
          </w:p>
          <w:p>
            <w:pPr>
              <w:keepNext/>
              <w:spacing w:after="0"/>
              <w:jc w:val="left"/>
              <w:rPr>
                <w:rFonts w:eastAsia="Times New Roman"/>
                <w:noProof/>
                <w:color w:val="000000" w:themeColor="text1"/>
                <w:sz w:val="20"/>
                <w:szCs w:val="20"/>
              </w:rPr>
            </w:pPr>
            <w:r>
              <w:rPr>
                <w:noProof/>
                <w:color w:val="000000" w:themeColor="text1"/>
                <w:sz w:val="20"/>
              </w:rPr>
              <w:t xml:space="preserve">"Semi, frutti, oli e piante vive" nell'elenco di </w:t>
            </w:r>
            <w:r>
              <w:rPr>
                <w:i/>
                <w:noProof/>
                <w:color w:val="000000" w:themeColor="text1"/>
                <w:sz w:val="20"/>
              </w:rPr>
              <w:t>Adansonia grandidieri</w:t>
            </w:r>
            <w:r>
              <w:rPr>
                <w:noProof/>
                <w:color w:val="000000" w:themeColor="text1"/>
                <w:sz w:val="20"/>
              </w:rPr>
              <w:t xml:space="preserve"> nell'appendice II, cancellare il riferimento alle piante vive come segue: "#16 Semi, frutti e oli"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keepNext/>
              <w:spacing w:after="0"/>
              <w:jc w:val="left"/>
              <w:rPr>
                <w:rFonts w:eastAsia="Times New Roman"/>
                <w:noProof/>
                <w:color w:val="000000" w:themeColor="text1"/>
                <w:sz w:val="20"/>
                <w:szCs w:val="20"/>
              </w:rPr>
            </w:pPr>
            <w:r>
              <w:rPr>
                <w:noProof/>
                <w:color w:val="000000" w:themeColor="text1"/>
                <w:sz w:val="20"/>
              </w:rPr>
              <w:t>Svizzera</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Sostenere la proposta. I criteri della risoluzione 11.21 sono soddisfatti.</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keepNext/>
              <w:spacing w:after="0"/>
              <w:jc w:val="center"/>
              <w:rPr>
                <w:noProof/>
                <w:color w:val="000000" w:themeColor="text1"/>
                <w:sz w:val="20"/>
                <w:szCs w:val="20"/>
              </w:rPr>
            </w:pPr>
            <w:r>
              <w:rPr>
                <w:noProof/>
                <w:color w:val="000000" w:themeColor="text1"/>
                <w:sz w:val="20"/>
              </w:rPr>
              <w:t>+</w:t>
            </w:r>
          </w:p>
        </w:tc>
      </w:tr>
      <w:tr>
        <w:tc>
          <w:tcPr>
            <w:tcW w:w="817" w:type="dxa"/>
            <w:tcBorders>
              <w:top w:val="single" w:sz="4" w:space="0" w:color="auto"/>
              <w:left w:val="single" w:sz="4" w:space="0" w:color="auto"/>
              <w:bottom w:val="single" w:sz="4" w:space="0" w:color="auto"/>
              <w:right w:val="single" w:sz="4" w:space="0" w:color="auto"/>
            </w:tcBorders>
            <w:shd w:val="clear" w:color="auto" w:fill="auto"/>
          </w:tcPr>
          <w:p>
            <w:pPr>
              <w:spacing w:after="0"/>
              <w:jc w:val="center"/>
              <w:rPr>
                <w:rFonts w:eastAsia="Times New Roman"/>
                <w:noProof/>
                <w:color w:val="000000" w:themeColor="text1"/>
                <w:sz w:val="20"/>
                <w:szCs w:val="20"/>
              </w:rPr>
            </w:pPr>
            <w:r>
              <w:rPr>
                <w:noProof/>
                <w:color w:val="000000" w:themeColor="text1"/>
                <w:sz w:val="20"/>
              </w:rPr>
              <w:t>57</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i/>
                <w:noProof/>
                <w:color w:val="000000" w:themeColor="text1"/>
                <w:sz w:val="20"/>
              </w:rPr>
              <w:t>Cedrela </w:t>
            </w:r>
            <w:r>
              <w:rPr>
                <w:noProof/>
                <w:color w:val="000000" w:themeColor="text1"/>
                <w:sz w:val="20"/>
              </w:rPr>
              <w:t>spp</w:t>
            </w:r>
            <w:r>
              <w:rPr>
                <w:rFonts w:eastAsia="Times New Roman"/>
                <w:noProof/>
                <w:color w:val="000000" w:themeColor="text1"/>
                <w:sz w:val="20"/>
                <w:szCs w:val="20"/>
              </w:rPr>
              <w:br/>
            </w:r>
            <w:r>
              <w:rPr>
                <w:noProof/>
                <w:color w:val="000000" w:themeColor="text1"/>
                <w:sz w:val="20"/>
              </w:rPr>
              <w:t>(Cedri)</w:t>
            </w:r>
          </w:p>
        </w:tc>
        <w:tc>
          <w:tcPr>
            <w:tcW w:w="2375"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0 - II</w:t>
            </w:r>
          </w:p>
          <w:p>
            <w:pPr>
              <w:spacing w:after="0"/>
              <w:jc w:val="left"/>
              <w:rPr>
                <w:rFonts w:eastAsia="Times New Roman"/>
                <w:noProof/>
                <w:color w:val="000000" w:themeColor="text1"/>
                <w:sz w:val="20"/>
                <w:szCs w:val="20"/>
              </w:rPr>
            </w:pPr>
            <w:r>
              <w:rPr>
                <w:noProof/>
                <w:color w:val="000000" w:themeColor="text1"/>
                <w:sz w:val="20"/>
              </w:rPr>
              <w:t>Inserire nell'appendice II</w:t>
            </w:r>
          </w:p>
        </w:tc>
        <w:tc>
          <w:tcPr>
            <w:tcW w:w="1586" w:type="dxa"/>
            <w:tcBorders>
              <w:top w:val="single" w:sz="4" w:space="0" w:color="auto"/>
              <w:left w:val="single" w:sz="4" w:space="0" w:color="auto"/>
              <w:bottom w:val="single" w:sz="4" w:space="0" w:color="auto"/>
              <w:right w:val="single" w:sz="4" w:space="0" w:color="auto"/>
            </w:tcBorders>
            <w:shd w:val="clear" w:color="auto" w:fill="auto"/>
          </w:tcPr>
          <w:p>
            <w:pPr>
              <w:spacing w:after="0"/>
              <w:jc w:val="left"/>
              <w:rPr>
                <w:rFonts w:eastAsia="Times New Roman"/>
                <w:noProof/>
                <w:color w:val="000000" w:themeColor="text1"/>
                <w:sz w:val="20"/>
                <w:szCs w:val="20"/>
              </w:rPr>
            </w:pPr>
            <w:r>
              <w:rPr>
                <w:noProof/>
                <w:color w:val="000000" w:themeColor="text1"/>
                <w:sz w:val="20"/>
              </w:rPr>
              <w:t>Ecuador</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left"/>
              <w:rPr>
                <w:noProof/>
                <w:color w:val="000000" w:themeColor="text1"/>
                <w:sz w:val="20"/>
                <w:szCs w:val="20"/>
                <w:highlight w:val="yellow"/>
              </w:rPr>
            </w:pPr>
            <w:r>
              <w:rPr>
                <w:noProof/>
                <w:color w:val="000000" w:themeColor="text1"/>
                <w:sz w:val="20"/>
              </w:rPr>
              <w:t>Sostenere se nella proposta è inclusa un'annotazione intesa a limitare i controlli della CITES ai prodotti che compaiono per la prima volta nel commercio internazionale come esportazioni dagli Stati dell'area di distribuzione (da valutare e discutere con i proponenti se ad es. la modifica proposta dell'annotazione #5 sarebbe appropriata) e se la proposta è limitata alle popolazioni neotropicali. Il taxon soddisfa i criteri biologici per l'inserimento nell'appendice II (vi sono chiare indicazioni di diminuzione della dimensione della popolazione), nonché il criterio commerciale (alcune specie del genere sono notevolmente commercializziate a livello internazionale e lo sfruttamento è riconosciuto come un pericolo per la conservazione delle specie). L'UE è un piccolo importatore a livello mondiale.</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spacing w:after="0"/>
              <w:jc w:val="center"/>
              <w:rPr>
                <w:noProof/>
                <w:color w:val="000000" w:themeColor="text1"/>
                <w:sz w:val="20"/>
                <w:szCs w:val="20"/>
              </w:rPr>
            </w:pPr>
            <w:r>
              <w:rPr>
                <w:noProof/>
                <w:color w:val="000000" w:themeColor="text1"/>
                <w:sz w:val="20"/>
              </w:rPr>
              <w:t>(+)</w:t>
            </w:r>
          </w:p>
        </w:tc>
      </w:tr>
    </w:tbl>
    <w:p>
      <w:pPr>
        <w:rPr>
          <w:noProof/>
          <w:color w:val="000000" w:themeColor="text1"/>
        </w:rPr>
      </w:pPr>
    </w:p>
    <w:p>
      <w:pPr>
        <w:rPr>
          <w:noProof/>
        </w:rPr>
        <w:sectPr>
          <w:footerReference w:type="default" r:id="rId17"/>
          <w:footerReference w:type="first" r:id="rId18"/>
          <w:pgSz w:w="11907" w:h="16839"/>
          <w:pgMar w:top="1134" w:right="1417" w:bottom="1134" w:left="1417" w:header="709" w:footer="709" w:gutter="0"/>
          <w:pgNumType w:start="1"/>
          <w:cols w:space="720"/>
          <w:docGrid w:linePitch="360"/>
        </w:sectPr>
      </w:pPr>
    </w:p>
    <w:p>
      <w:pPr>
        <w:pStyle w:val="Annexetitre"/>
        <w:rPr>
          <w:rStyle w:val="Marker"/>
          <w:noProof/>
        </w:rPr>
      </w:pPr>
      <w:r>
        <w:rPr>
          <w:noProof/>
        </w:rPr>
        <w:t xml:space="preserve">ALLEGATO </w:t>
      </w:r>
      <w:r>
        <w:rPr>
          <w:rStyle w:val="Marker"/>
          <w:noProof/>
        </w:rPr>
        <w:t>[…]</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Seg. = Segretariato CITES, CP = comitato permanente, CA = comitato "Animali", CP = comitato "Piante". Per i codici del paese, cfr. ISO 3166.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EAF8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C8249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01C63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93EBC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4C9F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6A71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2ABAB4"/>
    <w:lvl w:ilvl="0">
      <w:start w:val="1"/>
      <w:numFmt w:val="decimal"/>
      <w:pStyle w:val="ListNumber"/>
      <w:lvlText w:val="%1."/>
      <w:lvlJc w:val="left"/>
      <w:pPr>
        <w:tabs>
          <w:tab w:val="num" w:pos="360"/>
        </w:tabs>
        <w:ind w:left="360" w:hanging="360"/>
      </w:pPr>
    </w:lvl>
  </w:abstractNum>
  <w:abstractNum w:abstractNumId="7">
    <w:nsid w:val="FFFFFF89"/>
    <w:multiLevelType w:val="singleLevel"/>
    <w:tmpl w:val="BBB825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3"/>
  </w:num>
  <w:num w:numId="11">
    <w:abstractNumId w:val="8"/>
  </w:num>
  <w:num w:numId="12">
    <w:abstractNumId w:val="22"/>
  </w:num>
  <w:num w:numId="13">
    <w:abstractNumId w:val="1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24"/>
  </w:num>
  <w:num w:numId="18">
    <w:abstractNumId w:val="12"/>
  </w:num>
  <w:num w:numId="19">
    <w:abstractNumId w:val="16"/>
  </w:num>
  <w:num w:numId="20">
    <w:abstractNumId w:val="10"/>
  </w:num>
  <w:num w:numId="21">
    <w:abstractNumId w:val="23"/>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displayBackgroundShape/>
  <w:hideSpellingErrors/>
  <w:hideGrammaticalErrors/>
  <w:attachedTemplate r:id="rId1"/>
  <w:revisionView w:markup="0"/>
  <w:doNotTrackFormatting/>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7: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2"/>
    <w:docVar w:name="LW_ANNEX_NBR_LAST" w:val="2"/>
    <w:docVar w:name="LW_ANNEX_UNIQUE" w:val="0"/>
    <w:docVar w:name="LW_CORRIGENDUM" w:val="&lt;UNUSED&gt;"/>
    <w:docVar w:name="LW_COVERPAGE_EXISTS" w:val="True"/>
    <w:docVar w:name="LW_COVERPAGE_GUID" w:val="AEEAD1F5-3194-455C-854B-B8CE6FF041A3"/>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xelles, "/>
    <w:docVar w:name="LW_EMISSION_SUFFIX" w:val=" "/>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sulla posizione da adottare a nome dell'Unione europea in occasione della 18ª riunione della conferenza delle parti della convenzione sul commercio internazionale delle specie di flora e di fauna selvatiche minacciate di estinzione (COP 18 della CITES)"/>
    <w:docVar w:name="LW_OBJETACTEPRINCIPAL.CP" w:val="sulla posizione da adottare a nome dell'Unione europea in occasione della 18ª riunione della conferenza delle parti della convenzione sul commercio internazionale delle specie di flora e di fauna selvatiche minacciate di estinzione (COP 18 della CITES)"/>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DECISIONE DEL CONSIGLIO"/>
    <w:docVar w:name="LW_TYPEACTEPRINCIPAL.CP" w:val="Proposta di DECISIONE DEL CONSIGLI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lang w:eastAsia="it-IT" w:bidi="it-IT"/>
    </w:rPr>
  </w:style>
  <w:style w:type="paragraph" w:styleId="Heading6">
    <w:name w:val="heading 6"/>
    <w:basedOn w:val="Normal"/>
    <w:link w:val="Heading6Char"/>
    <w:uiPriority w:val="9"/>
    <w:qFormat/>
    <w:pPr>
      <w:spacing w:before="240"/>
      <w:jc w:val="left"/>
      <w:outlineLvl w:val="5"/>
    </w:pPr>
    <w:rPr>
      <w:rFonts w:eastAsia="Times New Roman"/>
      <w:b/>
      <w:bCs/>
      <w:sz w:val="15"/>
      <w:szCs w:val="15"/>
      <w:lang w:eastAsia="it-IT" w:bidi="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it-IT" w:eastAsia="it-IT" w:bidi="it-IT"/>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it-IT" w:eastAsia="it-IT" w:bidi="it-IT"/>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it-IT"/>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lang w:val="en-US" w:eastAsia="it-IT"/>
    </w:rPr>
  </w:style>
  <w:style w:type="character" w:customStyle="1" w:styleId="HTMLPreformattedChar1">
    <w:name w:val="HTML Preformatted Char1"/>
    <w:basedOn w:val="DefaultParagraphFont"/>
    <w:uiPriority w:val="99"/>
    <w:semiHidden/>
    <w:rPr>
      <w:rFonts w:ascii="Consolas" w:hAnsi="Consolas" w:cs="Consolas"/>
      <w:sz w:val="20"/>
      <w:szCs w:val="20"/>
      <w:lang w:val="it-IT"/>
    </w:rPr>
  </w:style>
  <w:style w:type="paragraph" w:customStyle="1" w:styleId="Annexetitreacte">
    <w:name w:val="Annexe titre (acte)"/>
    <w:basedOn w:val="Normal"/>
    <w:next w:val="Normal"/>
    <w:pPr>
      <w:jc w:val="center"/>
    </w:pPr>
    <w:rPr>
      <w:rFonts w:eastAsia="Times New Roman"/>
      <w:b/>
      <w:szCs w:val="24"/>
      <w:u w:val="single"/>
      <w:lang w:eastAsia="it-IT" w:bidi="it-IT"/>
    </w:rPr>
  </w:style>
  <w:style w:type="table" w:styleId="TableGrid">
    <w:name w:val="Table Grid"/>
    <w:basedOn w:val="TableNormal"/>
    <w:uiPriority w:val="59"/>
    <w:pPr>
      <w:spacing w:after="0" w:line="240" w:lineRule="auto"/>
    </w:pPr>
    <w:rPr>
      <w:rFonts w:ascii="Times New Roman" w:eastAsia="Calibri" w:hAnsi="Times New Roman" w:cs="Times New Roman"/>
      <w:sz w:val="24"/>
      <w:szCs w:val="24"/>
      <w:lang w:val="it-IT" w:eastAsia="it-IT"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it-IT" w:eastAsia="it-IT" w:bidi="it-IT"/>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it-IT" w:eastAsia="it-IT" w:bidi="it-IT"/>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it-IT" w:eastAsia="it-IT" w:bidi="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it-I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it-I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it-I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it-I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lang w:eastAsia="it-IT" w:bidi="it-IT"/>
    </w:rPr>
  </w:style>
  <w:style w:type="paragraph" w:styleId="Heading6">
    <w:name w:val="heading 6"/>
    <w:basedOn w:val="Normal"/>
    <w:link w:val="Heading6Char"/>
    <w:uiPriority w:val="9"/>
    <w:qFormat/>
    <w:pPr>
      <w:spacing w:before="240"/>
      <w:jc w:val="left"/>
      <w:outlineLvl w:val="5"/>
    </w:pPr>
    <w:rPr>
      <w:rFonts w:eastAsia="Times New Roman"/>
      <w:b/>
      <w:bCs/>
      <w:sz w:val="15"/>
      <w:szCs w:val="15"/>
      <w:lang w:eastAsia="it-IT" w:bidi="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it-IT" w:eastAsia="it-IT" w:bidi="it-IT"/>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it-IT" w:eastAsia="it-IT" w:bidi="it-IT"/>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it-IT"/>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lang w:val="en-US" w:eastAsia="it-IT"/>
    </w:rPr>
  </w:style>
  <w:style w:type="character" w:customStyle="1" w:styleId="HTMLPreformattedChar1">
    <w:name w:val="HTML Preformatted Char1"/>
    <w:basedOn w:val="DefaultParagraphFont"/>
    <w:uiPriority w:val="99"/>
    <w:semiHidden/>
    <w:rPr>
      <w:rFonts w:ascii="Consolas" w:hAnsi="Consolas" w:cs="Consolas"/>
      <w:sz w:val="20"/>
      <w:szCs w:val="20"/>
      <w:lang w:val="it-IT"/>
    </w:rPr>
  </w:style>
  <w:style w:type="paragraph" w:customStyle="1" w:styleId="Annexetitreacte">
    <w:name w:val="Annexe titre (acte)"/>
    <w:basedOn w:val="Normal"/>
    <w:next w:val="Normal"/>
    <w:pPr>
      <w:jc w:val="center"/>
    </w:pPr>
    <w:rPr>
      <w:rFonts w:eastAsia="Times New Roman"/>
      <w:b/>
      <w:szCs w:val="24"/>
      <w:u w:val="single"/>
      <w:lang w:eastAsia="it-IT" w:bidi="it-IT"/>
    </w:rPr>
  </w:style>
  <w:style w:type="table" w:styleId="TableGrid">
    <w:name w:val="Table Grid"/>
    <w:basedOn w:val="TableNormal"/>
    <w:uiPriority w:val="59"/>
    <w:pPr>
      <w:spacing w:after="0" w:line="240" w:lineRule="auto"/>
    </w:pPr>
    <w:rPr>
      <w:rFonts w:ascii="Times New Roman" w:eastAsia="Calibri" w:hAnsi="Times New Roman" w:cs="Times New Roman"/>
      <w:sz w:val="24"/>
      <w:szCs w:val="24"/>
      <w:lang w:val="it-IT" w:eastAsia="it-IT"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it-IT" w:eastAsia="it-IT" w:bidi="it-IT"/>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it-IT" w:eastAsia="it-IT" w:bidi="it-IT"/>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it-IT" w:eastAsia="it-IT" w:bidi="it-I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it-I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it-I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it-I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it-I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9209">
      <w:bodyDiv w:val="1"/>
      <w:marLeft w:val="0"/>
      <w:marRight w:val="0"/>
      <w:marTop w:val="0"/>
      <w:marBottom w:val="0"/>
      <w:divBdr>
        <w:top w:val="none" w:sz="0" w:space="0" w:color="auto"/>
        <w:left w:val="none" w:sz="0" w:space="0" w:color="auto"/>
        <w:bottom w:val="none" w:sz="0" w:space="0" w:color="auto"/>
        <w:right w:val="none" w:sz="0" w:space="0" w:color="auto"/>
      </w:divBdr>
    </w:div>
    <w:div w:id="10360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ites.org/sites/default/files/eng/COP/18/doc/E-COP18-050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BB92-4C23-4EBB-89A9-439D9A5B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54</Pages>
  <Words>11394</Words>
  <Characters>66314</Characters>
  <Application>Microsoft Office Word</Application>
  <DocSecurity>0</DocSecurity>
  <Lines>4736</Lines>
  <Paragraphs>1387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2019-04-03T16:08:00Z</dcterms:created>
  <dcterms:modified xsi:type="dcterms:W3CDTF">2019-04-05T08:07:00Z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2</vt:lpwstr>
  </property>
  <property fmtid="{D5CDD505-2E9C-101B-9397-08002B2CF9AE}" pid="6" name="Last annex">
    <vt:lpwstr>2</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Green (DQC version 03)</vt:lpwstr>
  </property>
</Properties>
</file>