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C6" w:rsidRDefault="00D15C59">
      <w:pPr>
        <w:pStyle w:val="Pagedecouverture"/>
        <w:rPr>
          <w:noProof/>
          <w:highlight w:val="yellow"/>
        </w:rPr>
      </w:pPr>
      <w:r w:rsidRPr="00D15C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01149B-1874-44B0-9B74-23E0EB71D58D" style="width:450.6pt;height:424.8pt">
            <v:imagedata r:id="rId10" o:title=""/>
          </v:shape>
        </w:pict>
      </w:r>
      <w:bookmarkStart w:id="0" w:name="_GoBack"/>
      <w:bookmarkEnd w:id="0"/>
    </w:p>
    <w:p w:rsidR="004118C6" w:rsidRDefault="004118C6">
      <w:pPr>
        <w:rPr>
          <w:noProof/>
          <w:color w:val="000000" w:themeColor="text1"/>
        </w:rPr>
        <w:sectPr w:rsidR="004118C6">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1"/>
          <w:cols w:space="720"/>
          <w:docGrid w:linePitch="360"/>
        </w:sectPr>
      </w:pPr>
    </w:p>
    <w:p w:rsidR="004118C6" w:rsidRDefault="00D15C59">
      <w:pPr>
        <w:jc w:val="center"/>
        <w:rPr>
          <w:b/>
          <w:noProof/>
          <w:color w:val="000000" w:themeColor="text1"/>
          <w:u w:val="single"/>
        </w:rPr>
      </w:pPr>
      <w:r>
        <w:rPr>
          <w:b/>
          <w:noProof/>
          <w:color w:val="000000" w:themeColor="text1"/>
          <w:u w:val="single"/>
        </w:rPr>
        <w:lastRenderedPageBreak/>
        <w:t>ANHANG II</w:t>
      </w:r>
    </w:p>
    <w:p w:rsidR="004118C6" w:rsidRDefault="00D15C59">
      <w:pPr>
        <w:jc w:val="center"/>
        <w:rPr>
          <w:b/>
          <w:noProof/>
          <w:color w:val="000000" w:themeColor="text1"/>
          <w:u w:val="single"/>
        </w:rPr>
      </w:pPr>
      <w:r>
        <w:rPr>
          <w:b/>
          <w:noProof/>
          <w:color w:val="000000" w:themeColor="text1"/>
          <w:u w:val="single"/>
        </w:rPr>
        <w:t xml:space="preserve">Standpunkt der Union zu bestimmten Vorschlägen, die der 18. Konferenz der Vertragsparteien des Übereinkommens über den </w:t>
      </w:r>
      <w:r>
        <w:rPr>
          <w:b/>
          <w:noProof/>
          <w:color w:val="000000" w:themeColor="text1"/>
          <w:u w:val="single"/>
        </w:rPr>
        <w:t>internationalen Handel mit gefährdeten Arten frei lebender Tiere und Pflanzen (CITES), Colombo, Sri Lanka, 23. Mai – 3. Juni 2019, vorgelegt werden</w:t>
      </w:r>
    </w:p>
    <w:tbl>
      <w:tblPr>
        <w:tblStyle w:val="TableGrid"/>
        <w:tblW w:w="5000" w:type="pct"/>
        <w:tblLook w:val="04A0" w:firstRow="1" w:lastRow="0" w:firstColumn="1" w:lastColumn="0" w:noHBand="0" w:noVBand="1"/>
      </w:tblPr>
      <w:tblGrid>
        <w:gridCol w:w="3097"/>
        <w:gridCol w:w="3097"/>
        <w:gridCol w:w="3095"/>
      </w:tblGrid>
      <w:tr w:rsidR="004118C6">
        <w:tc>
          <w:tcPr>
            <w:tcW w:w="1667" w:type="pct"/>
          </w:tcPr>
          <w:p w:rsidR="004118C6" w:rsidRDefault="00D15C59">
            <w:pPr>
              <w:rPr>
                <w:noProof/>
                <w:color w:val="000000" w:themeColor="text1"/>
                <w:sz w:val="20"/>
                <w:szCs w:val="20"/>
              </w:rPr>
            </w:pPr>
            <w:r>
              <w:rPr>
                <w:noProof/>
                <w:color w:val="000000" w:themeColor="text1"/>
                <w:sz w:val="20"/>
              </w:rPr>
              <w:t>„+“ zustimmende Haltung</w:t>
            </w:r>
          </w:p>
        </w:tc>
        <w:tc>
          <w:tcPr>
            <w:tcW w:w="1667" w:type="pct"/>
          </w:tcPr>
          <w:p w:rsidR="004118C6" w:rsidRDefault="00D15C59">
            <w:pPr>
              <w:rPr>
                <w:noProof/>
                <w:color w:val="000000" w:themeColor="text1"/>
                <w:sz w:val="20"/>
                <w:szCs w:val="20"/>
              </w:rPr>
            </w:pPr>
            <w:r>
              <w:rPr>
                <w:noProof/>
                <w:color w:val="000000" w:themeColor="text1"/>
                <w:sz w:val="20"/>
              </w:rPr>
              <w:t>„-“ ablehnende Haltung</w:t>
            </w:r>
          </w:p>
        </w:tc>
        <w:tc>
          <w:tcPr>
            <w:tcW w:w="1666" w:type="pct"/>
          </w:tcPr>
          <w:p w:rsidR="004118C6" w:rsidRDefault="00D15C59">
            <w:pPr>
              <w:rPr>
                <w:noProof/>
                <w:color w:val="000000" w:themeColor="text1"/>
                <w:sz w:val="20"/>
                <w:szCs w:val="20"/>
              </w:rPr>
            </w:pPr>
            <w:r>
              <w:rPr>
                <w:noProof/>
                <w:color w:val="000000" w:themeColor="text1"/>
                <w:sz w:val="20"/>
              </w:rPr>
              <w:t>„0“ Standpunkt noch nicht festgelegt</w:t>
            </w:r>
          </w:p>
        </w:tc>
      </w:tr>
      <w:tr w:rsidR="004118C6">
        <w:tc>
          <w:tcPr>
            <w:tcW w:w="5000" w:type="pct"/>
            <w:gridSpan w:val="3"/>
          </w:tcPr>
          <w:p w:rsidR="004118C6" w:rsidRDefault="00D15C59">
            <w:pPr>
              <w:jc w:val="center"/>
              <w:rPr>
                <w:noProof/>
                <w:color w:val="000000" w:themeColor="text1"/>
                <w:sz w:val="20"/>
                <w:szCs w:val="20"/>
              </w:rPr>
            </w:pPr>
            <w:r>
              <w:rPr>
                <w:noProof/>
                <w:color w:val="000000" w:themeColor="text1"/>
                <w:sz w:val="20"/>
              </w:rPr>
              <w:t xml:space="preserve">„(  )“ weitere Analyse </w:t>
            </w:r>
            <w:r>
              <w:rPr>
                <w:noProof/>
                <w:color w:val="000000" w:themeColor="text1"/>
                <w:sz w:val="20"/>
              </w:rPr>
              <w:t>erforderlich</w:t>
            </w:r>
          </w:p>
        </w:tc>
      </w:tr>
    </w:tbl>
    <w:p w:rsidR="004118C6" w:rsidRDefault="00D15C59">
      <w:pPr>
        <w:pStyle w:val="Heading1"/>
        <w:numPr>
          <w:ilvl w:val="0"/>
          <w:numId w:val="13"/>
        </w:numPr>
        <w:rPr>
          <w:noProof/>
        </w:rPr>
      </w:pPr>
      <w:r>
        <w:rPr>
          <w:noProof/>
        </w:rPr>
        <w:t>Arbeitsunterlagen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588"/>
        <w:gridCol w:w="602"/>
        <w:gridCol w:w="139"/>
        <w:gridCol w:w="520"/>
        <w:gridCol w:w="2104"/>
        <w:gridCol w:w="1688"/>
        <w:gridCol w:w="2559"/>
        <w:gridCol w:w="1143"/>
      </w:tblGrid>
      <w:tr w:rsidR="004118C6">
        <w:trPr>
          <w:cantSplit/>
          <w:tblHeader/>
        </w:trPr>
        <w:tc>
          <w:tcPr>
            <w:tcW w:w="0" w:type="auto"/>
            <w:tcMar>
              <w:top w:w="60" w:type="dxa"/>
              <w:left w:w="135" w:type="dxa"/>
              <w:bottom w:w="60" w:type="dxa"/>
              <w:right w:w="135" w:type="dxa"/>
            </w:tcMar>
          </w:tcPr>
          <w:p w:rsidR="004118C6" w:rsidRDefault="00D15C59">
            <w:pPr>
              <w:spacing w:before="0" w:after="0" w:line="240" w:lineRule="atLeast"/>
              <w:rPr>
                <w:rFonts w:eastAsia="Times New Roman"/>
                <w:b/>
                <w:bCs/>
                <w:i/>
                <w:noProof/>
                <w:color w:val="000000" w:themeColor="text1"/>
                <w:sz w:val="20"/>
                <w:szCs w:val="20"/>
              </w:rPr>
            </w:pPr>
            <w:r>
              <w:rPr>
                <w:b/>
                <w:i/>
                <w:noProof/>
                <w:color w:val="000000" w:themeColor="text1"/>
                <w:sz w:val="20"/>
              </w:rPr>
              <w:t>Nr.</w:t>
            </w:r>
          </w:p>
        </w:tc>
        <w:tc>
          <w:tcPr>
            <w:tcW w:w="3731" w:type="dxa"/>
            <w:gridSpan w:val="4"/>
          </w:tcPr>
          <w:p w:rsidR="004118C6" w:rsidRDefault="00D15C59">
            <w:pPr>
              <w:spacing w:before="0" w:after="0" w:line="240" w:lineRule="atLeast"/>
              <w:rPr>
                <w:rFonts w:eastAsia="Times New Roman"/>
                <w:b/>
                <w:bCs/>
                <w:i/>
                <w:noProof/>
                <w:color w:val="000000" w:themeColor="text1"/>
                <w:sz w:val="20"/>
                <w:szCs w:val="20"/>
              </w:rPr>
            </w:pPr>
            <w:r>
              <w:rPr>
                <w:b/>
                <w:i/>
                <w:noProof/>
                <w:color w:val="000000" w:themeColor="text1"/>
                <w:sz w:val="20"/>
              </w:rPr>
              <w:t>Tagesordnungspunkt</w:t>
            </w:r>
          </w:p>
        </w:tc>
        <w:tc>
          <w:tcPr>
            <w:tcW w:w="1423" w:type="dxa"/>
            <w:tcMar>
              <w:top w:w="60" w:type="dxa"/>
              <w:left w:w="135" w:type="dxa"/>
              <w:bottom w:w="60" w:type="dxa"/>
              <w:right w:w="135" w:type="dxa"/>
            </w:tcMar>
          </w:tcPr>
          <w:p w:rsidR="004118C6" w:rsidRDefault="00D15C59">
            <w:pPr>
              <w:spacing w:before="0" w:after="0" w:line="240" w:lineRule="atLeast"/>
              <w:rPr>
                <w:rFonts w:eastAsia="Times New Roman"/>
                <w:b/>
                <w:bCs/>
                <w:i/>
                <w:noProof/>
                <w:color w:val="000000" w:themeColor="text1"/>
                <w:sz w:val="20"/>
                <w:szCs w:val="20"/>
              </w:rPr>
            </w:pPr>
            <w:r>
              <w:rPr>
                <w:b/>
                <w:i/>
                <w:noProof/>
                <w:color w:val="000000" w:themeColor="text1"/>
                <w:sz w:val="20"/>
              </w:rPr>
              <w:t>Antragsteller</w:t>
            </w:r>
            <w:r>
              <w:rPr>
                <w:rStyle w:val="Heading1Char"/>
                <w:noProof/>
                <w:vertAlign w:val="superscript"/>
              </w:rPr>
              <w:footnoteReference w:id="2"/>
            </w:r>
          </w:p>
        </w:tc>
        <w:tc>
          <w:tcPr>
            <w:tcW w:w="2410" w:type="dxa"/>
            <w:tcMar>
              <w:top w:w="60" w:type="dxa"/>
              <w:left w:w="135" w:type="dxa"/>
              <w:bottom w:w="60" w:type="dxa"/>
              <w:right w:w="135" w:type="dxa"/>
            </w:tcMar>
          </w:tcPr>
          <w:p w:rsidR="004118C6" w:rsidRDefault="00D15C59">
            <w:pPr>
              <w:spacing w:before="0" w:after="0" w:line="240" w:lineRule="atLeast"/>
              <w:jc w:val="left"/>
              <w:rPr>
                <w:rFonts w:eastAsia="Times New Roman"/>
                <w:b/>
                <w:bCs/>
                <w:i/>
                <w:noProof/>
                <w:color w:val="000000" w:themeColor="text1"/>
                <w:sz w:val="20"/>
                <w:szCs w:val="20"/>
              </w:rPr>
            </w:pPr>
            <w:r>
              <w:rPr>
                <w:b/>
                <w:i/>
                <w:noProof/>
                <w:color w:val="000000" w:themeColor="text1"/>
                <w:sz w:val="20"/>
              </w:rPr>
              <w:t>Bemerkungen</w:t>
            </w:r>
          </w:p>
        </w:tc>
        <w:tc>
          <w:tcPr>
            <w:tcW w:w="992" w:type="dxa"/>
            <w:tcMar>
              <w:top w:w="60" w:type="dxa"/>
              <w:left w:w="135" w:type="dxa"/>
              <w:bottom w:w="60" w:type="dxa"/>
              <w:right w:w="135" w:type="dxa"/>
            </w:tcMar>
          </w:tcPr>
          <w:p w:rsidR="004118C6" w:rsidRDefault="00D15C59">
            <w:pPr>
              <w:spacing w:before="0" w:after="0" w:line="240" w:lineRule="atLeast"/>
              <w:rPr>
                <w:rFonts w:eastAsia="Times New Roman"/>
                <w:b/>
                <w:bCs/>
                <w:i/>
                <w:noProof/>
                <w:color w:val="000000" w:themeColor="text1"/>
                <w:sz w:val="20"/>
                <w:szCs w:val="20"/>
              </w:rPr>
            </w:pPr>
            <w:r>
              <w:rPr>
                <w:b/>
                <w:i/>
                <w:noProof/>
                <w:color w:val="000000" w:themeColor="text1"/>
                <w:sz w:val="20"/>
              </w:rPr>
              <w:t>Standpunkt</w:t>
            </w: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Eröffnungsfeier</w:t>
            </w: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Kein Dokument</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9207" w:type="dxa"/>
            <w:gridSpan w:val="8"/>
            <w:tcMar>
              <w:top w:w="60" w:type="dxa"/>
              <w:left w:w="135" w:type="dxa"/>
              <w:bottom w:w="60" w:type="dxa"/>
              <w:right w:w="135" w:type="dxa"/>
            </w:tcMar>
            <w:hideMark/>
          </w:tcPr>
          <w:p w:rsidR="004118C6" w:rsidRDefault="00D15C59">
            <w:pPr>
              <w:spacing w:before="0" w:after="0" w:line="240" w:lineRule="atLeast"/>
              <w:jc w:val="left"/>
              <w:rPr>
                <w:rFonts w:eastAsia="Times New Roman"/>
                <w:b/>
                <w:bCs/>
                <w:noProof/>
                <w:color w:val="000000" w:themeColor="text1"/>
                <w:sz w:val="20"/>
                <w:szCs w:val="20"/>
              </w:rPr>
            </w:pPr>
            <w:r>
              <w:rPr>
                <w:b/>
                <w:noProof/>
                <w:color w:val="000000" w:themeColor="text1"/>
                <w:sz w:val="20"/>
              </w:rPr>
              <w:t>Verwaltungsrechtliche und finanzielle Fragen</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Wahl</w:t>
            </w:r>
            <w:r>
              <w:rPr>
                <w:noProof/>
                <w:color w:val="000000" w:themeColor="text1"/>
                <w:sz w:val="20"/>
              </w:rPr>
              <w:t xml:space="preserve"> des Vorsitzenden, des alternierenden Vorsitzenden und der stellvertretenden Vorsitzenden der Tagung und der Vorsitzenden der Ausschüsse I und II</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Kein Dokument</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Annahme der </w:t>
            </w:r>
            <w:r>
              <w:rPr>
                <w:b/>
                <w:noProof/>
                <w:color w:val="000000" w:themeColor="text1"/>
                <w:sz w:val="20"/>
              </w:rPr>
              <w:t>Tagesordnung</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Annahme des </w:t>
            </w:r>
            <w:r>
              <w:rPr>
                <w:b/>
                <w:noProof/>
                <w:color w:val="000000" w:themeColor="text1"/>
                <w:sz w:val="20"/>
              </w:rPr>
              <w:t>Arbeitsprogramms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b/>
                <w:noProof/>
                <w:color w:val="000000" w:themeColor="text1"/>
                <w:sz w:val="20"/>
                <w:szCs w:val="20"/>
              </w:rPr>
            </w:pPr>
            <w:r>
              <w:rPr>
                <w:b/>
                <w:noProof/>
                <w:color w:val="000000" w:themeColor="text1"/>
                <w:sz w:val="20"/>
              </w:rPr>
              <w:t>Geschäftsordnung</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4.1</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Geschäftsordnung für die 18. Tagung der Konferenz der Vertragsparteien </w:t>
            </w:r>
            <w:r>
              <w:rPr>
                <w:noProof/>
                <w:color w:val="000000" w:themeColor="text1"/>
                <w:sz w:val="20"/>
                <w:u w:val="single"/>
              </w:rPr>
              <w:t>CoP18 Doc. 4.1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Kenntnisnahme des Dokuments, das die geltende Geschäftsordnung enthält, die gültig bleibt, solange sie nicht von der Konferenz der Vertragsparteien (CoP)</w:t>
            </w:r>
            <w:r>
              <w:rPr>
                <w:noProof/>
                <w:color w:val="000000" w:themeColor="text1"/>
                <w:sz w:val="20"/>
              </w:rPr>
              <w:t xml:space="preserve"> geändert wird (siehe Regel 32).</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4.2</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Überprüfung der Geschäftsordnung </w:t>
            </w:r>
            <w:r>
              <w:rPr>
                <w:noProof/>
                <w:color w:val="000000" w:themeColor="text1"/>
                <w:sz w:val="20"/>
                <w:u w:val="single"/>
              </w:rPr>
              <w:t>CoP18 Doc. 4.2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Zustimmung zur Beibehaltung der Geschäftsordnung auf der CoP18; ebenfalls Zustimmung zum neuen Mandat des Ständigen Ausschusses zur Überprüfung von Regel 25 (</w:t>
            </w:r>
            <w:r>
              <w:rPr>
                <w:i/>
                <w:noProof/>
                <w:color w:val="000000" w:themeColor="text1"/>
                <w:sz w:val="20"/>
              </w:rPr>
              <w:t>Verfahren für Beschlüsse über Änderungen der Anhänge</w:t>
            </w:r>
            <w:r>
              <w:rPr>
                <w:noProof/>
                <w:color w:val="000000" w:themeColor="text1"/>
                <w:sz w:val="20"/>
              </w:rPr>
              <w:t xml:space="preserve">) durch die CoP19. </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Vollmachtprüfungsausschuss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lastRenderedPageBreak/>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5.1</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Einsetzung des Vollmachtprüfungsausschusses</w:t>
            </w:r>
            <w:r>
              <w:rPr>
                <w:rFonts w:eastAsia="Times New Roman"/>
                <w:noProof/>
                <w:color w:val="000000" w:themeColor="text1"/>
                <w:sz w:val="20"/>
                <w:szCs w:val="20"/>
              </w:rPr>
              <w:br/>
            </w:r>
            <w:r>
              <w:rPr>
                <w:noProof/>
                <w:color w:val="000000" w:themeColor="text1"/>
                <w:sz w:val="20"/>
              </w:rPr>
              <w:t>(kein Dokument)</w:t>
            </w: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Kein Dokument</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5.2</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Vollmachtprüfungsausschusses</w:t>
            </w:r>
            <w:r>
              <w:rPr>
                <w:rFonts w:eastAsia="Times New Roman"/>
                <w:noProof/>
                <w:color w:val="000000" w:themeColor="text1"/>
                <w:sz w:val="20"/>
                <w:szCs w:val="20"/>
              </w:rPr>
              <w:br/>
            </w:r>
            <w:r>
              <w:rPr>
                <w:noProof/>
                <w:color w:val="000000" w:themeColor="text1"/>
                <w:sz w:val="20"/>
              </w:rPr>
              <w:t>(kein Dokument)</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Kein Dokument</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Zulassung von </w:t>
            </w:r>
            <w:r>
              <w:rPr>
                <w:b/>
                <w:noProof/>
                <w:color w:val="000000" w:themeColor="text1"/>
                <w:sz w:val="20"/>
              </w:rPr>
              <w:t>Beobachtern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Verwaltung, Finanzen und Haushalt</w:t>
            </w:r>
            <w:r>
              <w:rPr>
                <w:noProof/>
              </w:rPr>
              <w:t xml:space="preserve"> </w:t>
            </w:r>
            <w:r>
              <w:rPr>
                <w:noProof/>
                <w:color w:val="000000" w:themeColor="text1"/>
                <w:sz w:val="20"/>
              </w:rPr>
              <w:t>des Sekretariats und der Tagungen der Konferenz der Vertragsparteien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7.1</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Verwaltung des Sekretariats</w:t>
            </w:r>
            <w:r>
              <w:rPr>
                <w:rFonts w:eastAsia="Times New Roman"/>
                <w:noProof/>
                <w:color w:val="000000" w:themeColor="text1"/>
                <w:sz w:val="20"/>
                <w:szCs w:val="20"/>
              </w:rPr>
              <w:br/>
            </w:r>
            <w:r>
              <w:rPr>
                <w:noProof/>
                <w:color w:val="000000" w:themeColor="text1"/>
                <w:sz w:val="20"/>
                <w:u w:val="single"/>
              </w:rPr>
              <w:t>CoP18 Doc. 7.1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7.2</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Exekutivdirektors des </w:t>
            </w:r>
            <w:r>
              <w:rPr>
                <w:noProof/>
                <w:color w:val="000000" w:themeColor="text1"/>
                <w:sz w:val="20"/>
              </w:rPr>
              <w:t>UNEP zu verwaltungsrechtlichen und sonstigen Fragen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7.3</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Finanzberichte für den Zeitraum 2016-2019</w:t>
            </w:r>
            <w:r>
              <w:rPr>
                <w:rFonts w:eastAsia="Times New Roman"/>
                <w:noProof/>
                <w:color w:val="000000" w:themeColor="text1"/>
                <w:sz w:val="20"/>
                <w:szCs w:val="20"/>
              </w:rPr>
              <w:br/>
            </w:r>
            <w:r>
              <w:rPr>
                <w:noProof/>
                <w:color w:val="000000" w:themeColor="text1"/>
                <w:sz w:val="20"/>
                <w:u w:val="single"/>
              </w:rPr>
              <w:t>CoP18 Doc. 7.3</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1: Finanzbericht über Arbeitsprogramm mit Kostenaufstellung für 2016 </w:t>
            </w:r>
            <w:r>
              <w:rPr>
                <w:noProof/>
                <w:color w:val="000000" w:themeColor="text1"/>
                <w:sz w:val="20"/>
                <w:u w:val="single"/>
              </w:rPr>
              <w:t>CoP18 Doc. 7.3 A1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2: </w:t>
            </w:r>
            <w:r>
              <w:rPr>
                <w:noProof/>
                <w:color w:val="000000" w:themeColor="text1"/>
                <w:sz w:val="20"/>
              </w:rPr>
              <w:t>CITES-Treuhandfonds (CTL) – Stand der Beiträge am 31. Dezember 2016</w:t>
            </w:r>
            <w:r>
              <w:rPr>
                <w:rFonts w:eastAsia="Times New Roman"/>
                <w:noProof/>
                <w:color w:val="000000" w:themeColor="text1"/>
                <w:sz w:val="20"/>
                <w:szCs w:val="20"/>
              </w:rPr>
              <w:br/>
            </w:r>
            <w:r>
              <w:rPr>
                <w:noProof/>
                <w:color w:val="000000" w:themeColor="text1"/>
                <w:sz w:val="20"/>
                <w:u w:val="single"/>
              </w:rPr>
              <w:t>CoP18 Doc. 7.3 A2</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Anhang 3: Externer CITES-Treuhandfonds (QTL) – Stand der Beiträge am 31. Dezember 2016</w:t>
            </w:r>
            <w:r>
              <w:rPr>
                <w:rFonts w:eastAsia="Times New Roman"/>
                <w:noProof/>
                <w:color w:val="000000" w:themeColor="text1"/>
                <w:sz w:val="20"/>
                <w:szCs w:val="20"/>
              </w:rPr>
              <w:br/>
            </w:r>
            <w:r>
              <w:rPr>
                <w:noProof/>
                <w:color w:val="000000" w:themeColor="text1"/>
                <w:sz w:val="20"/>
                <w:u w:val="single"/>
              </w:rPr>
              <w:t>CoP18 Doc. 7.3 A3</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4: Finanzbericht über Arbeitsprogramm mit </w:t>
            </w:r>
            <w:r>
              <w:rPr>
                <w:noProof/>
                <w:color w:val="000000" w:themeColor="text1"/>
                <w:sz w:val="20"/>
              </w:rPr>
              <w:t>Kostenaufstellung für 2017</w:t>
            </w:r>
            <w:r>
              <w:rPr>
                <w:rFonts w:eastAsia="Times New Roman"/>
                <w:noProof/>
                <w:color w:val="000000" w:themeColor="text1"/>
                <w:sz w:val="20"/>
                <w:szCs w:val="20"/>
              </w:rPr>
              <w:br/>
            </w:r>
            <w:r>
              <w:rPr>
                <w:noProof/>
                <w:color w:val="000000" w:themeColor="text1"/>
                <w:sz w:val="20"/>
                <w:u w:val="single"/>
              </w:rPr>
              <w:t>CoP18 Doc. 7.3 A4</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Anhang 5: CITES-Treuhandfonds (CTL) – Stand der Beiträge am 31. Dezember 2017</w:t>
            </w:r>
            <w:r>
              <w:rPr>
                <w:rFonts w:eastAsia="Times New Roman"/>
                <w:noProof/>
                <w:color w:val="000000" w:themeColor="text1"/>
                <w:sz w:val="20"/>
                <w:szCs w:val="20"/>
              </w:rPr>
              <w:br/>
            </w:r>
            <w:r>
              <w:rPr>
                <w:noProof/>
                <w:color w:val="000000" w:themeColor="text1"/>
                <w:sz w:val="20"/>
                <w:u w:val="single"/>
              </w:rPr>
              <w:t>CoP18 Doc. 7.3 A5</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6: Externer CITES-Treuhandfonds (QTL) – Stand der Beiträge am 31. Dezember 2017 </w:t>
            </w:r>
            <w:r>
              <w:rPr>
                <w:noProof/>
                <w:color w:val="000000" w:themeColor="text1"/>
                <w:sz w:val="20"/>
                <w:u w:val="single"/>
              </w:rPr>
              <w:t xml:space="preserve">CoP18 </w:t>
            </w:r>
            <w:r>
              <w:rPr>
                <w:noProof/>
                <w:color w:val="000000" w:themeColor="text1"/>
                <w:sz w:val="20"/>
                <w:u w:val="single"/>
              </w:rPr>
              <w:t>Doc. 7.3 A6</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7: Finanzbericht über Arbeitsprogramm mit Kostenaufstellung für 2018 </w:t>
            </w:r>
            <w:r>
              <w:rPr>
                <w:noProof/>
                <w:color w:val="000000" w:themeColor="text1"/>
                <w:sz w:val="20"/>
                <w:u w:val="single"/>
              </w:rPr>
              <w:t>CoP18 Doc. 7.3 A7</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8: CITES-Treuhandfonds (CTL) – Stand der Beiträge am 31. Dezember 2018 </w:t>
            </w:r>
            <w:r>
              <w:rPr>
                <w:rFonts w:eastAsia="Times New Roman"/>
                <w:noProof/>
                <w:color w:val="000000" w:themeColor="text1"/>
                <w:sz w:val="20"/>
                <w:szCs w:val="20"/>
              </w:rPr>
              <w:br/>
            </w:r>
            <w:r>
              <w:rPr>
                <w:noProof/>
                <w:color w:val="000000" w:themeColor="text1"/>
                <w:sz w:val="20"/>
                <w:u w:val="single"/>
              </w:rPr>
              <w:t>CoP18 Doc. 7.3 A8</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9: CITES-Treuhandfonds (CTL) – jährliche Verteilung der nicht gezahlten Beiträge, Stand am 31. Dezember 2018 </w:t>
            </w:r>
            <w:r>
              <w:rPr>
                <w:rFonts w:eastAsia="Times New Roman"/>
                <w:noProof/>
                <w:color w:val="000000" w:themeColor="text1"/>
                <w:sz w:val="20"/>
                <w:szCs w:val="20"/>
              </w:rPr>
              <w:br/>
            </w:r>
            <w:r>
              <w:rPr>
                <w:noProof/>
                <w:color w:val="000000" w:themeColor="text1"/>
                <w:sz w:val="20"/>
                <w:u w:val="single"/>
              </w:rPr>
              <w:t>CoP18 Doc. 7.3 A9</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10: Externer CITES-Treuhandfonds (QTL) – Stand der Beiträge am 31. Dezember 2018 </w:t>
            </w:r>
            <w:r>
              <w:rPr>
                <w:noProof/>
                <w:color w:val="000000" w:themeColor="text1"/>
                <w:sz w:val="20"/>
                <w:u w:val="single"/>
              </w:rPr>
              <w:t>CoP18 Doc. 7.3 A10</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Anhang 11: Ergebnisrechnung und Finanzlage für das am 31. Dezember 2017 abgeschlossene Haushaltsjahr</w:t>
            </w:r>
            <w:r>
              <w:rPr>
                <w:rFonts w:eastAsia="Times New Roman"/>
                <w:noProof/>
                <w:color w:val="000000" w:themeColor="text1"/>
                <w:sz w:val="20"/>
                <w:szCs w:val="20"/>
              </w:rPr>
              <w:br/>
            </w:r>
            <w:r>
              <w:rPr>
                <w:noProof/>
                <w:color w:val="000000" w:themeColor="text1"/>
                <w:sz w:val="20"/>
                <w:u w:val="single"/>
              </w:rPr>
              <w:t>CoP18 Doc. 7.3 A11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Anhang 12: Finanzbericht über Arbeitsprogramm mit Kostenaufstellung für 2019 (bis zum 31. März 2019)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13: </w:t>
            </w:r>
            <w:r>
              <w:rPr>
                <w:noProof/>
                <w:color w:val="000000" w:themeColor="text1"/>
                <w:sz w:val="20"/>
              </w:rPr>
              <w:t>CITES-Treuhandfonds (CTL) – Stand der Beiträge am 31. März 2019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Anhang 14: Externer CITES-Treuhandfonds (QTL) – Stand der Beiträge am 31. März 2019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7.4</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Haushalt und Arbeitsprogramm 2020-2022 </w:t>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1: Entwurf einer Resolution über die </w:t>
            </w:r>
            <w:r>
              <w:rPr>
                <w:i/>
                <w:noProof/>
                <w:color w:val="000000" w:themeColor="text1"/>
                <w:sz w:val="20"/>
              </w:rPr>
              <w:t xml:space="preserve">Finanzierung und das Arbeitsprogramm mit Kostenaufstellung für das Sekretariat für den Dreijahreszeitraum 2020-2022 </w:t>
            </w:r>
            <w:r>
              <w:rPr>
                <w:rFonts w:eastAsia="Times New Roman"/>
                <w:i/>
                <w:iCs/>
                <w:noProof/>
                <w:color w:val="000000" w:themeColor="text1"/>
                <w:sz w:val="20"/>
                <w:szCs w:val="20"/>
              </w:rPr>
              <w:br/>
            </w:r>
            <w:r>
              <w:rPr>
                <w:noProof/>
                <w:color w:val="000000" w:themeColor="text1"/>
                <w:sz w:val="20"/>
                <w:u w:val="single"/>
              </w:rPr>
              <w:t>CoP18 Doc. 7.4 A1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2: Haushaltsszenario – reales Nullwachstum </w:t>
            </w:r>
            <w:r>
              <w:rPr>
                <w:rFonts w:eastAsia="Times New Roman"/>
                <w:noProof/>
                <w:color w:val="000000" w:themeColor="text1"/>
                <w:sz w:val="20"/>
                <w:szCs w:val="20"/>
              </w:rPr>
              <w:br/>
            </w:r>
            <w:r>
              <w:rPr>
                <w:noProof/>
                <w:color w:val="000000" w:themeColor="text1"/>
                <w:sz w:val="20"/>
                <w:u w:val="single"/>
              </w:rPr>
              <w:t>CoP18 Doc. 7.4 A2</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3: Haushaltsszenario – nominales Nullwachstum </w:t>
            </w:r>
            <w:r>
              <w:rPr>
                <w:rFonts w:eastAsia="Times New Roman"/>
                <w:noProof/>
                <w:color w:val="000000" w:themeColor="text1"/>
                <w:sz w:val="20"/>
                <w:szCs w:val="20"/>
              </w:rPr>
              <w:br/>
            </w:r>
            <w:r>
              <w:rPr>
                <w:noProof/>
                <w:color w:val="000000" w:themeColor="text1"/>
                <w:sz w:val="20"/>
                <w:u w:val="single"/>
              </w:rPr>
              <w:t>CoP18 Doc. 7.4 A3</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4: Haushaltsszenario – inkrementelles Wachstum </w:t>
            </w:r>
            <w:r>
              <w:rPr>
                <w:rFonts w:eastAsia="Times New Roman"/>
                <w:noProof/>
                <w:color w:val="000000" w:themeColor="text1"/>
                <w:sz w:val="20"/>
                <w:szCs w:val="20"/>
              </w:rPr>
              <w:br/>
            </w:r>
            <w:r>
              <w:rPr>
                <w:noProof/>
                <w:color w:val="000000" w:themeColor="text1"/>
                <w:sz w:val="20"/>
                <w:u w:val="single"/>
              </w:rPr>
              <w:t>CoP18 Doc. 7.4 A4</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7.5</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Zugang zu Finanzmitteln, einschließlich Mitteln der globalen Umweltfazilität (GEF) </w:t>
            </w:r>
            <w:r>
              <w:rPr>
                <w:rFonts w:eastAsia="Times New Roman"/>
                <w:noProof/>
                <w:color w:val="000000" w:themeColor="text1"/>
                <w:sz w:val="20"/>
                <w:szCs w:val="20"/>
              </w:rPr>
              <w:br/>
            </w:r>
            <w:r>
              <w:rPr>
                <w:noProof/>
                <w:color w:val="000000" w:themeColor="text1"/>
                <w:sz w:val="20"/>
                <w:u w:val="single"/>
              </w:rPr>
              <w:t>CoP18 Doc. 7.5</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7.6</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Projekt zur </w:t>
            </w:r>
            <w:r>
              <w:rPr>
                <w:b/>
                <w:i/>
                <w:noProof/>
                <w:color w:val="000000" w:themeColor="text1"/>
                <w:sz w:val="20"/>
              </w:rPr>
              <w:t>finanziellen Unterstützung der Teilnahme von Delegierten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zur Beibehaltung der derzeitigen Auswahlkriterien; das Sekretariat wird die Ausweitung des Projekts von den CoP-Tagungen auf die </w:t>
            </w:r>
            <w:r>
              <w:rPr>
                <w:noProof/>
                <w:color w:val="000000" w:themeColor="text1"/>
                <w:sz w:val="20"/>
              </w:rPr>
              <w:t>Ausschusssitzungen prüfen.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Resolutionsentwurf über eine </w:t>
            </w:r>
            <w:r>
              <w:rPr>
                <w:b/>
                <w:noProof/>
                <w:color w:val="000000" w:themeColor="text1"/>
                <w:sz w:val="20"/>
              </w:rPr>
              <w:t>Sprachenstrategie</w:t>
            </w:r>
            <w:r>
              <w:rPr>
                <w:noProof/>
                <w:color w:val="000000" w:themeColor="text1"/>
                <w:sz w:val="20"/>
              </w:rPr>
              <w:t xml:space="preserve"> für das Übereinkommen </w:t>
            </w:r>
            <w:r>
              <w:rPr>
                <w:rFonts w:eastAsia="Times New Roman"/>
                <w:noProof/>
                <w:color w:val="000000" w:themeColor="text1"/>
                <w:sz w:val="20"/>
                <w:szCs w:val="20"/>
              </w:rPr>
              <w:br/>
            </w:r>
            <w:r>
              <w:rPr>
                <w:noProof/>
                <w:color w:val="000000" w:themeColor="text1"/>
                <w:sz w:val="20"/>
                <w:u w:val="single"/>
              </w:rPr>
              <w:t>CoP18 Doc. 8</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IQ</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Unklar, warum Arabisch als offizielle CITES-Sprache hinzugefügt werden sollte, nicht aber andere VN-Sprachen (Chinesisch, Russisch). Ausw</w:t>
            </w:r>
            <w:r>
              <w:rPr>
                <w:noProof/>
                <w:color w:val="000000" w:themeColor="text1"/>
                <w:sz w:val="20"/>
              </w:rPr>
              <w:t>irkungen auf den Haushalt und mögliche weitere Verzögerungen bei der Erstellung von Dokumenten sprechen gegen den Vorschlag.</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9207" w:type="dxa"/>
            <w:gridSpan w:val="8"/>
            <w:tcMar>
              <w:top w:w="60" w:type="dxa"/>
              <w:left w:w="135" w:type="dxa"/>
              <w:bottom w:w="60" w:type="dxa"/>
              <w:right w:w="135" w:type="dxa"/>
            </w:tcMar>
            <w:hideMark/>
          </w:tcPr>
          <w:p w:rsidR="004118C6" w:rsidRDefault="00D15C59">
            <w:pPr>
              <w:spacing w:before="0" w:after="0" w:line="240" w:lineRule="atLeast"/>
              <w:jc w:val="left"/>
              <w:rPr>
                <w:rFonts w:eastAsia="Times New Roman"/>
                <w:b/>
                <w:bCs/>
                <w:noProof/>
                <w:color w:val="000000" w:themeColor="text1"/>
                <w:sz w:val="20"/>
                <w:szCs w:val="20"/>
              </w:rPr>
            </w:pPr>
            <w:r>
              <w:rPr>
                <w:b/>
                <w:noProof/>
                <w:color w:val="000000" w:themeColor="text1"/>
                <w:sz w:val="20"/>
              </w:rPr>
              <w:t>Strategische Fragen</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Berichte und Empfehlungen der</w:t>
            </w:r>
            <w:r>
              <w:rPr>
                <w:noProof/>
              </w:rPr>
              <w:t xml:space="preserve"> </w:t>
            </w:r>
            <w:r>
              <w:rPr>
                <w:b/>
                <w:noProof/>
                <w:color w:val="000000" w:themeColor="text1"/>
                <w:sz w:val="20"/>
              </w:rPr>
              <w:t>Ausschüsse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9.1</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Ständiger Ausschuss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9.1.1</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Vorsitzes </w:t>
            </w:r>
            <w:r>
              <w:rPr>
                <w:rFonts w:eastAsia="Times New Roman"/>
                <w:noProof/>
                <w:color w:val="000000" w:themeColor="text1"/>
                <w:sz w:val="20"/>
                <w:szCs w:val="20"/>
              </w:rPr>
              <w:br/>
            </w:r>
            <w:r>
              <w:rPr>
                <w:noProof/>
                <w:color w:val="000000" w:themeColor="text1"/>
                <w:sz w:val="20"/>
                <w:u w:val="single"/>
              </w:rPr>
              <w:t>CoP18 Doc. 9.1.1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9.1.2</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Wahl neuer regionaler und alternierender regionaler Mitglieder (kein Dokument)</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9.2</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Tierausschuss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9.2.1</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Vorsitzes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9.2.2</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Wahl neuer regionaler und alternierender </w:t>
            </w:r>
            <w:r>
              <w:rPr>
                <w:noProof/>
                <w:color w:val="000000" w:themeColor="text1"/>
                <w:sz w:val="20"/>
              </w:rPr>
              <w:t>regionaler Mitglieder (kein Dokument)</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9.3</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Pflanzenausschuss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9.3.1</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Vorsitzes </w:t>
            </w:r>
            <w:r>
              <w:rPr>
                <w:rFonts w:eastAsia="Times New Roman"/>
                <w:noProof/>
                <w:color w:val="000000" w:themeColor="text1"/>
                <w:sz w:val="20"/>
                <w:szCs w:val="20"/>
              </w:rPr>
              <w:br/>
            </w:r>
            <w:r>
              <w:rPr>
                <w:noProof/>
                <w:color w:val="000000" w:themeColor="text1"/>
                <w:sz w:val="20"/>
                <w:u w:val="single"/>
              </w:rPr>
              <w:t>CoP18 Doc. 9.3.1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746"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9.3.2</w:t>
            </w:r>
          </w:p>
        </w:tc>
        <w:tc>
          <w:tcPr>
            <w:tcW w:w="2351"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Wahl neuer regionaler und alternierender regionaler Mitglieder (kein Dokument)</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CITES-</w:t>
            </w:r>
            <w:r>
              <w:rPr>
                <w:b/>
                <w:noProof/>
                <w:color w:val="000000" w:themeColor="text1"/>
                <w:sz w:val="20"/>
              </w:rPr>
              <w:t>Strategieplanung</w:t>
            </w:r>
            <w:r>
              <w:rPr>
                <w:noProof/>
                <w:color w:val="000000" w:themeColor="text1"/>
                <w:sz w:val="20"/>
              </w:rPr>
              <w:t xml:space="preserve"> für die Zeit nach 2020 </w:t>
            </w:r>
            <w:r>
              <w:rPr>
                <w:rFonts w:eastAsia="Times New Roman"/>
                <w:noProof/>
                <w:color w:val="000000" w:themeColor="text1"/>
                <w:sz w:val="20"/>
                <w:szCs w:val="20"/>
              </w:rPr>
              <w:br/>
            </w:r>
            <w:r>
              <w:rPr>
                <w:noProof/>
                <w:color w:val="000000" w:themeColor="text1"/>
                <w:sz w:val="20"/>
                <w:u w:val="single"/>
              </w:rPr>
              <w:t>CoP18 Doc. 10</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Annahme der überarbeiteten Strategieplanung; das Sekretariat wird beauftragt, die Ziele mit denen bestehender Beschlüsse und Resolutionen zu vergleichen; der Ständige Ausschuss wird beauftragt, an </w:t>
            </w:r>
            <w:r>
              <w:rPr>
                <w:noProof/>
                <w:color w:val="000000" w:themeColor="text1"/>
                <w:sz w:val="20"/>
              </w:rPr>
              <w:t>Indikatoren zu arbeiten.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b/>
                <w:noProof/>
                <w:color w:val="000000" w:themeColor="text1"/>
                <w:sz w:val="20"/>
                <w:szCs w:val="20"/>
              </w:rPr>
            </w:pPr>
            <w:r>
              <w:rPr>
                <w:b/>
                <w:noProof/>
                <w:color w:val="000000" w:themeColor="text1"/>
                <w:sz w:val="20"/>
              </w:rPr>
              <w:t>Überarbeitung des Übereinkommens</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CO, NA, ZW</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Einige wichtige Fragen im Zusammenhang mit Lebensgrundlagen und der Überprüfung der Anhänge werden aufgeworfen. In seiner derzeitigen Form und in seinem derzeitigen Umfang scheint der Vorschlag jedoch voreingenommen und nicht ausreichend vorbereitet zu sei</w:t>
            </w:r>
            <w:r>
              <w:rPr>
                <w:noProof/>
                <w:color w:val="000000" w:themeColor="text1"/>
                <w:sz w:val="20"/>
              </w:rPr>
              <w:t>n; er beruht auf historischen Erwägungen, ohne dass eingehende Überlegungen zu den zunehmend komplexen Herausforderungen angestellt würden, die der Handel mit Wildtieren und -pflanzen und die Erhaltung dieser Arten mit sich bringen; die Folgen könnten weit</w:t>
            </w:r>
            <w:r>
              <w:rPr>
                <w:noProof/>
                <w:color w:val="000000" w:themeColor="text1"/>
                <w:sz w:val="20"/>
              </w:rPr>
              <w:t xml:space="preserve">reichend sein. Adressaten der Beschlussentwürfe werden nicht genannt. Weitere Diskussionen sind notwendig, auch im Zusammenhang mit anderen Vorschlägen zu ländlichen Gemeinschaften usw. (Positionen 17, 18) und im Hinblick auf den Ressourcenbedarf.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Sicherstellung einer besseren Umsetzung in Bezug auf die </w:t>
            </w:r>
            <w:r>
              <w:rPr>
                <w:b/>
                <w:noProof/>
                <w:color w:val="000000" w:themeColor="text1"/>
                <w:sz w:val="20"/>
              </w:rPr>
              <w:t xml:space="preserve">Listen der Seefischarten </w:t>
            </w:r>
            <w:r>
              <w:rPr>
                <w:noProof/>
                <w:color w:val="000000" w:themeColor="text1"/>
                <w:sz w:val="20"/>
              </w:rPr>
              <w:t xml:space="preserve">in den Anhängen </w:t>
            </w:r>
            <w:r>
              <w:rPr>
                <w:rFonts w:eastAsia="Times New Roman"/>
                <w:noProof/>
                <w:color w:val="000000" w:themeColor="text1"/>
                <w:sz w:val="20"/>
                <w:szCs w:val="20"/>
              </w:rPr>
              <w:br/>
            </w:r>
            <w:r>
              <w:rPr>
                <w:noProof/>
                <w:color w:val="000000" w:themeColor="text1"/>
                <w:sz w:val="20"/>
                <w:u w:val="single"/>
              </w:rPr>
              <w:t>CoP18 Doc. 12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AG</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Anerkennen, dass es nach wie vor erforderlich ist, eine wirksamere Umsetzung in Bezug auf die Listen der Seefischarten zu unterstützen. </w:t>
            </w:r>
            <w:r>
              <w:rPr>
                <w:noProof/>
                <w:color w:val="000000" w:themeColor="text1"/>
                <w:sz w:val="20"/>
              </w:rPr>
              <w:t xml:space="preserve">Bei der Überprüfung der Wirksamkeit früherer Listungen sollte der Fokus jedoch auf bestimmten Fällen mit klarer Begründung liegen und es sollte auf die bestehenden Mechanismen und Empfehlungen aus früheren Überprüfungen zurückgegriffen werden, anstatt ein </w:t>
            </w:r>
            <w:r>
              <w:rPr>
                <w:noProof/>
                <w:color w:val="000000" w:themeColor="text1"/>
                <w:sz w:val="20"/>
              </w:rPr>
              <w:t xml:space="preserve">neues Ad-hoc-Verfahren einzuführen. Grundsätzliche Ablehnung eines „Embargos“ für Neuaufnahmen von Artengruppen in die Listen; entscheidend ist, ob die Kriterien für die Aufnahme erfüllt sind.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Überarbeitung der Resolution Conf. 11.1 (Rev. CoP17) üb</w:t>
            </w:r>
            <w:r>
              <w:rPr>
                <w:noProof/>
                <w:color w:val="000000" w:themeColor="text1"/>
                <w:sz w:val="20"/>
              </w:rPr>
              <w:t xml:space="preserve">er die </w:t>
            </w:r>
            <w:r>
              <w:rPr>
                <w:b/>
                <w:i/>
                <w:noProof/>
                <w:color w:val="000000" w:themeColor="text1"/>
                <w:sz w:val="20"/>
              </w:rPr>
              <w:t>Einsetzung von Ausschüssen</w:t>
            </w:r>
            <w:r>
              <w:rPr>
                <w:i/>
                <w:noProof/>
                <w:color w:val="000000" w:themeColor="text1"/>
                <w:sz w:val="20"/>
              </w:rPr>
              <w:t xml:space="preserve"> </w:t>
            </w:r>
            <w:r>
              <w:rPr>
                <w:noProof/>
                <w:color w:val="000000" w:themeColor="text1"/>
                <w:sz w:val="20"/>
                <w:u w:val="single"/>
              </w:rPr>
              <w:t>CoP18 Doc. 13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Zustimmung zur vorgeschlagenen neuen Resolution; die vom Sekretariat vorgeschlagenen Änderungen müssen eingehender geprüft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Potenzielle </w:t>
            </w:r>
            <w:r>
              <w:rPr>
                <w:b/>
                <w:noProof/>
                <w:color w:val="000000" w:themeColor="text1"/>
                <w:sz w:val="20"/>
              </w:rPr>
              <w:t>Interessenkonflikte</w:t>
            </w:r>
            <w:r>
              <w:rPr>
                <w:noProof/>
                <w:color w:val="000000" w:themeColor="text1"/>
                <w:sz w:val="20"/>
              </w:rPr>
              <w:t xml:space="preserve"> im Tier- und im Pflanzenausschuss </w:t>
            </w:r>
            <w:r>
              <w:rPr>
                <w:noProof/>
                <w:color w:val="000000" w:themeColor="text1"/>
                <w:sz w:val="20"/>
                <w:u w:val="single"/>
              </w:rPr>
              <w:t>CoP18 Doc. 14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In der SC70 wurde das Standardformular für Interessenerklärungen angenommen; Zustimmung zur Streichung der Beschlüsse 16.09 und 16.10.</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Zusammenarbeit</w:t>
            </w:r>
            <w:r>
              <w:rPr>
                <w:noProof/>
              </w:rPr>
              <w:t xml:space="preserve"> </w:t>
            </w:r>
            <w:r>
              <w:rPr>
                <w:noProof/>
                <w:color w:val="000000" w:themeColor="text1"/>
                <w:sz w:val="20"/>
              </w:rPr>
              <w:t xml:space="preserve">mit Organisationen und multilateralen </w:t>
            </w:r>
            <w:r>
              <w:rPr>
                <w:noProof/>
                <w:color w:val="000000" w:themeColor="text1"/>
                <w:sz w:val="20"/>
              </w:rPr>
              <w:t>Umweltübereinkommen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15.1</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Zusammenarbeit mit </w:t>
            </w:r>
            <w:r>
              <w:rPr>
                <w:b/>
                <w:i/>
                <w:noProof/>
                <w:color w:val="000000" w:themeColor="text1"/>
                <w:sz w:val="20"/>
              </w:rPr>
              <w:t>anderen biodiversitätsbezogenen Übereinkommen</w:t>
            </w:r>
            <w:r>
              <w:rPr>
                <w:noProof/>
                <w:color w:val="000000" w:themeColor="text1"/>
                <w:sz w:val="20"/>
              </w:rPr>
              <w:t xml:space="preserve"> </w:t>
            </w:r>
            <w:r>
              <w:rPr>
                <w:noProof/>
                <w:color w:val="000000" w:themeColor="text1"/>
                <w:sz w:val="20"/>
                <w:u w:val="single"/>
              </w:rPr>
              <w:t>CoP18 Doc. 15.1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Verlängerung der Beschlüsse 17.55 und 17.56.</w:t>
            </w:r>
          </w:p>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Synergien zwischen den multilateralen Umweltübereinkommen über die biologische </w:t>
            </w:r>
            <w:r>
              <w:rPr>
                <w:noProof/>
                <w:color w:val="000000" w:themeColor="text1"/>
                <w:sz w:val="20"/>
              </w:rPr>
              <w:t>Vielfalt sollten weiter verstärkt werden und der Ständige Ausschuss sollte diese Themen weiterhin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15.2</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Kommission für die Erhaltung der lebenden Meeresschätze der Antarktis (</w:t>
            </w:r>
            <w:r>
              <w:rPr>
                <w:b/>
                <w:i/>
                <w:noProof/>
                <w:color w:val="000000" w:themeColor="text1"/>
                <w:sz w:val="20"/>
              </w:rPr>
              <w:t>CCAMLR</w:t>
            </w:r>
            <w:r>
              <w:rPr>
                <w:noProof/>
                <w:color w:val="000000" w:themeColor="text1"/>
                <w:sz w:val="20"/>
              </w:rPr>
              <w:t xml:space="preserve">) </w:t>
            </w:r>
            <w:r>
              <w:rPr>
                <w:noProof/>
                <w:color w:val="000000" w:themeColor="text1"/>
                <w:sz w:val="20"/>
                <w:u w:val="single"/>
              </w:rPr>
              <w:t>CoP18 Doc. 15.2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 den vom CITES- und </w:t>
            </w:r>
            <w:r>
              <w:rPr>
                <w:noProof/>
                <w:color w:val="000000" w:themeColor="text1"/>
                <w:sz w:val="20"/>
              </w:rPr>
              <w:t>CCAMLR-Sekretariat vorgeschlagenen Änderungen der Resolution Conf. 12.4.</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15.3</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Globale </w:t>
            </w:r>
            <w:r>
              <w:rPr>
                <w:b/>
                <w:i/>
                <w:noProof/>
                <w:color w:val="000000" w:themeColor="text1"/>
                <w:sz w:val="20"/>
              </w:rPr>
              <w:t>Pflanzenschutzstrategie</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15.3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neuen Beschlussentwürfen zur Ersetzung der Beschlüsse 17.53 und 17.54.</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15.4</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Weltbiodiversitätsrat (Intergovernmental Science-Policy Platform on Biodiversity and Ecosystem Services, </w:t>
            </w:r>
            <w:r>
              <w:rPr>
                <w:b/>
                <w:i/>
                <w:noProof/>
                <w:color w:val="000000" w:themeColor="text1"/>
                <w:sz w:val="20"/>
              </w:rPr>
              <w:t>IPBES</w:t>
            </w:r>
            <w:r>
              <w:rPr>
                <w:noProof/>
                <w:color w:val="000000" w:themeColor="text1"/>
                <w:sz w:val="20"/>
              </w:rPr>
              <w:t>)</w:t>
            </w:r>
            <w:r>
              <w:rPr>
                <w:rFonts w:eastAsia="Times New Roman"/>
                <w:noProof/>
                <w:color w:val="000000" w:themeColor="text1"/>
                <w:sz w:val="20"/>
                <w:szCs w:val="20"/>
              </w:rPr>
              <w:br/>
            </w:r>
            <w:r>
              <w:rPr>
                <w:noProof/>
                <w:color w:val="000000" w:themeColor="text1"/>
                <w:sz w:val="20"/>
                <w:u w:val="single"/>
              </w:rPr>
              <w:t>CoP18 Doc. 15.4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zum Resolutionsentwurf über die </w:t>
            </w:r>
            <w:r>
              <w:rPr>
                <w:i/>
                <w:noProof/>
                <w:color w:val="000000" w:themeColor="text1"/>
                <w:sz w:val="20"/>
              </w:rPr>
              <w:t>Zusammenarbeit mit dem Weltbiodiversitätsrat</w:t>
            </w:r>
            <w:r>
              <w:rPr>
                <w:noProof/>
                <w:color w:val="000000" w:themeColor="text1"/>
                <w:sz w:val="20"/>
              </w:rPr>
              <w:t xml:space="preserve"> in Anhang 3 des Dokuments.  </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634"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15.5</w:t>
            </w:r>
          </w:p>
        </w:tc>
        <w:tc>
          <w:tcPr>
            <w:tcW w:w="3097" w:type="dxa"/>
            <w:gridSpan w:val="3"/>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Internationales Konsortium zur Bekämpfung der Artenschutzkriminalität (International Consortium on Combating Wildlife Crime, </w:t>
            </w:r>
            <w:r>
              <w:rPr>
                <w:b/>
                <w:i/>
                <w:noProof/>
                <w:color w:val="000000" w:themeColor="text1"/>
                <w:sz w:val="20"/>
              </w:rPr>
              <w:t>ICCWC</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15.5</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Zustimmung zur Aufforderung an die Vertragsparteien, weiterhin ICCWC-Tätigkeiten zu finanzieren</w:t>
            </w:r>
            <w:r>
              <w:rPr>
                <w:noProof/>
                <w:color w:val="000000" w:themeColor="text1"/>
                <w:sz w:val="20"/>
              </w:rPr>
              <w:t>.</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15.6</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Zusammenarbeit im Rahmen des CITES-Übereinkommens und des </w:t>
            </w:r>
            <w:r>
              <w:rPr>
                <w:b/>
                <w:i/>
                <w:noProof/>
                <w:color w:val="000000" w:themeColor="text1"/>
                <w:sz w:val="20"/>
              </w:rPr>
              <w:t>Welterbe</w:t>
            </w:r>
            <w:r>
              <w:rPr>
                <w:noProof/>
                <w:color w:val="000000" w:themeColor="text1"/>
                <w:sz w:val="20"/>
              </w:rPr>
              <w:t xml:space="preserve">-Übereinkommens </w:t>
            </w:r>
            <w:r>
              <w:rPr>
                <w:rFonts w:eastAsia="Times New Roman"/>
                <w:noProof/>
                <w:color w:val="000000" w:themeColor="text1"/>
                <w:sz w:val="20"/>
                <w:szCs w:val="20"/>
              </w:rPr>
              <w:br/>
            </w:r>
            <w:r>
              <w:rPr>
                <w:noProof/>
                <w:color w:val="000000" w:themeColor="text1"/>
                <w:sz w:val="20"/>
                <w:u w:val="single"/>
              </w:rPr>
              <w:t>CoP18 Doc. 15.6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Norwegen</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zum Resolutionsentwurf (der die Ausarbeitung einer Vereinbarung zwischen WHC und CITES fordert) und zum Beschlussentwurf in </w:t>
            </w:r>
            <w:r>
              <w:rPr>
                <w:noProof/>
                <w:color w:val="000000" w:themeColor="text1"/>
                <w:sz w:val="20"/>
              </w:rPr>
              <w:t>den Anhängen 1 und 2.</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CITES-Programm für </w:t>
            </w:r>
            <w:r>
              <w:rPr>
                <w:b/>
                <w:noProof/>
                <w:color w:val="000000" w:themeColor="text1"/>
                <w:sz w:val="20"/>
              </w:rPr>
              <w:t>Baumarten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17.</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b/>
                <w:noProof/>
                <w:color w:val="000000" w:themeColor="text1"/>
                <w:sz w:val="20"/>
                <w:szCs w:val="20"/>
              </w:rPr>
            </w:pPr>
            <w:r>
              <w:rPr>
                <w:b/>
                <w:noProof/>
                <w:color w:val="000000" w:themeColor="text1"/>
                <w:sz w:val="20"/>
              </w:rPr>
              <w:t>Ländliche Gemeinschaften</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i/>
                <w:noProof/>
                <w:color w:val="000000" w:themeColor="text1"/>
                <w:sz w:val="20"/>
              </w:rPr>
              <w:t>Gemeinsam mit den damit zusammenhängenden Vorschlägen unter Nummer 18 prüfen.</w:t>
            </w: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17.1.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Ständigen Ausschusses </w:t>
            </w:r>
            <w:r>
              <w:rPr>
                <w:rFonts w:eastAsia="Times New Roman"/>
                <w:noProof/>
                <w:color w:val="000000" w:themeColor="text1"/>
                <w:sz w:val="20"/>
                <w:szCs w:val="20"/>
              </w:rPr>
              <w:br/>
            </w:r>
            <w:r>
              <w:rPr>
                <w:noProof/>
                <w:color w:val="000000" w:themeColor="text1"/>
                <w:sz w:val="20"/>
                <w:u w:val="single"/>
              </w:rPr>
              <w:t>CoP18 Doc. 17.1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Bereitschaft zur Berücksichtigung des Vorschlags des Sekretariats zur Änderung der Resolution Conf. 16.6 über </w:t>
            </w:r>
            <w:r>
              <w:rPr>
                <w:i/>
                <w:noProof/>
                <w:color w:val="000000" w:themeColor="text1"/>
                <w:sz w:val="20"/>
              </w:rPr>
              <w:t>Lebensgrundlagen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Der Vorschlag, die CoP17-Beschlüsse zu streichen, könnte voreilig se</w:t>
            </w:r>
            <w:r>
              <w:rPr>
                <w:noProof/>
                <w:color w:val="000000" w:themeColor="text1"/>
                <w:sz w:val="20"/>
              </w:rPr>
              <w:t>in; weitere Arbeiten zwischen den Tagungen könnten angezeigt sein (gemeinsam mit der Arbeitsgruppe „Lebensgrundlagen“?).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17.2.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Vorgeschlagene Änderungen der Resolution Conf. 4.6 (Rev. CoP17) [</w:t>
            </w:r>
            <w:r>
              <w:rPr>
                <w:i/>
                <w:noProof/>
                <w:color w:val="000000" w:themeColor="text1"/>
                <w:sz w:val="20"/>
              </w:rPr>
              <w:t>Übermittlung der Resolutionsentwürfe</w:t>
            </w:r>
            <w:r>
              <w:rPr>
                <w:noProof/>
                <w:color w:val="000000" w:themeColor="text1"/>
                <w:sz w:val="20"/>
              </w:rPr>
              <w:t xml:space="preserve">] und der Resolution Conf. 9.24 (Rev. CoP17) </w:t>
            </w:r>
            <w:r>
              <w:rPr>
                <w:rFonts w:eastAsia="Times New Roman"/>
                <w:noProof/>
                <w:color w:val="000000" w:themeColor="text1"/>
                <w:sz w:val="20"/>
                <w:szCs w:val="20"/>
              </w:rPr>
              <w:br/>
            </w:r>
            <w:r>
              <w:rPr>
                <w:noProof/>
                <w:color w:val="000000" w:themeColor="text1"/>
                <w:sz w:val="20"/>
                <w:u w:val="single"/>
              </w:rPr>
              <w:t>CoP18 Doc. 17.2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NA, ZW</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Die vorgeschlagene Änderung der Resolution 4.6 scheint nicht angebracht zu sein, da der Fokus der Resolution ansonsten auf den Formalitäten und Verfahren für die Einreichung von Vorschläg</w:t>
            </w:r>
            <w:r>
              <w:rPr>
                <w:noProof/>
                <w:color w:val="000000" w:themeColor="text1"/>
                <w:sz w:val="20"/>
              </w:rPr>
              <w:t>en liegt.</w:t>
            </w:r>
          </w:p>
          <w:p w:rsidR="004118C6" w:rsidRDefault="00D15C59">
            <w:pPr>
              <w:spacing w:after="0" w:line="240" w:lineRule="atLeast"/>
              <w:jc w:val="left"/>
              <w:rPr>
                <w:rFonts w:eastAsia="Times New Roman"/>
                <w:noProof/>
                <w:color w:val="000000" w:themeColor="text1"/>
                <w:sz w:val="20"/>
                <w:szCs w:val="20"/>
              </w:rPr>
            </w:pPr>
            <w:r>
              <w:rPr>
                <w:noProof/>
                <w:color w:val="000000" w:themeColor="text1"/>
                <w:sz w:val="20"/>
              </w:rPr>
              <w:t xml:space="preserve">Für jegliche Änderung der Resolution 9.24 wäre zumindest der geografische Umfang der Konsultationen mit den ländlichen Gemeinschaften zu klären – d. h. von jeder Vertragspartei in ihrem Hoheitsgebiet; weiterer Diskussionsbedarf. </w:t>
            </w:r>
          </w:p>
          <w:p w:rsidR="004118C6" w:rsidRDefault="00D15C59">
            <w:pPr>
              <w:spacing w:after="0" w:line="240" w:lineRule="atLeast"/>
              <w:jc w:val="left"/>
              <w:rPr>
                <w:rFonts w:eastAsia="Times New Roman"/>
                <w:noProof/>
                <w:color w:val="000000" w:themeColor="text1"/>
                <w:sz w:val="20"/>
                <w:szCs w:val="20"/>
              </w:rPr>
            </w:pPr>
            <w:r>
              <w:rPr>
                <w:i/>
                <w:noProof/>
                <w:color w:val="000000" w:themeColor="text1"/>
                <w:sz w:val="20"/>
              </w:rPr>
              <w:t>Gemeinsam mit Do</w:t>
            </w:r>
            <w:r>
              <w:rPr>
                <w:i/>
                <w:noProof/>
                <w:color w:val="000000" w:themeColor="text1"/>
                <w:sz w:val="20"/>
              </w:rPr>
              <w:t>c. 18.3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17.3</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Partizipationsmechanismus für ländliche Gemeinschaften</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BW, CO, NA, ZW</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Ablehnung der Einrichtung eines ständigen Ausschusses für ländliche Gemeinschaften; Alternativen prüfen, wie ländliche Gemeinschaften Einfluss nehmen können.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CITES und </w:t>
            </w:r>
            <w:r>
              <w:rPr>
                <w:b/>
                <w:noProof/>
                <w:color w:val="000000" w:themeColor="text1"/>
                <w:sz w:val="20"/>
              </w:rPr>
              <w:t>Lebensgrundlagen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i/>
                <w:noProof/>
                <w:color w:val="000000" w:themeColor="text1"/>
                <w:sz w:val="20"/>
                <w:szCs w:val="20"/>
              </w:rPr>
            </w:pPr>
            <w:r>
              <w:rPr>
                <w:i/>
                <w:noProof/>
                <w:color w:val="000000" w:themeColor="text1"/>
                <w:sz w:val="20"/>
              </w:rPr>
              <w:t>Gemeinsam mit den dazugehörigen Vorschlägen unter Nummer 17 prüfen.</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18.1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Sekretariats </w:t>
            </w:r>
            <w:r>
              <w:rPr>
                <w:noProof/>
                <w:color w:val="000000" w:themeColor="text1"/>
                <w:sz w:val="20"/>
                <w:u w:val="single"/>
              </w:rPr>
              <w:t>CoP18 Doc. 18.1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zur Wiedereinsetzung der Arbeitsgruppe, Entwicklung von Leitlinien mithilfe eines Beraters, zur Prüfung durch die CoP19. </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18.2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Vorschlag Perus </w:t>
            </w:r>
            <w:r>
              <w:rPr>
                <w:rFonts w:eastAsia="Times New Roman"/>
                <w:noProof/>
                <w:color w:val="000000" w:themeColor="text1"/>
                <w:sz w:val="20"/>
                <w:szCs w:val="20"/>
              </w:rPr>
              <w:br/>
            </w:r>
            <w:r>
              <w:rPr>
                <w:noProof/>
                <w:color w:val="000000" w:themeColor="text1"/>
                <w:sz w:val="20"/>
                <w:u w:val="single"/>
              </w:rPr>
              <w:t>CoP18 Doc. 18.2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Offen für die Fortsetzung der Arbeitsgruppe, aber den Vorschlag hinterfragen,</w:t>
            </w:r>
            <w:r>
              <w:rPr>
                <w:noProof/>
                <w:color w:val="000000" w:themeColor="text1"/>
                <w:sz w:val="20"/>
              </w:rPr>
              <w:t xml:space="preserve"> ihren Zuständigkeitsbereich durch die Arbeit an einem möglichen Zertifizierungssystem für „Produkte von CITES-gelisteten Arten, die von ländlichen Gemeinschaften erzeugt werden und mit den CITES-Bestimmungen im Einklang stehen“, zu ergänzen.</w:t>
            </w:r>
          </w:p>
          <w:p w:rsidR="004118C6" w:rsidRDefault="00D15C59">
            <w:pPr>
              <w:spacing w:after="0" w:line="240" w:lineRule="atLeast"/>
              <w:jc w:val="left"/>
              <w:rPr>
                <w:rFonts w:eastAsia="Times New Roman"/>
                <w:noProof/>
                <w:color w:val="000000" w:themeColor="text1"/>
                <w:sz w:val="20"/>
                <w:szCs w:val="20"/>
              </w:rPr>
            </w:pPr>
            <w:r>
              <w:rPr>
                <w:noProof/>
                <w:color w:val="000000" w:themeColor="text1"/>
                <w:sz w:val="20"/>
              </w:rPr>
              <w:t>Allgemein auc</w:t>
            </w:r>
            <w:r>
              <w:rPr>
                <w:noProof/>
                <w:color w:val="000000" w:themeColor="text1"/>
                <w:sz w:val="20"/>
              </w:rPr>
              <w:t>h offen für die Einführung eines „Internationalen Tages der Lebensgrundlagen für ländliche Gemeinschaften“, aber zu diesem Zweck ist möglicherweise keine spezifische Resolution erforderlich; auch die Auswirkungen auf die Ressourcen berücksichtigen.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18.3.</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Vorgeschlagene Änderungen der Resolution Conf. 9.24 (Rev. CoP17) </w:t>
            </w:r>
            <w:r>
              <w:rPr>
                <w:rFonts w:eastAsia="Times New Roman"/>
                <w:noProof/>
                <w:color w:val="000000" w:themeColor="text1"/>
                <w:sz w:val="20"/>
                <w:szCs w:val="20"/>
              </w:rPr>
              <w:br/>
            </w:r>
            <w:r>
              <w:rPr>
                <w:noProof/>
                <w:color w:val="000000" w:themeColor="text1"/>
                <w:sz w:val="20"/>
                <w:u w:val="single"/>
              </w:rPr>
              <w:t>CoP18 Doc. 18.3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CN</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Die Idee, eine Art von „Analyse zu den Lebensgrundlagen“ in die unterstützenden Erklärungen zu Vorschlägen für Listungsänderungen aufzunehmen (Resolution Conf. 9.24,</w:t>
            </w:r>
            <w:r>
              <w:rPr>
                <w:noProof/>
                <w:color w:val="000000" w:themeColor="text1"/>
                <w:sz w:val="20"/>
              </w:rPr>
              <w:t xml:space="preserve"> Anhang 6), könnte in Betracht gezogen werden, scheint aber noch nicht reif für einen Beschluss auf der CoP18 zu sein; vorgeschlagener Wortlaut teilweise unklar. </w:t>
            </w:r>
          </w:p>
          <w:p w:rsidR="004118C6" w:rsidRDefault="00D15C59">
            <w:pPr>
              <w:spacing w:after="0" w:line="240" w:lineRule="atLeast"/>
              <w:jc w:val="left"/>
              <w:rPr>
                <w:rFonts w:eastAsia="Times New Roman"/>
                <w:noProof/>
                <w:color w:val="000000" w:themeColor="text1"/>
                <w:sz w:val="20"/>
                <w:szCs w:val="20"/>
              </w:rPr>
            </w:pPr>
            <w:r>
              <w:rPr>
                <w:i/>
                <w:noProof/>
                <w:color w:val="000000" w:themeColor="text1"/>
                <w:sz w:val="20"/>
              </w:rPr>
              <w:t>Gemeinsam mit Dokument 17.2 prüfen.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Lebensmittelsicherheit</w:t>
            </w:r>
            <w:r>
              <w:rPr>
                <w:noProof/>
              </w:rPr>
              <w:t xml:space="preserve"> </w:t>
            </w:r>
            <w:r>
              <w:rPr>
                <w:noProof/>
                <w:color w:val="000000" w:themeColor="text1"/>
                <w:sz w:val="20"/>
              </w:rPr>
              <w:t xml:space="preserve">und Lebensgrundlagen </w:t>
            </w:r>
            <w:r>
              <w:rPr>
                <w:rFonts w:eastAsia="Times New Roman"/>
                <w:noProof/>
                <w:color w:val="000000" w:themeColor="text1"/>
                <w:sz w:val="20"/>
                <w:szCs w:val="20"/>
              </w:rPr>
              <w:br/>
            </w:r>
            <w:r>
              <w:rPr>
                <w:noProof/>
                <w:color w:val="000000" w:themeColor="text1"/>
                <w:sz w:val="20"/>
                <w:u w:val="single"/>
              </w:rPr>
              <w:t>CoP18 Doc. 19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Ablehnung der Verlängerung der Beschlüsse, da die Arbeitsgruppe keine Fortschritte erzielt hat und unter den Punkten „Ländliche Gemeinschaften“ und „Lebensgrundlagen“ sehr ähnliche Themen behandelt werden; Zustimmung zu den Anmerkungen des</w:t>
            </w:r>
            <w:r>
              <w:rPr>
                <w:noProof/>
                <w:color w:val="000000" w:themeColor="text1"/>
                <w:sz w:val="20"/>
              </w:rPr>
              <w:t xml:space="preserve"> Sekretariats.</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Strategien zur </w:t>
            </w:r>
            <w:r>
              <w:rPr>
                <w:b/>
                <w:noProof/>
                <w:color w:val="000000" w:themeColor="text1"/>
                <w:sz w:val="20"/>
              </w:rPr>
              <w:t>Nachfrageverringerung</w:t>
            </w:r>
            <w:r>
              <w:rPr>
                <w:noProof/>
                <w:color w:val="000000" w:themeColor="text1"/>
                <w:sz w:val="20"/>
              </w:rPr>
              <w:t xml:space="preserve">, um illegalen Handel mit CITES-gelisteten Arten zu bekämpfen </w:t>
            </w:r>
            <w:r>
              <w:rPr>
                <w:rFonts w:eastAsia="Times New Roman"/>
                <w:noProof/>
                <w:color w:val="000000" w:themeColor="text1"/>
                <w:sz w:val="20"/>
                <w:szCs w:val="20"/>
              </w:rPr>
              <w:br/>
            </w:r>
            <w:r>
              <w:rPr>
                <w:noProof/>
                <w:color w:val="000000" w:themeColor="text1"/>
                <w:sz w:val="20"/>
                <w:u w:val="single"/>
              </w:rPr>
              <w:t>CoP18 Doc. 20</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zur Annahme der in Anhang 1 genannten Beschlussentwürfe und Zustimmung zur Streichung der Beschlüsse 17.44 </w:t>
            </w:r>
            <w:r>
              <w:rPr>
                <w:noProof/>
                <w:color w:val="000000" w:themeColor="text1"/>
                <w:sz w:val="20"/>
              </w:rPr>
              <w:t>bis 17.48.</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21.</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b/>
                <w:noProof/>
                <w:color w:val="000000" w:themeColor="text1"/>
                <w:sz w:val="20"/>
              </w:rPr>
              <w:t xml:space="preserve">Kapazitätsaufbau </w:t>
            </w:r>
            <w:r>
              <w:rPr>
                <w:noProof/>
                <w:color w:val="000000" w:themeColor="text1"/>
                <w:sz w:val="20"/>
              </w:rPr>
              <w:t>und Identifizierungsmaterialien</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keepNext/>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21.1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Kapazitätsaufbau und Identifizierungsmaterialien </w:t>
            </w:r>
            <w:r>
              <w:rPr>
                <w:rFonts w:eastAsia="Times New Roman"/>
                <w:noProof/>
                <w:color w:val="000000" w:themeColor="text1"/>
                <w:sz w:val="20"/>
                <w:szCs w:val="20"/>
              </w:rPr>
              <w:br/>
            </w:r>
            <w:r>
              <w:rPr>
                <w:noProof/>
                <w:color w:val="000000" w:themeColor="text1"/>
                <w:sz w:val="20"/>
                <w:u w:val="single"/>
              </w:rPr>
              <w:t>CoP18 Doc. 21.1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AC/PC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 den Beschlussentwürfen für die Einrichtung einer gemeinsamen AC/PC-Arbeitsgruppe zu </w:t>
            </w:r>
            <w:r>
              <w:rPr>
                <w:noProof/>
                <w:color w:val="000000" w:themeColor="text1"/>
                <w:sz w:val="20"/>
              </w:rPr>
              <w:t>Identifizierungsmaterial; außerdem Zustimmung zum Vorschlag des Sekretariats, Beschlüsse, die bereits durch Dokument 54.1 abgedeckt sind, zu streichen.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21.2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In den Resolutionen und Beschlüssen aufgeführte Maßnahmen zum Kapazitätsaufbau </w:t>
            </w:r>
            <w:r>
              <w:rPr>
                <w:rFonts w:eastAsia="Times New Roman"/>
                <w:noProof/>
                <w:color w:val="000000" w:themeColor="text1"/>
                <w:sz w:val="20"/>
                <w:szCs w:val="20"/>
              </w:rPr>
              <w:br/>
            </w:r>
            <w:r>
              <w:rPr>
                <w:noProof/>
                <w:color w:val="000000" w:themeColor="text1"/>
                <w:sz w:val="20"/>
                <w:u w:val="single"/>
              </w:rPr>
              <w:t xml:space="preserve">CoP18 </w:t>
            </w:r>
            <w:r>
              <w:rPr>
                <w:noProof/>
                <w:color w:val="000000" w:themeColor="text1"/>
                <w:sz w:val="20"/>
                <w:u w:val="single"/>
              </w:rPr>
              <w:t>Doc. 21.2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Zustimmung zur Annahme der Beschlussentwürfe (Überarbeitung, Verbesserung der CITES-Website, Online-Kurse über das „CITES Virtual College“) mit den vom Sekretariat vorgeschlagenen Änderungen.</w:t>
            </w:r>
          </w:p>
          <w:p w:rsidR="004118C6" w:rsidRDefault="00D15C59">
            <w:pPr>
              <w:spacing w:before="0" w:after="0" w:line="240" w:lineRule="atLeast"/>
              <w:jc w:val="left"/>
              <w:rPr>
                <w:rFonts w:eastAsia="Times New Roman"/>
                <w:i/>
                <w:noProof/>
                <w:color w:val="000000" w:themeColor="text1"/>
                <w:sz w:val="20"/>
                <w:szCs w:val="20"/>
              </w:rPr>
            </w:pPr>
            <w:r>
              <w:rPr>
                <w:i/>
                <w:noProof/>
                <w:color w:val="000000" w:themeColor="text1"/>
                <w:sz w:val="20"/>
              </w:rPr>
              <w:t>Gemeinsam mit Dokument 21.3, 28 und 29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21.3</w:t>
            </w:r>
          </w:p>
        </w:tc>
        <w:tc>
          <w:tcPr>
            <w:tcW w:w="2971" w:type="dxa"/>
            <w:gridSpan w:val="2"/>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Rahmen zur Vereinfachung der Koordinierung, Transparenz und Nachvollziehbarkeit der Bemühungen um Kapazitätsaufbau im Rahmen des CITES-Übereinkommens </w:t>
            </w:r>
            <w:r>
              <w:rPr>
                <w:rFonts w:eastAsia="Times New Roman"/>
                <w:noProof/>
                <w:color w:val="000000" w:themeColor="text1"/>
                <w:sz w:val="20"/>
                <w:szCs w:val="20"/>
              </w:rPr>
              <w:br/>
            </w:r>
            <w:r>
              <w:rPr>
                <w:noProof/>
                <w:color w:val="000000" w:themeColor="text1"/>
                <w:sz w:val="20"/>
                <w:u w:val="single"/>
              </w:rPr>
              <w:t>CoP18 Doc. 21.3</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US</w:t>
            </w:r>
          </w:p>
        </w:tc>
        <w:tc>
          <w:tcPr>
            <w:tcW w:w="2410" w:type="dxa"/>
            <w:shd w:val="clear" w:color="auto" w:fill="auto"/>
            <w:tcMar>
              <w:top w:w="60" w:type="dxa"/>
              <w:left w:w="135" w:type="dxa"/>
              <w:bottom w:w="60" w:type="dxa"/>
              <w:right w:w="135" w:type="dxa"/>
            </w:tcMar>
            <w:vAlign w:val="center"/>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Nützliche Initiative, aber die Annahme des Resolutionsentwurfs und des Rahmens </w:t>
            </w:r>
            <w:r>
              <w:rPr>
                <w:noProof/>
                <w:color w:val="000000" w:themeColor="text1"/>
                <w:sz w:val="20"/>
              </w:rPr>
              <w:t>auf der CoP18 scheint verfrüht. Stattdessen Zustimmung zur Integration relevanter Elemente in  21.2 wie vom Sekretariat vorgeschlagen, zur Prüfung durch den Ständigen Ausschuss und die CoP19.</w:t>
            </w:r>
          </w:p>
          <w:p w:rsidR="004118C6" w:rsidRDefault="00D15C59">
            <w:pPr>
              <w:spacing w:before="0" w:after="0" w:line="240" w:lineRule="atLeast"/>
              <w:jc w:val="left"/>
              <w:rPr>
                <w:rFonts w:eastAsia="Times New Roman"/>
                <w:i/>
                <w:noProof/>
                <w:color w:val="000000" w:themeColor="text1"/>
                <w:sz w:val="20"/>
                <w:szCs w:val="20"/>
              </w:rPr>
            </w:pPr>
            <w:r>
              <w:rPr>
                <w:i/>
                <w:noProof/>
                <w:color w:val="000000" w:themeColor="text1"/>
                <w:sz w:val="20"/>
              </w:rPr>
              <w:t>Gemeinsam mit Dokument 21.2 und 28 prüfen.</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Weltartenschutztag</w:t>
            </w:r>
            <w:r>
              <w:rPr>
                <w:noProof/>
                <w:color w:val="000000" w:themeColor="text1"/>
                <w:sz w:val="20"/>
              </w:rPr>
              <w:t xml:space="preserve"> der Vereinten Nationen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i/>
                <w:noProof/>
                <w:color w:val="000000" w:themeColor="text1"/>
                <w:sz w:val="20"/>
                <w:szCs w:val="20"/>
              </w:rPr>
            </w:pPr>
            <w:r>
              <w:rPr>
                <w:noProof/>
                <w:color w:val="000000" w:themeColor="text1"/>
                <w:sz w:val="20"/>
              </w:rPr>
              <w:t xml:space="preserve">Zustimmung zu den Änderungsentwürfen der Resolution Conf. 17.1, mit der Vertragsparteien und Staaten, die keine Vertragspartei sind, aufgefordert werden, einen Ansprechpartner für die Koordinierung der </w:t>
            </w:r>
            <w:r>
              <w:rPr>
                <w:noProof/>
                <w:color w:val="000000" w:themeColor="text1"/>
                <w:sz w:val="20"/>
              </w:rPr>
              <w:t>Feierlichkeiten zum Weltartenschutztag im jeweiligen Land zu benennen.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Einbindung der </w:t>
            </w:r>
            <w:r>
              <w:rPr>
                <w:b/>
                <w:noProof/>
                <w:color w:val="000000" w:themeColor="text1"/>
                <w:sz w:val="20"/>
              </w:rPr>
              <w:t>Jugend</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23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vorgeschlagenen Änderungen der Resolution Conf. 17.5 über die Einbindung der Jugend (Anhang 1) und zur Streichung der </w:t>
            </w:r>
            <w:r>
              <w:rPr>
                <w:noProof/>
                <w:color w:val="000000" w:themeColor="text1"/>
                <w:sz w:val="20"/>
              </w:rPr>
              <w:t>Beschlüsse 17.26 und 17.27.</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9207" w:type="dxa"/>
            <w:gridSpan w:val="8"/>
            <w:tcMar>
              <w:top w:w="60" w:type="dxa"/>
              <w:left w:w="135" w:type="dxa"/>
              <w:bottom w:w="60" w:type="dxa"/>
              <w:right w:w="135" w:type="dxa"/>
            </w:tcMar>
            <w:hideMark/>
          </w:tcPr>
          <w:p w:rsidR="004118C6" w:rsidRDefault="00D15C59">
            <w:pPr>
              <w:spacing w:before="0" w:after="0" w:line="240" w:lineRule="atLeast"/>
              <w:jc w:val="left"/>
              <w:rPr>
                <w:rFonts w:eastAsia="Times New Roman"/>
                <w:b/>
                <w:bCs/>
                <w:noProof/>
                <w:color w:val="000000" w:themeColor="text1"/>
                <w:sz w:val="20"/>
                <w:szCs w:val="20"/>
              </w:rPr>
            </w:pPr>
            <w:r>
              <w:rPr>
                <w:b/>
                <w:noProof/>
                <w:color w:val="000000" w:themeColor="text1"/>
                <w:sz w:val="20"/>
              </w:rPr>
              <w:t>Fragen der Auslegung und Durchführung</w:t>
            </w: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u w:val="single"/>
              </w:rPr>
              <w:t>Bestehende Resolutionen und Beschlüsse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D15C59">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Überprüfung von </w:t>
            </w:r>
            <w:r>
              <w:rPr>
                <w:b/>
                <w:noProof/>
                <w:color w:val="000000" w:themeColor="text1"/>
                <w:sz w:val="20"/>
              </w:rPr>
              <w:t>Resolutionen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24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 den Änderungen der Resolution Conf. 4.6 </w:t>
            </w:r>
            <w:r>
              <w:rPr>
                <w:i/>
                <w:noProof/>
                <w:color w:val="000000" w:themeColor="text1"/>
                <w:sz w:val="20"/>
              </w:rPr>
              <w:t xml:space="preserve">Übermittlung von </w:t>
            </w:r>
            <w:r>
              <w:rPr>
                <w:i/>
                <w:noProof/>
                <w:color w:val="000000" w:themeColor="text1"/>
                <w:sz w:val="20"/>
              </w:rPr>
              <w:t>Dokumenten</w:t>
            </w:r>
            <w:r>
              <w:rPr>
                <w:noProof/>
                <w:color w:val="000000" w:themeColor="text1"/>
                <w:sz w:val="20"/>
              </w:rPr>
              <w:t xml:space="preserve"> (einschließlich der Änderung in Bezug auf einen zentralen Finanzierungsbeschluss); Überprüfung der vorgeschlagenen Integration von Beschluss 14.19. Zustimmung zu den Änderungen der Resolutionen 12.8, </w:t>
            </w:r>
            <w:r>
              <w:rPr>
                <w:i/>
                <w:noProof/>
                <w:color w:val="000000" w:themeColor="text1"/>
                <w:sz w:val="20"/>
              </w:rPr>
              <w:t>Überprüfung des signifikanten Handels</w:t>
            </w:r>
            <w:r>
              <w:rPr>
                <w:noProof/>
                <w:color w:val="000000" w:themeColor="text1"/>
                <w:sz w:val="20"/>
              </w:rPr>
              <w:t xml:space="preserve"> (gemäß SC70) und 14.3, </w:t>
            </w:r>
            <w:r>
              <w:rPr>
                <w:i/>
                <w:noProof/>
                <w:color w:val="000000" w:themeColor="text1"/>
                <w:sz w:val="20"/>
              </w:rPr>
              <w:t>Einhaltungsverfahren</w:t>
            </w:r>
            <w:r>
              <w:rPr>
                <w:noProof/>
                <w:color w:val="000000" w:themeColor="text1"/>
                <w:sz w:val="20"/>
              </w:rPr>
              <w:t xml:space="preserve"> (einschließlich Resolution 10.10).</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Überprüfung der </w:t>
            </w:r>
            <w:r>
              <w:rPr>
                <w:b/>
                <w:noProof/>
                <w:color w:val="000000" w:themeColor="text1"/>
                <w:sz w:val="20"/>
              </w:rPr>
              <w:t>Beschlüsse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i/>
                <w:noProof/>
                <w:color w:val="000000" w:themeColor="text1"/>
                <w:sz w:val="20"/>
                <w:szCs w:val="20"/>
              </w:rPr>
            </w:pPr>
            <w:r>
              <w:rPr>
                <w:i/>
                <w:noProof/>
                <w:color w:val="000000" w:themeColor="text1"/>
                <w:sz w:val="20"/>
              </w:rPr>
              <w:t> Dokument war am 1. März 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u w:val="single"/>
              </w:rPr>
              <w:t>Allgemeine Einhaltung und Durchsetzung</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Nationale Gesetze</w:t>
            </w:r>
            <w:r>
              <w:rPr>
                <w:noProof/>
              </w:rPr>
              <w:t xml:space="preserve"> </w:t>
            </w:r>
            <w:r>
              <w:rPr>
                <w:noProof/>
                <w:color w:val="000000" w:themeColor="text1"/>
                <w:sz w:val="20"/>
              </w:rPr>
              <w:t xml:space="preserve">zur Durchführung des </w:t>
            </w:r>
            <w:r>
              <w:rPr>
                <w:noProof/>
                <w:color w:val="000000" w:themeColor="text1"/>
                <w:sz w:val="20"/>
              </w:rPr>
              <w:t>Übereinkommens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Zustimmung zu den Beschlüssen, aber mehr Klarheit in Bezug auf die Fristen fordern sowie in Betracht ziehen, zusätzliche Maßnahmen vorzuschlagen, damit die Vertragsparteien mit Rechtsvorschriften der Kategorie 2 oder 3 dem Sekretariat </w:t>
            </w:r>
            <w:r>
              <w:rPr>
                <w:noProof/>
                <w:color w:val="000000" w:themeColor="text1"/>
                <w:sz w:val="20"/>
              </w:rPr>
              <w:t>Einzelheiten über Maßnahmen zur wirksamen Durchführung des Übereinkommens vorlegen.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27.</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Fragen der </w:t>
            </w:r>
            <w:r>
              <w:rPr>
                <w:b/>
                <w:noProof/>
                <w:color w:val="000000" w:themeColor="text1"/>
                <w:sz w:val="20"/>
              </w:rPr>
              <w:t>Einhaltung</w:t>
            </w:r>
            <w:r>
              <w:rPr>
                <w:noProof/>
                <w:color w:val="000000" w:themeColor="text1"/>
                <w:sz w:val="20"/>
              </w:rPr>
              <w:t xml:space="preserve"> des CITES-Übereinkommens</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Zustimmung zur vorgeschlagenen Änderung der Resolution Conf. 11.3 (Rev. CoP17) und zur Annahme der Beschlusse</w:t>
            </w:r>
            <w:r>
              <w:rPr>
                <w:noProof/>
                <w:color w:val="000000" w:themeColor="text1"/>
                <w:sz w:val="20"/>
              </w:rPr>
              <w:t>ntwürfe zur Überprüfung der CITES-Genehmigungsverfahren und damit verbundenen Fragen der Einhaltung des Übereinkommens.</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b/>
                <w:noProof/>
                <w:color w:val="000000" w:themeColor="text1"/>
                <w:sz w:val="20"/>
                <w:szCs w:val="20"/>
              </w:rPr>
            </w:pPr>
            <w:r>
              <w:rPr>
                <w:b/>
                <w:noProof/>
                <w:color w:val="000000" w:themeColor="text1"/>
                <w:sz w:val="20"/>
              </w:rPr>
              <w:t>Unterstützungsprogramm</w:t>
            </w:r>
            <w:r>
              <w:rPr>
                <w:noProof/>
                <w:color w:val="000000" w:themeColor="text1"/>
                <w:sz w:val="20"/>
              </w:rPr>
              <w:t xml:space="preserve"> zur Einhaltung des Übereinkommens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 den Beschlüssen über die Einrichtung </w:t>
            </w:r>
            <w:r>
              <w:rPr>
                <w:noProof/>
                <w:color w:val="000000" w:themeColor="text1"/>
                <w:sz w:val="20"/>
              </w:rPr>
              <w:t>eines Unterstützungsprogramms zur Einhaltung des Übereinkommens, um die Vertragsparteien mit anhaltenden Schwierigkeiten bei der Einhaltung des Übereinkommens und der damit verbundenen Empfehlungen des Ständigen Ausschusses zu unterstützen. Jedoch hinterfr</w:t>
            </w:r>
            <w:r>
              <w:rPr>
                <w:noProof/>
                <w:color w:val="000000" w:themeColor="text1"/>
                <w:sz w:val="20"/>
              </w:rPr>
              <w:t>agen, welche Auswirkungen die Schaffung des Programms auf den Haushalt hat.</w:t>
            </w:r>
          </w:p>
          <w:p w:rsidR="004118C6" w:rsidRDefault="00D15C59">
            <w:pPr>
              <w:spacing w:before="0" w:after="0"/>
              <w:jc w:val="left"/>
              <w:rPr>
                <w:rFonts w:eastAsia="Times New Roman"/>
                <w:i/>
                <w:noProof/>
                <w:color w:val="000000" w:themeColor="text1"/>
                <w:sz w:val="20"/>
                <w:szCs w:val="20"/>
              </w:rPr>
            </w:pPr>
            <w:r>
              <w:rPr>
                <w:i/>
                <w:noProof/>
                <w:color w:val="000000" w:themeColor="text1"/>
                <w:sz w:val="20"/>
              </w:rPr>
              <w:t>Gemeinsam mit Dokument 21 und anderen Dokumenten zum Haushalt berücksichtigen.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29.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Landesweite</w:t>
            </w:r>
            <w:r>
              <w:rPr>
                <w:noProof/>
              </w:rPr>
              <w:t xml:space="preserve"> </w:t>
            </w:r>
            <w:r>
              <w:rPr>
                <w:noProof/>
                <w:color w:val="000000" w:themeColor="text1"/>
                <w:sz w:val="20"/>
              </w:rPr>
              <w:t xml:space="preserve">Überprüfungen des signifikanten Handels </w:t>
            </w:r>
            <w:r>
              <w:rPr>
                <w:noProof/>
                <w:color w:val="000000" w:themeColor="text1"/>
                <w:sz w:val="20"/>
                <w:u w:val="single"/>
              </w:rPr>
              <w:t>CoP18 Doc. 29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AC/PC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w:t>
            </w:r>
            <w:r>
              <w:rPr>
                <w:noProof/>
                <w:color w:val="000000" w:themeColor="text1"/>
                <w:sz w:val="20"/>
              </w:rPr>
              <w:t>Beauftragung des Sekretariats, Optionen zu analysieren, und der Ausschüsse, diese zu prüfen; Empfehlungen für CoP19 abgeben.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Einhaltung der Bestimmungen im Zusammenhang mit </w:t>
            </w:r>
            <w:r>
              <w:rPr>
                <w:b/>
                <w:noProof/>
                <w:color w:val="000000" w:themeColor="text1"/>
                <w:sz w:val="20"/>
              </w:rPr>
              <w:t>madagassischem</w:t>
            </w:r>
            <w:r>
              <w:rPr>
                <w:noProof/>
                <w:color w:val="000000" w:themeColor="text1"/>
                <w:sz w:val="20"/>
              </w:rPr>
              <w:t xml:space="preserve"> Ebenholz (</w:t>
            </w:r>
            <w:r>
              <w:rPr>
                <w:i/>
                <w:noProof/>
                <w:color w:val="000000" w:themeColor="text1"/>
                <w:sz w:val="20"/>
              </w:rPr>
              <w:t xml:space="preserve">Diospyros </w:t>
            </w:r>
            <w:r>
              <w:rPr>
                <w:noProof/>
                <w:color w:val="000000" w:themeColor="text1"/>
                <w:sz w:val="20"/>
              </w:rPr>
              <w:t>spp.) und Palisanderhölzern (</w:t>
            </w:r>
            <w:r>
              <w:rPr>
                <w:i/>
                <w:noProof/>
                <w:color w:val="000000" w:themeColor="text1"/>
                <w:sz w:val="20"/>
              </w:rPr>
              <w:t xml:space="preserve">Dalbergia </w:t>
            </w:r>
            <w:r>
              <w:rPr>
                <w:noProof/>
                <w:color w:val="000000" w:themeColor="text1"/>
                <w:sz w:val="20"/>
              </w:rPr>
              <w:t>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30.1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Madagaskars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noProof/>
                <w:color w:val="000000" w:themeColor="text1"/>
                <w:sz w:val="20"/>
                <w:szCs w:val="20"/>
              </w:rPr>
            </w:pPr>
            <w:r>
              <w:rPr>
                <w:noProof/>
                <w:color w:val="000000" w:themeColor="text1"/>
                <w:sz w:val="20"/>
              </w:rPr>
              <w:t>Kenntnisnahme.</w:t>
            </w:r>
          </w:p>
          <w:p w:rsidR="004118C6" w:rsidRDefault="00D15C59">
            <w:pPr>
              <w:spacing w:before="0" w:after="0"/>
              <w:jc w:val="left"/>
              <w:rPr>
                <w:rFonts w:eastAsia="Times New Roman"/>
                <w:i/>
                <w:noProof/>
                <w:color w:val="000000" w:themeColor="text1"/>
                <w:sz w:val="20"/>
                <w:szCs w:val="20"/>
              </w:rPr>
            </w:pPr>
            <w:r>
              <w:rPr>
                <w:i/>
                <w:noProof/>
                <w:color w:val="000000" w:themeColor="text1"/>
                <w:sz w:val="20"/>
              </w:rPr>
              <w:t>Gemeinsam mit Doc. 30.2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30.2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Ständigen Ausschusses </w:t>
            </w:r>
            <w:r>
              <w:rPr>
                <w:noProof/>
                <w:color w:val="000000" w:themeColor="text1"/>
                <w:sz w:val="20"/>
                <w:u w:val="single"/>
              </w:rPr>
              <w:t>CoP18 Doc. 30.2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aber im Auge behalten, dass bei den Diskussionen nicht nur auf den von Madagaskar </w:t>
            </w:r>
            <w:r>
              <w:rPr>
                <w:noProof/>
                <w:color w:val="000000" w:themeColor="text1"/>
                <w:sz w:val="20"/>
              </w:rPr>
              <w:t>vorgeschlagenen Nutzungsplan eingegangen wird. Forderung eines starken Fokus auf der Notwendigkeit besserer Durchsetzungsmaßnahmen zur Bekämpfung des illegalen Holzeinschlags und zur Zerschlagung illegaler Handelsnetze. Änderungen des Beschlussentwurfs 18.</w:t>
            </w:r>
            <w:r>
              <w:rPr>
                <w:noProof/>
                <w:color w:val="000000" w:themeColor="text1"/>
                <w:sz w:val="20"/>
              </w:rPr>
              <w:t>BB vorschlagen, um den Empfehlungen der UNODC aus dem Jahr 2017 Rechnung zu tragen, und vorsorglich eine Formulierung einfügen, die sicherstellt, dass jeder künftige Nutzungsplan sicher genug ist.</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Inländische Märkte</w:t>
            </w:r>
            <w:r>
              <w:rPr>
                <w:noProof/>
              </w:rPr>
              <w:t xml:space="preserve"> </w:t>
            </w:r>
            <w:r>
              <w:rPr>
                <w:noProof/>
                <w:color w:val="000000" w:themeColor="text1"/>
                <w:sz w:val="20"/>
              </w:rPr>
              <w:t xml:space="preserve">für häufig illegal gehandelte Exemplare </w:t>
            </w:r>
            <w:r>
              <w:rPr>
                <w:noProof/>
                <w:color w:val="000000" w:themeColor="text1"/>
                <w:sz w:val="20"/>
                <w:u w:val="single"/>
              </w:rPr>
              <w:t>CoP18 Doc. 31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vorgeschlagenen Änderung der Resolution Conf. 10.10 (Rev. CoP17) und zum Entwurf der überarbeiteten Beschlüsse 17.87-17.88, einschließlich zu inländischen Kontrollen von anderen Erzeugni</w:t>
            </w:r>
            <w:r>
              <w:rPr>
                <w:noProof/>
                <w:color w:val="000000" w:themeColor="text1"/>
                <w:sz w:val="20"/>
              </w:rPr>
              <w:t>ssen als Elefantenelfenbein, die aus Wildtieren und -pflanzen gewonnen wurden.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Durchsetzungsfragen</w:t>
            </w:r>
            <w:r>
              <w:rPr>
                <w:noProof/>
                <w:color w:val="000000" w:themeColor="text1"/>
                <w:sz w:val="20"/>
              </w:rPr>
              <w:t xml:space="preserve"> </w:t>
            </w:r>
            <w:r>
              <w:rPr>
                <w:noProof/>
                <w:color w:val="000000" w:themeColor="text1"/>
                <w:sz w:val="20"/>
                <w:u w:val="single"/>
              </w:rPr>
              <w:t>CoP18 Doc. 32</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vorgeschlagenen Beschlussentwürfen und der vorgeschlagenen Änderung der Resolution Conf. 11.3 (Rev. CoP17). </w:t>
            </w:r>
            <w:r>
              <w:rPr>
                <w:noProof/>
                <w:color w:val="000000" w:themeColor="text1"/>
                <w:sz w:val="20"/>
              </w:rPr>
              <w:t>Zustimmung zur Streichung der Beschlüsse 17.83 und 17.85.</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Bekämpfung der </w:t>
            </w:r>
            <w:r>
              <w:rPr>
                <w:b/>
                <w:noProof/>
                <w:color w:val="000000" w:themeColor="text1"/>
                <w:sz w:val="20"/>
              </w:rPr>
              <w:t>Cyberkriminalität</w:t>
            </w:r>
            <w:r>
              <w:rPr>
                <w:noProof/>
                <w:color w:val="000000" w:themeColor="text1"/>
                <w:sz w:val="20"/>
              </w:rPr>
              <w:t xml:space="preserve"> im Zusammenhang mit dem Artenschutz</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33.1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Sekretariats </w:t>
            </w:r>
            <w:r>
              <w:rPr>
                <w:noProof/>
                <w:color w:val="000000" w:themeColor="text1"/>
                <w:sz w:val="20"/>
                <w:u w:val="single"/>
              </w:rPr>
              <w:t>CoP18 Doc. 33.1</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noProof/>
                <w:color w:val="000000" w:themeColor="text1"/>
                <w:sz w:val="20"/>
              </w:rPr>
              <w:t xml:space="preserve">Zustimmung zu den vorgeschlagenen Beschlussentwürfen.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33.2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Ständigen Ausschusses </w:t>
            </w:r>
            <w:r>
              <w:rPr>
                <w:noProof/>
                <w:color w:val="000000" w:themeColor="text1"/>
                <w:sz w:val="20"/>
                <w:u w:val="single"/>
              </w:rPr>
              <w:t>CoP18 Doc. 33.2</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vorgeschlagenen Änderungen der Resolution Conf. 11.3 (Rev. CoP17) und zur Annahme der Beschlussentwürfe mit den Änderungen des Sekretariats. Zustimmung zur Streichung der Beschlüsse 17.94</w:t>
            </w:r>
            <w:r>
              <w:rPr>
                <w:noProof/>
                <w:color w:val="000000" w:themeColor="text1"/>
                <w:sz w:val="20"/>
              </w:rPr>
              <w:t xml:space="preserve"> und 17.96.</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Unterstützung der Bekämpfung der Artenschutzkriminalität in </w:t>
            </w:r>
            <w:r>
              <w:rPr>
                <w:b/>
                <w:noProof/>
                <w:color w:val="000000" w:themeColor="text1"/>
                <w:sz w:val="20"/>
              </w:rPr>
              <w:t>West- und Zentralafrika</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Verwendung </w:t>
            </w:r>
            <w:r>
              <w:rPr>
                <w:b/>
                <w:noProof/>
                <w:color w:val="000000" w:themeColor="text1"/>
                <w:sz w:val="20"/>
              </w:rPr>
              <w:t>beschlagnahmter Exemplare</w:t>
            </w:r>
            <w:r>
              <w:rPr>
                <w:noProof/>
                <w:color w:val="000000" w:themeColor="text1"/>
                <w:sz w:val="20"/>
              </w:rPr>
              <w:t xml:space="preserve"> </w:t>
            </w:r>
            <w:r>
              <w:rPr>
                <w:noProof/>
                <w:color w:val="000000" w:themeColor="text1"/>
                <w:sz w:val="20"/>
                <w:u w:val="single"/>
              </w:rPr>
              <w:t>CoP18 Doc. 35</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noProof/>
                <w:color w:val="000000" w:themeColor="text1"/>
                <w:sz w:val="20"/>
              </w:rPr>
              <w:t>Zustimmung zur Streichung der Beschlüsse 17.118 und 17.119 und zur Annahme der vorgeschlagenen Beschlussentwürfe. Ablehnung jeglicher Ergänzungen, die sensible Informationen über Rettungszentren gefährden oder zu zusätzlichen Verpflichtungen für die Vertra</w:t>
            </w:r>
            <w:r>
              <w:rPr>
                <w:noProof/>
                <w:color w:val="000000" w:themeColor="text1"/>
                <w:sz w:val="20"/>
              </w:rPr>
              <w:t xml:space="preserve">gsparteien führen würden. Außerdem Ablehnung einer möglichen Wiederaufnahme der Arbeitsgruppe des Ständigen Ausschusses.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Speicherung und Verwaltung von </w:t>
            </w:r>
            <w:r>
              <w:rPr>
                <w:b/>
                <w:noProof/>
                <w:color w:val="000000" w:themeColor="text1"/>
                <w:sz w:val="20"/>
              </w:rPr>
              <w:t>Daten über den illegalen Handel</w:t>
            </w:r>
            <w:r>
              <w:rPr>
                <w:noProof/>
                <w:color w:val="000000" w:themeColor="text1"/>
                <w:sz w:val="20"/>
              </w:rPr>
              <w:t>, die im Rahmen der jährlichen Berichte der Vertragsparteien über</w:t>
            </w:r>
            <w:r>
              <w:rPr>
                <w:noProof/>
                <w:color w:val="000000" w:themeColor="text1"/>
                <w:sz w:val="20"/>
              </w:rPr>
              <w:t xml:space="preserve"> illegalen Handel erhoben wurden </w:t>
            </w:r>
            <w:r>
              <w:rPr>
                <w:noProof/>
                <w:color w:val="000000" w:themeColor="text1"/>
                <w:sz w:val="20"/>
                <w:u w:val="single"/>
              </w:rPr>
              <w:t>CoP18 Doc. 36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zum Grundsatz einer systematischeren Speicherung und Verwaltung von Daten über den illegalen Handel, die im Rahmen jährlicher Berichte über illegalen Handel erhoben wurden. Die </w:t>
            </w:r>
            <w:r>
              <w:rPr>
                <w:noProof/>
                <w:color w:val="000000" w:themeColor="text1"/>
                <w:sz w:val="20"/>
              </w:rPr>
              <w:t>Bedenken des Sekretariats hinsichtlich des begrenzten Mehrwerts einer solchen Datenbank werden geteilt, wenn eine langfristige Finanzierung nicht gewährleistet wird und nur eine begrenzte Anzahl von Vertragsparteien tatsächlich Daten melden und bereitstell</w:t>
            </w:r>
            <w:r>
              <w:rPr>
                <w:noProof/>
                <w:color w:val="000000" w:themeColor="text1"/>
                <w:sz w:val="20"/>
              </w:rPr>
              <w:t>en. Prüfen, ob der Text geändert werden soll, um die Vertragsparteien anzuhalten, systematischer jährliche Berichte über den illegalen Handel vorzulegen.</w:t>
            </w:r>
          </w:p>
          <w:p w:rsidR="004118C6" w:rsidRDefault="00D15C59">
            <w:pPr>
              <w:spacing w:before="0" w:after="0"/>
              <w:jc w:val="left"/>
              <w:rPr>
                <w:rFonts w:eastAsia="Times New Roman"/>
                <w:i/>
                <w:noProof/>
                <w:color w:val="000000" w:themeColor="text1"/>
                <w:sz w:val="20"/>
                <w:szCs w:val="20"/>
              </w:rPr>
            </w:pPr>
            <w:r>
              <w:rPr>
                <w:i/>
                <w:noProof/>
                <w:color w:val="000000" w:themeColor="text1"/>
                <w:sz w:val="20"/>
              </w:rPr>
              <w:t>Gemeinsam mit den Dokumenten zum Haushalt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Arbeitsbedingungen der </w:t>
            </w:r>
            <w:r>
              <w:rPr>
                <w:b/>
                <w:noProof/>
                <w:color w:val="000000" w:themeColor="text1"/>
                <w:sz w:val="20"/>
              </w:rPr>
              <w:t>Wildhüter</w:t>
            </w:r>
            <w:r>
              <w:rPr>
                <w:noProof/>
                <w:color w:val="000000" w:themeColor="text1"/>
                <w:sz w:val="20"/>
              </w:rPr>
              <w:t xml:space="preserve"> und ihre Auswirkungen auf die Durchführung von CITES </w:t>
            </w:r>
            <w:r>
              <w:rPr>
                <w:noProof/>
                <w:color w:val="000000" w:themeColor="text1"/>
                <w:sz w:val="20"/>
                <w:u w:val="single"/>
              </w:rPr>
              <w:t>CoP18 Doc. 37</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NP</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Den Bericht befürworten und die Bedeutung dieses Themas anerkennen.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u w:val="single"/>
              </w:rPr>
              <w:t>Regulierung des Handels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38.</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Benennung und Rolle der </w:t>
            </w:r>
            <w:r>
              <w:rPr>
                <w:b/>
                <w:noProof/>
                <w:color w:val="000000" w:themeColor="text1"/>
                <w:sz w:val="20"/>
              </w:rPr>
              <w:t>Vollzugsbehörden</w:t>
            </w:r>
            <w:r>
              <w:rPr>
                <w:noProof/>
                <w:color w:val="000000" w:themeColor="text1"/>
                <w:sz w:val="20"/>
              </w:rPr>
              <w:t xml:space="preserve"> </w:t>
            </w:r>
            <w:r>
              <w:rPr>
                <w:noProof/>
                <w:color w:val="000000" w:themeColor="text1"/>
                <w:sz w:val="20"/>
                <w:u w:val="single"/>
              </w:rPr>
              <w:t>CoP18 Doc. 38</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w:t>
            </w:r>
            <w:r>
              <w:rPr>
                <w:noProof/>
                <w:color w:val="000000" w:themeColor="text1"/>
                <w:sz w:val="20"/>
              </w:rPr>
              <w:t>Zustimmung zur vorgeschlagenen Resolution. Genauere Prüfung einiger Aspekte des Textes erforderlich.</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39.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Leitlinien für Nachweise des </w:t>
            </w:r>
            <w:r>
              <w:rPr>
                <w:b/>
                <w:noProof/>
                <w:color w:val="000000" w:themeColor="text1"/>
                <w:sz w:val="20"/>
              </w:rPr>
              <w:t>rechtmäßigen Erwerbs</w:t>
            </w:r>
            <w:r>
              <w:rPr>
                <w:noProof/>
                <w:color w:val="000000" w:themeColor="text1"/>
                <w:sz w:val="20"/>
              </w:rPr>
              <w:t xml:space="preserve"> </w:t>
            </w:r>
            <w:r>
              <w:rPr>
                <w:noProof/>
                <w:color w:val="000000" w:themeColor="text1"/>
                <w:sz w:val="20"/>
                <w:u w:val="single"/>
              </w:rPr>
              <w:t>CoP18 Doc. 39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noProof/>
                <w:color w:val="000000" w:themeColor="text1"/>
                <w:sz w:val="20"/>
              </w:rPr>
              <w:t xml:space="preserve">Zustimmung zum Resolutionsentwurf. </w:t>
            </w:r>
            <w:r>
              <w:rPr>
                <w:rFonts w:eastAsia="Times New Roman"/>
                <w:noProof/>
                <w:color w:val="000000" w:themeColor="text1"/>
                <w:sz w:val="20"/>
                <w:szCs w:val="20"/>
              </w:rPr>
              <w:br/>
            </w:r>
            <w:r>
              <w:rPr>
                <w:i/>
                <w:noProof/>
                <w:color w:val="000000" w:themeColor="text1"/>
                <w:sz w:val="20"/>
              </w:rPr>
              <w:t>Gemeinsam mit Dokument 40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40.</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Sorgfaltspflicht</w:t>
            </w:r>
            <w:r>
              <w:rPr>
                <w:noProof/>
                <w:color w:val="000000" w:themeColor="text1"/>
                <w:sz w:val="20"/>
              </w:rPr>
              <w:t xml:space="preserve"> der CITES-Vertragsparteien und Verpflichtungen der einführenden Länder</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US</w:t>
            </w:r>
          </w:p>
        </w:tc>
        <w:tc>
          <w:tcPr>
            <w:tcW w:w="2410" w:type="dxa"/>
            <w:shd w:val="clear" w:color="auto" w:fill="auto"/>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Allgemeine Zustimmung zur Absicht und zum Ansatz. Genauere Prüfung einiger Aspekte der vorgeschlagenen Änderungen der Resolution Conf. 11.3 erforderlich.</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Elektronische Systeme</w:t>
            </w:r>
            <w:r>
              <w:rPr>
                <w:noProof/>
              </w:rPr>
              <w:t xml:space="preserve"> </w:t>
            </w:r>
            <w:r>
              <w:rPr>
                <w:noProof/>
                <w:color w:val="000000" w:themeColor="text1"/>
                <w:sz w:val="20"/>
              </w:rPr>
              <w:t xml:space="preserve">und Informationstechnologien </w:t>
            </w:r>
            <w:r>
              <w:rPr>
                <w:noProof/>
                <w:color w:val="000000" w:themeColor="text1"/>
                <w:sz w:val="20"/>
                <w:u w:val="single"/>
              </w:rPr>
              <w:t>CoP18 Doc. 41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vorgeschlagenen Beschlussentwürfen, die die Beschlüsse 17.156 bis 17.159 zur Beurteilung der Nützlichkeit und Machbarkeit eines </w:t>
            </w:r>
            <w:r>
              <w:rPr>
                <w:i/>
                <w:noProof/>
                <w:color w:val="000000" w:themeColor="text1"/>
                <w:sz w:val="20"/>
              </w:rPr>
              <w:t>eCITES-Durchführungsrahmens</w:t>
            </w:r>
            <w:r>
              <w:rPr>
                <w:noProof/>
                <w:color w:val="000000" w:themeColor="text1"/>
                <w:sz w:val="20"/>
              </w:rPr>
              <w:t xml:space="preserve"> ersetzen und d</w:t>
            </w:r>
            <w:r>
              <w:rPr>
                <w:noProof/>
                <w:color w:val="000000" w:themeColor="text1"/>
                <w:sz w:val="20"/>
              </w:rPr>
              <w:t>as Mandat der Arbeitsgruppe erneuern würden.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Rückverfolgbarkeit</w:t>
            </w:r>
            <w:r>
              <w:rPr>
                <w:noProof/>
                <w:color w:val="000000" w:themeColor="text1"/>
                <w:sz w:val="20"/>
              </w:rPr>
              <w:t xml:space="preserve"> </w:t>
            </w:r>
            <w:r>
              <w:rPr>
                <w:noProof/>
                <w:color w:val="000000" w:themeColor="text1"/>
                <w:sz w:val="20"/>
                <w:u w:val="single"/>
              </w:rPr>
              <w:t>CoP18 Doc. 42</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Sek., Vorsitzende des SC, MX und CH als Vorsitzende der zwischen den Sitzungen tagenden Arbeitsgruppe zur Rückverfolgbarkeit</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Arbeitsdefinition der </w:t>
            </w:r>
            <w:r>
              <w:rPr>
                <w:noProof/>
                <w:color w:val="000000" w:themeColor="text1"/>
                <w:sz w:val="20"/>
              </w:rPr>
              <w:t>CITES-Rückverfolgbarkeit und zur Annahme der Beschlussentwürfe in Anhang 1, einschließlich der vom Sekretariat vorgeschlagenen Änderungen.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Aus </w:t>
            </w:r>
            <w:r>
              <w:rPr>
                <w:b/>
                <w:noProof/>
                <w:color w:val="000000" w:themeColor="text1"/>
                <w:sz w:val="20"/>
              </w:rPr>
              <w:t>synthetischer oder gezüchteter DNA</w:t>
            </w:r>
            <w:r>
              <w:rPr>
                <w:noProof/>
                <w:color w:val="000000" w:themeColor="text1"/>
                <w:sz w:val="20"/>
              </w:rPr>
              <w:t xml:space="preserve"> gewonnene Exemplare </w:t>
            </w:r>
            <w:r>
              <w:rPr>
                <w:noProof/>
                <w:color w:val="000000" w:themeColor="text1"/>
                <w:sz w:val="20"/>
                <w:u w:val="single"/>
              </w:rPr>
              <w:t>CoP18 Doc. 43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w:t>
            </w:r>
            <w:r>
              <w:rPr>
                <w:noProof/>
                <w:color w:val="000000" w:themeColor="text1"/>
                <w:sz w:val="20"/>
              </w:rPr>
              <w:t>Beschlussentwürfen in der vom Sekretariat geänderten Fassung und zur Ersetzung der Beschlüsse 17.89-17.91, um weiterhin die Auswirkungen von mittels Biotechnologie hergestellten Exemplaren zu bewerten, die die Interpretation und Durchführung des Übereinkom</w:t>
            </w:r>
            <w:r>
              <w:rPr>
                <w:noProof/>
                <w:color w:val="000000" w:themeColor="text1"/>
                <w:sz w:val="20"/>
              </w:rPr>
              <w:t>mens beeinflussen könnten. Einige der Beschlüsse müssten gegebenenfalls klarer und präziser formuliert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44.</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Definition des Begriffs </w:t>
            </w:r>
            <w:r>
              <w:rPr>
                <w:b/>
                <w:noProof/>
                <w:color w:val="000000" w:themeColor="text1"/>
                <w:sz w:val="20"/>
              </w:rPr>
              <w:t>„geeignete und annehmbare Bestimmungsorte“</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44.1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Bericht des Ständigen Ausschusses </w:t>
            </w:r>
            <w:r>
              <w:rPr>
                <w:noProof/>
                <w:color w:val="000000" w:themeColor="text1"/>
                <w:sz w:val="20"/>
                <w:u w:val="single"/>
              </w:rPr>
              <w:t>CoP18 Doc. 44.1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Empfehlungen und Beschlussentwürfen im Zusammenhang mit der Definition des Begriffs „geeignete und annehmbare Bestimmungsorte“. Einige Änderungen des Textes könnten jedoch erforderlich sein, um Fehlinterpretationen zu vermeiden.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44.2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Internationaler Handel mit lebenden Afrikanischen Elefanten: vorgeschlagene Überarbeitung der Resolution Conf. 11.20 (Rev. CoP17) über die </w:t>
            </w:r>
            <w:r>
              <w:rPr>
                <w:i/>
                <w:noProof/>
                <w:color w:val="000000" w:themeColor="text1"/>
                <w:sz w:val="20"/>
              </w:rPr>
              <w:t xml:space="preserve">Definition des Begriffs „geeignete und annehmbare Bestimmungsorte“ </w:t>
            </w:r>
            <w:r>
              <w:rPr>
                <w:rFonts w:eastAsia="Times New Roman"/>
                <w:i/>
                <w:iCs/>
                <w:noProof/>
                <w:color w:val="000000" w:themeColor="text1"/>
                <w:sz w:val="20"/>
                <w:szCs w:val="20"/>
              </w:rPr>
              <w:br/>
            </w:r>
            <w:r>
              <w:rPr>
                <w:noProof/>
                <w:color w:val="000000" w:themeColor="text1"/>
                <w:sz w:val="20"/>
                <w:u w:val="single"/>
              </w:rPr>
              <w:t>CoP18 Doc. 44.2</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BF, JO, LB, LR, NE, NG, SD, </w:t>
            </w:r>
            <w:r>
              <w:rPr>
                <w:noProof/>
                <w:color w:val="000000" w:themeColor="text1"/>
                <w:sz w:val="20"/>
              </w:rPr>
              <w:t>SY</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Im Dokument werden Änderungen der Resolution Conf. 11.20 vorgeschlagen, die darauf abzielen, dass lebende Afrikanische Elefanten nur innerhalb ihres natürlichen Verbreitungsgebiets in In-situ-Erhaltungsprogramme verbracht werden dürfen; damit wird jeder</w:t>
            </w:r>
            <w:r>
              <w:rPr>
                <w:noProof/>
                <w:color w:val="000000" w:themeColor="text1"/>
                <w:sz w:val="20"/>
              </w:rPr>
              <w:t xml:space="preserve"> Handel mit in freier Wildbahn gefangenen Afrikanischen Elefanten zur Verbringung an Bestimmungsorte für die Zwecke der Ex-situ-Haltung in Gefangenschaft ausgeschlossen, auch wenn dies für ihre Erhaltung vorteilhaft wäre. Auch im Zusammenhang mit der derze</w:t>
            </w:r>
            <w:r>
              <w:rPr>
                <w:noProof/>
                <w:color w:val="000000" w:themeColor="text1"/>
                <w:sz w:val="20"/>
              </w:rPr>
              <w:t>itigen Regelung von in Anhang I aufgeführten Exemplaren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Nichtabträglichkeitsprüfungen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45</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vorgeschlagenen Beschlussentwürfen zur Schließung von Lücken und zur Deckung des Bedarfs der Vertragsparteien bei der</w:t>
            </w:r>
            <w:r>
              <w:rPr>
                <w:noProof/>
                <w:color w:val="000000" w:themeColor="text1"/>
                <w:sz w:val="20"/>
              </w:rPr>
              <w:t xml:space="preserve"> Durchführung von Nichtabträglichkeitsprüfungen sowie zur Unterstützung der Umsetzung der Resolution Conf. 16.7 (Rev. CoP17). Zustimmung zu einem zweiten internationalen Workshop zu Nichtabträglichkeitsprüfungen.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Quoten für Trophäen der </w:t>
            </w:r>
            <w:r>
              <w:rPr>
                <w:b/>
                <w:noProof/>
                <w:color w:val="000000" w:themeColor="text1"/>
                <w:sz w:val="20"/>
              </w:rPr>
              <w:t>Leopardenjagd</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i/>
                <w:noProof/>
                <w:color w:val="000000" w:themeColor="text1"/>
                <w:sz w:val="20"/>
                <w:szCs w:val="20"/>
              </w:rPr>
            </w:pPr>
            <w:r>
              <w:rPr>
                <w:i/>
                <w:noProof/>
                <w:color w:val="000000" w:themeColor="text1"/>
                <w:sz w:val="20"/>
              </w:rPr>
              <w:t> Am 13. Februar war kein Dokument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Erhöhung der Quoten für Trophäen der </w:t>
            </w:r>
            <w:r>
              <w:rPr>
                <w:b/>
                <w:noProof/>
                <w:color w:val="000000" w:themeColor="text1"/>
                <w:sz w:val="20"/>
              </w:rPr>
              <w:t>Jagd auf Markhor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47</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PK</w:t>
            </w:r>
          </w:p>
        </w:tc>
        <w:tc>
          <w:tcPr>
            <w:tcW w:w="2410" w:type="dxa"/>
            <w:tcMar>
              <w:top w:w="60" w:type="dxa"/>
              <w:left w:w="135" w:type="dxa"/>
              <w:bottom w:w="60" w:type="dxa"/>
              <w:right w:w="135" w:type="dxa"/>
            </w:tcMar>
            <w:vAlign w:val="center"/>
          </w:tcPr>
          <w:p w:rsidR="004118C6" w:rsidRDefault="00D15C59">
            <w:pPr>
              <w:spacing w:before="0" w:after="0"/>
              <w:rPr>
                <w:rFonts w:eastAsia="Times New Roman"/>
                <w:noProof/>
                <w:color w:val="000000" w:themeColor="text1"/>
                <w:sz w:val="20"/>
                <w:szCs w:val="20"/>
              </w:rPr>
            </w:pPr>
            <w:r>
              <w:rPr>
                <w:noProof/>
                <w:color w:val="000000" w:themeColor="text1"/>
                <w:sz w:val="20"/>
              </w:rPr>
              <w:t>Zustimmung zur Erhöhung der Quote für Trophäen der Jagd auf Markhor in Pakistan von 12 auf 20 Tiere pro Jahr, wenn Pakistan mehr Informationen darüber bereitstellt, welche neuen Gemeinschaften/Gebiete sich dem gemeinschaftsbezogenen Programm für Trophäenja</w:t>
            </w:r>
            <w:r>
              <w:rPr>
                <w:noProof/>
                <w:color w:val="000000" w:themeColor="text1"/>
                <w:sz w:val="20"/>
              </w:rPr>
              <w:t xml:space="preserve">gd anschließen. </w:t>
            </w:r>
          </w:p>
          <w:p w:rsidR="004118C6" w:rsidRDefault="00D15C59">
            <w:pPr>
              <w:spacing w:before="0" w:after="0"/>
              <w:jc w:val="left"/>
              <w:rPr>
                <w:rFonts w:eastAsia="Times New Roman"/>
                <w:i/>
                <w:noProof/>
                <w:color w:val="000000" w:themeColor="text1"/>
                <w:sz w:val="20"/>
                <w:szCs w:val="20"/>
              </w:rPr>
            </w:pPr>
            <w:r>
              <w:rPr>
                <w:i/>
                <w:noProof/>
                <w:color w:val="000000" w:themeColor="text1"/>
                <w:sz w:val="20"/>
              </w:rPr>
              <w:t>Gemeinsam mit dem Vorschlag Nr. 1 für eine Listungsänderung prüfen.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48.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Trophäen der </w:t>
            </w:r>
            <w:r>
              <w:rPr>
                <w:b/>
                <w:noProof/>
                <w:color w:val="000000" w:themeColor="text1"/>
                <w:sz w:val="20"/>
              </w:rPr>
              <w:t>Jagd auf Spitzmaulnashörner</w:t>
            </w:r>
            <w:r>
              <w:rPr>
                <w:noProof/>
                <w:color w:val="000000" w:themeColor="text1"/>
                <w:sz w:val="20"/>
              </w:rPr>
              <w:t>: Ausfuhrquoten für Südafrika</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ZA</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Die vorgeschlagene Erhöhung der Quote von derzeit 5 ausgewachsenen männlichen </w:t>
            </w:r>
            <w:r>
              <w:rPr>
                <w:noProof/>
                <w:color w:val="000000" w:themeColor="text1"/>
                <w:sz w:val="20"/>
              </w:rPr>
              <w:t>Spitzmaulnashörnern auf höchstens 0,5 % der Gesamtpopulation des Landes scheint vernünftig, wenn damit eine jährliche Veröffentlichung bestimmter Quoten (absolute Zahl der Exemplare) durch Südafrika einhergeht.</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49.</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xml:space="preserve">Auswirkungen der Übertragung einer Art nach </w:t>
            </w:r>
            <w:r>
              <w:rPr>
                <w:b/>
                <w:noProof/>
                <w:color w:val="000000" w:themeColor="text1"/>
                <w:sz w:val="20"/>
              </w:rPr>
              <w:t>Anhang I</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D15C59">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49.1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Sekretariats</w:t>
            </w:r>
            <w:r>
              <w:rPr>
                <w:rFonts w:eastAsia="Times New Roman"/>
                <w:noProof/>
                <w:color w:val="000000" w:themeColor="text1"/>
                <w:sz w:val="20"/>
                <w:szCs w:val="20"/>
              </w:rPr>
              <w:br/>
            </w:r>
            <w:r>
              <w:rPr>
                <w:noProof/>
                <w:color w:val="000000" w:themeColor="text1"/>
                <w:sz w:val="20"/>
                <w:u w:val="single"/>
              </w:rPr>
              <w:t>CoP18 Doc. 49.1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Änderungen der Resolution Conf. 12.3, um klarzustellen, dass nach der höheren Einstufung einer Art die Regeln gelten, die zum</w:t>
            </w:r>
            <w:r>
              <w:rPr>
                <w:noProof/>
                <w:color w:val="000000" w:themeColor="text1"/>
                <w:sz w:val="20"/>
              </w:rPr>
              <w:t xml:space="preserve"> Zeitpunkt des Handels gültig sind (nicht zum Zeitpunkt der Gewinnung), und der Resolution Conf. 13.6. Weitere Analyse des Vorschlags zur Aufnahme eines neuen Absatzes 11 in die Resolution Conf. 12.3 und des Beschlussentwurfs zur Beauftragung des Ständigen</w:t>
            </w:r>
            <w:r>
              <w:rPr>
                <w:noProof/>
                <w:color w:val="000000" w:themeColor="text1"/>
                <w:sz w:val="20"/>
              </w:rPr>
              <w:t xml:space="preserve"> Ausschusses, den Bedarf von Leitlinien während des Übergangszeitraums, einschließlich des Zeitraums zwischen dem Beschluss zur Aufnahme in die Liste und dem Inkrafttreten, sowie spezifische Bedingungen für mit Anmerkungen versehenen Pflanzen einschließlic</w:t>
            </w:r>
            <w:r>
              <w:rPr>
                <w:noProof/>
                <w:color w:val="000000" w:themeColor="text1"/>
                <w:sz w:val="20"/>
              </w:rPr>
              <w:t>h Holzarten zu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49.2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Handel mit Exemplaren, die vor der Aufnahme in Anhang I stehen</w:t>
            </w:r>
            <w:r>
              <w:rPr>
                <w:rFonts w:eastAsia="Times New Roman"/>
                <w:noProof/>
                <w:color w:val="000000" w:themeColor="text1"/>
                <w:sz w:val="20"/>
                <w:szCs w:val="20"/>
              </w:rPr>
              <w:br/>
            </w:r>
            <w:r>
              <w:rPr>
                <w:noProof/>
                <w:color w:val="000000" w:themeColor="text1"/>
                <w:sz w:val="20"/>
              </w:rPr>
              <w:t xml:space="preserve"> </w:t>
            </w:r>
            <w:r>
              <w:rPr>
                <w:noProof/>
                <w:color w:val="000000" w:themeColor="text1"/>
                <w:sz w:val="20"/>
                <w:u w:val="single"/>
              </w:rPr>
              <w:t>CoP18 Doc. 49.2</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CI, NG, SN</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In die vorgeschlagenen Änderungen in Dokument 49.1 einarbeiten.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Änderungen der Resolution Conf. 10.13 (Rev. CoP15) über die </w:t>
            </w:r>
            <w:r>
              <w:rPr>
                <w:b/>
                <w:i/>
                <w:noProof/>
                <w:color w:val="000000" w:themeColor="text1"/>
                <w:sz w:val="20"/>
              </w:rPr>
              <w:t>Durchführung</w:t>
            </w:r>
            <w:r>
              <w:rPr>
                <w:noProof/>
                <w:color w:val="000000" w:themeColor="text1"/>
                <w:sz w:val="20"/>
              </w:rPr>
              <w:t xml:space="preserve"> </w:t>
            </w:r>
            <w:r>
              <w:rPr>
                <w:i/>
                <w:noProof/>
                <w:color w:val="000000" w:themeColor="text1"/>
                <w:sz w:val="20"/>
              </w:rPr>
              <w:t xml:space="preserve">des Übereinkommens über </w:t>
            </w:r>
            <w:r>
              <w:rPr>
                <w:b/>
                <w:i/>
                <w:noProof/>
                <w:color w:val="000000" w:themeColor="text1"/>
                <w:sz w:val="20"/>
              </w:rPr>
              <w:t>Holzarten</w:t>
            </w:r>
            <w:r>
              <w:rPr>
                <w:rFonts w:eastAsia="Times New Roman"/>
                <w:i/>
                <w:iCs/>
                <w:noProof/>
                <w:color w:val="000000" w:themeColor="text1"/>
                <w:sz w:val="20"/>
                <w:szCs w:val="20"/>
              </w:rPr>
              <w:br/>
            </w:r>
            <w:hyperlink r:id="rId17">
              <w:r>
                <w:rPr>
                  <w:noProof/>
                  <w:color w:val="000000" w:themeColor="text1"/>
                  <w:sz w:val="20"/>
                  <w:u w:val="single"/>
                </w:rPr>
                <w:t>CoP18 Doc. 50</w:t>
              </w:r>
            </w:hyperlink>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aber vorschlagen, einen Verweis</w:t>
            </w:r>
            <w:r>
              <w:rPr>
                <w:noProof/>
                <w:color w:val="000000" w:themeColor="text1"/>
                <w:sz w:val="20"/>
              </w:rPr>
              <w:t xml:space="preserve"> aufzunehmen, dass Nichtabträglichkeitsprüfungen auf geeigneten Umrechnungsfaktoren basieren müssen, sowie weitere geringfügige Änderungen einzufügen.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Lager und Depots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Fortsetzung der Arbeiten zwischen den Tagungen</w:t>
            </w:r>
            <w:r>
              <w:rPr>
                <w:noProof/>
                <w:color w:val="000000" w:themeColor="text1"/>
                <w:sz w:val="20"/>
              </w:rPr>
              <w:t xml:space="preserve"> mit einem klarer definierten Mandat, mit Ausnahme der Verwaltung von Lagerbeständen.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Einbringung aus dem Meer</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zum erneuerten Mandat des Sekretariats zur Überwachung der Umsetzung der Resolution Conf. 14.6 und </w:t>
            </w:r>
            <w:r>
              <w:rPr>
                <w:noProof/>
                <w:color w:val="000000" w:themeColor="text1"/>
                <w:sz w:val="20"/>
              </w:rPr>
              <w:t>Berichterstattung über die BBNJ-Verhandlungen; Prüfung der Informationen durch den Ständigen Ausschuss.</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 xml:space="preserve">Zweckcodes </w:t>
            </w:r>
            <w:r>
              <w:rPr>
                <w:noProof/>
                <w:color w:val="000000" w:themeColor="text1"/>
                <w:sz w:val="20"/>
              </w:rPr>
              <w:t xml:space="preserve">auf CITES-Genehmigungen und -Bescheinigungen </w:t>
            </w:r>
            <w:r>
              <w:rPr>
                <w:rFonts w:eastAsia="Times New Roman"/>
                <w:noProof/>
                <w:color w:val="000000" w:themeColor="text1"/>
                <w:sz w:val="20"/>
                <w:szCs w:val="20"/>
              </w:rPr>
              <w:br/>
            </w:r>
            <w:r>
              <w:rPr>
                <w:noProof/>
                <w:color w:val="000000" w:themeColor="text1"/>
                <w:sz w:val="20"/>
                <w:u w:val="single"/>
              </w:rPr>
              <w:t>CoP18 Doc. 53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Vorläufige Zustimmung zu den Änderungsentwürfen für den Beschluss 14.54 und die Resolution Conf. 12.3 (Rev. CoP17) über </w:t>
            </w:r>
            <w:r>
              <w:rPr>
                <w:i/>
                <w:noProof/>
                <w:color w:val="000000" w:themeColor="text1"/>
                <w:sz w:val="20"/>
              </w:rPr>
              <w:t>Genehmigungen und Bescheinigungen</w:t>
            </w:r>
            <w:r>
              <w:rPr>
                <w:noProof/>
                <w:color w:val="000000" w:themeColor="text1"/>
                <w:sz w:val="20"/>
              </w:rPr>
              <w:t>; unter Berücksichtigung der noch ausstehenden Kommentare des Sekretariats erneut überprüfen. Die Notwe</w:t>
            </w:r>
            <w:r>
              <w:rPr>
                <w:noProof/>
                <w:color w:val="000000" w:themeColor="text1"/>
                <w:sz w:val="20"/>
              </w:rPr>
              <w:t>ndigkeit einer neuen zwischen den Sitzungen tagenden Arbeitsgruppe hinterfragen.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54.</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b/>
                <w:noProof/>
                <w:color w:val="000000" w:themeColor="text1"/>
                <w:sz w:val="20"/>
              </w:rPr>
              <w:t>Identifizierung</w:t>
            </w:r>
            <w:r>
              <w:rPr>
                <w:noProof/>
                <w:color w:val="000000" w:themeColor="text1"/>
                <w:sz w:val="20"/>
              </w:rPr>
              <w:t xml:space="preserve"> von Exemplaren im Handel</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D15C59">
            <w:pPr>
              <w:keepNext/>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54.1</w:t>
            </w:r>
          </w:p>
        </w:tc>
        <w:tc>
          <w:tcPr>
            <w:tcW w:w="2971" w:type="dxa"/>
            <w:gridSpan w:val="2"/>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Identifizierungs-</w:t>
            </w:r>
            <w:r>
              <w:rPr>
                <w:b/>
                <w:i/>
                <w:noProof/>
                <w:color w:val="000000" w:themeColor="text1"/>
                <w:sz w:val="20"/>
              </w:rPr>
              <w:t>Handbuch</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54.1</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AC, PC, Sek.</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w:t>
            </w:r>
          </w:p>
          <w:p w:rsidR="004118C6" w:rsidRDefault="00D15C59">
            <w:pPr>
              <w:spacing w:before="0" w:after="0"/>
              <w:jc w:val="left"/>
              <w:rPr>
                <w:rFonts w:eastAsia="Times New Roman"/>
                <w:i/>
                <w:noProof/>
                <w:color w:val="000000" w:themeColor="text1"/>
                <w:sz w:val="20"/>
                <w:szCs w:val="20"/>
              </w:rPr>
            </w:pPr>
            <w:r>
              <w:rPr>
                <w:i/>
                <w:noProof/>
                <w:color w:val="000000" w:themeColor="text1"/>
                <w:sz w:val="20"/>
              </w:rPr>
              <w:t>Gemeinsam mit Dokument 21.1 prüfen.</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54.2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Identifizierung von CITES-gelisteten </w:t>
            </w:r>
            <w:r>
              <w:rPr>
                <w:b/>
                <w:i/>
                <w:noProof/>
                <w:color w:val="000000" w:themeColor="text1"/>
                <w:sz w:val="20"/>
              </w:rPr>
              <w:t>Baumarten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54.2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neuen Beschlüssen und Streichung früherer Beschlüsse.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54.3</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Identifizierung von Exemplaren von </w:t>
            </w:r>
            <w:r>
              <w:rPr>
                <w:b/>
                <w:i/>
                <w:noProof/>
                <w:color w:val="000000" w:themeColor="text1"/>
                <w:sz w:val="20"/>
              </w:rPr>
              <w:t>Störartigen</w:t>
            </w:r>
            <w:r>
              <w:rPr>
                <w:noProof/>
                <w:color w:val="000000" w:themeColor="text1"/>
                <w:sz w:val="20"/>
              </w:rPr>
              <w:t xml:space="preserve"> im Handel </w:t>
            </w:r>
            <w:r>
              <w:rPr>
                <w:rFonts w:eastAsia="Times New Roman"/>
                <w:noProof/>
                <w:color w:val="000000" w:themeColor="text1"/>
                <w:sz w:val="20"/>
                <w:szCs w:val="20"/>
              </w:rPr>
              <w:br/>
            </w:r>
            <w:r>
              <w:rPr>
                <w:noProof/>
                <w:color w:val="000000" w:themeColor="text1"/>
                <w:sz w:val="20"/>
                <w:u w:val="single"/>
              </w:rPr>
              <w:t>CoP18 Doc. 54.3</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w:t>
            </w:r>
            <w:r>
              <w:rPr>
                <w:noProof/>
                <w:color w:val="000000" w:themeColor="text1"/>
                <w:sz w:val="20"/>
              </w:rPr>
              <w:t>Verlängerung der Beschlüsse. Prüfen, ob ein EU-Mitgliedstaat sich an der Finanzierung der längst überfälligen Studie beteiligen kann.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Durchführung von CITES beim Handel mit Arten von </w:t>
            </w:r>
            <w:r>
              <w:rPr>
                <w:b/>
                <w:noProof/>
                <w:color w:val="000000" w:themeColor="text1"/>
                <w:sz w:val="20"/>
              </w:rPr>
              <w:t>Arzneipflanzen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u w:val="single"/>
              </w:rPr>
              <w:t>Ausnahmeregelungen und Sonderbestimmungen für den Handel</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D15C59">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Vereinfachtes Verfahren</w:t>
            </w:r>
            <w:r>
              <w:rPr>
                <w:noProof/>
              </w:rPr>
              <w:t xml:space="preserve"> </w:t>
            </w:r>
            <w:r>
              <w:rPr>
                <w:noProof/>
                <w:color w:val="000000" w:themeColor="text1"/>
                <w:sz w:val="20"/>
              </w:rPr>
              <w:t>für Genehmigungen und Bescheinigungen </w:t>
            </w:r>
            <w:r>
              <w:rPr>
                <w:rFonts w:eastAsia="Times New Roman"/>
                <w:noProof/>
                <w:color w:val="000000" w:themeColor="text1"/>
                <w:sz w:val="20"/>
                <w:szCs w:val="20"/>
              </w:rPr>
              <w:br/>
            </w:r>
            <w:r>
              <w:rPr>
                <w:noProof/>
                <w:color w:val="000000" w:themeColor="text1"/>
                <w:sz w:val="20"/>
                <w:u w:val="single"/>
              </w:rPr>
              <w:t>CoP18 Doc. 56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 den vorgeschlagenen Änderungen der Resolution 11.15 (Rev. CoP12), Resolution 12.3 </w:t>
            </w:r>
            <w:r>
              <w:rPr>
                <w:noProof/>
                <w:color w:val="000000" w:themeColor="text1"/>
                <w:sz w:val="20"/>
              </w:rPr>
              <w:t>(Rev. CoP17) und den an das Sekretariat gerichteten Beschlussentwürfen; die Anmerkungen des Sekretariats berücksichtigen und die Notwendigkeit weiterer Änderungen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Durchführung des Übereinkommens in Bezug auf </w:t>
            </w:r>
            <w:r>
              <w:rPr>
                <w:b/>
                <w:noProof/>
                <w:color w:val="000000" w:themeColor="text1"/>
                <w:sz w:val="20"/>
              </w:rPr>
              <w:t>in Gefangenschaft gezüchtete</w:t>
            </w:r>
            <w:r>
              <w:rPr>
                <w:noProof/>
                <w:color w:val="000000" w:themeColor="text1"/>
                <w:sz w:val="20"/>
              </w:rPr>
              <w:t xml:space="preserve"> Exemplare und Exemplare aus Ranching-Betrieben </w:t>
            </w:r>
            <w:r>
              <w:rPr>
                <w:rFonts w:eastAsia="Times New Roman"/>
                <w:noProof/>
                <w:color w:val="000000" w:themeColor="text1"/>
                <w:sz w:val="20"/>
                <w:szCs w:val="20"/>
              </w:rPr>
              <w:br/>
            </w:r>
            <w:r>
              <w:rPr>
                <w:noProof/>
                <w:color w:val="000000" w:themeColor="text1"/>
                <w:sz w:val="20"/>
                <w:u w:val="single"/>
              </w:rPr>
              <w:t>CoP18 Doc. 57</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Beschlussentwürfen wie vom Ständigen Ausschuss vorgeschlagen und vom Sekretariat geändert.</w:t>
            </w:r>
          </w:p>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58.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Umsetzung der </w:t>
            </w:r>
            <w:r>
              <w:rPr>
                <w:b/>
                <w:noProof/>
                <w:color w:val="000000" w:themeColor="text1"/>
                <w:sz w:val="20"/>
              </w:rPr>
              <w:t>Resolution Conf. 17.7</w:t>
            </w:r>
            <w:r>
              <w:rPr>
                <w:noProof/>
                <w:color w:val="000000" w:themeColor="text1"/>
                <w:sz w:val="20"/>
              </w:rPr>
              <w:t xml:space="preserve"> über die </w:t>
            </w:r>
            <w:r>
              <w:rPr>
                <w:i/>
                <w:noProof/>
                <w:color w:val="000000" w:themeColor="text1"/>
                <w:sz w:val="20"/>
              </w:rPr>
              <w:t xml:space="preserve">Überprüfung des Handels mit Tieren, die als in Gefangenschaft gezüchtet gemeldet wurden </w:t>
            </w:r>
            <w:r>
              <w:rPr>
                <w:rFonts w:eastAsia="Times New Roman"/>
                <w:i/>
                <w:iCs/>
                <w:noProof/>
                <w:color w:val="000000" w:themeColor="text1"/>
                <w:sz w:val="20"/>
                <w:szCs w:val="20"/>
              </w:rPr>
              <w:br/>
            </w:r>
            <w:r>
              <w:rPr>
                <w:noProof/>
                <w:color w:val="000000" w:themeColor="text1"/>
                <w:sz w:val="20"/>
                <w:u w:val="single"/>
              </w:rPr>
              <w:t>CoP18 Doc. 58</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Beschlussentwürfen wie vom Ständigen Ausschuss vorgeschlagen und vom Sekretariat befürwortet.</w:t>
            </w:r>
          </w:p>
          <w:p w:rsidR="004118C6" w:rsidRDefault="00D15C59">
            <w:pPr>
              <w:spacing w:before="0" w:after="0"/>
              <w:jc w:val="left"/>
              <w:rPr>
                <w:rFonts w:eastAsia="Times New Roman"/>
                <w:noProof/>
                <w:color w:val="000000" w:themeColor="text1"/>
                <w:sz w:val="20"/>
                <w:szCs w:val="20"/>
              </w:rPr>
            </w:pPr>
            <w:r>
              <w:rPr>
                <w:i/>
                <w:noProof/>
                <w:color w:val="000000" w:themeColor="text1"/>
                <w:sz w:val="20"/>
              </w:rPr>
              <w:t xml:space="preserve">Gemeinsam mit den Dokumenten zum </w:t>
            </w:r>
            <w:r>
              <w:rPr>
                <w:i/>
                <w:noProof/>
                <w:color w:val="000000" w:themeColor="text1"/>
                <w:sz w:val="20"/>
              </w:rPr>
              <w:t>Haushalt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59.</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Bestimmung des Begriffs „</w:t>
            </w:r>
            <w:r>
              <w:rPr>
                <w:b/>
                <w:noProof/>
                <w:color w:val="000000" w:themeColor="text1"/>
                <w:sz w:val="20"/>
              </w:rPr>
              <w:t>künstlich vermehrt</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59.1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Leitlinien</w:t>
            </w:r>
            <w:r>
              <w:rPr>
                <w:noProof/>
                <w:color w:val="000000" w:themeColor="text1"/>
                <w:sz w:val="20"/>
              </w:rPr>
              <w:t xml:space="preserve"> zum Begriff „künstlich vermehrt“ </w:t>
            </w:r>
            <w:r>
              <w:rPr>
                <w:rFonts w:eastAsia="Times New Roman"/>
                <w:noProof/>
                <w:color w:val="000000" w:themeColor="text1"/>
                <w:sz w:val="20"/>
                <w:szCs w:val="20"/>
              </w:rPr>
              <w:br/>
            </w:r>
            <w:r>
              <w:rPr>
                <w:noProof/>
                <w:color w:val="000000" w:themeColor="text1"/>
                <w:sz w:val="20"/>
                <w:u w:val="single"/>
              </w:rPr>
              <w:t>CoP18 Doc. 59.1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zum Beschlussentwurf. Offen für die vom Sekretariat vorgeschlagenen Änderungen. Vorschlagen, dass </w:t>
            </w:r>
            <w:r>
              <w:rPr>
                <w:noProof/>
                <w:color w:val="000000" w:themeColor="text1"/>
                <w:sz w:val="20"/>
              </w:rPr>
              <w:t>die Veröffentlichung von Leitlinien erst nach ihrer Überprüfung durch den Pflanzenausschuss erfolgen sollte.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59.2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Herkunftscodes</w:t>
            </w:r>
            <w:r>
              <w:rPr>
                <w:noProof/>
              </w:rPr>
              <w:t xml:space="preserve"> </w:t>
            </w:r>
            <w:r>
              <w:rPr>
                <w:noProof/>
                <w:color w:val="000000" w:themeColor="text1"/>
                <w:sz w:val="20"/>
              </w:rPr>
              <w:t xml:space="preserve">für Pflanzenexemplare im Handel </w:t>
            </w:r>
            <w:r>
              <w:rPr>
                <w:rFonts w:eastAsia="Times New Roman"/>
                <w:noProof/>
                <w:color w:val="000000" w:themeColor="text1"/>
                <w:sz w:val="20"/>
                <w:szCs w:val="20"/>
              </w:rPr>
              <w:br/>
            </w:r>
            <w:r>
              <w:rPr>
                <w:noProof/>
                <w:color w:val="000000" w:themeColor="text1"/>
                <w:sz w:val="20"/>
                <w:u w:val="single"/>
              </w:rPr>
              <w:t>CoP18 Doc. 59.2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Einführung des Herkunftscodes Y mittels Änderungen </w:t>
            </w:r>
            <w:r>
              <w:rPr>
                <w:noProof/>
                <w:color w:val="000000" w:themeColor="text1"/>
                <w:sz w:val="20"/>
              </w:rPr>
              <w:t>der Resolution Conf. 11.11 (Rev. CoP17) und der Resolution Conf. 12.3 (Rev. CoP17) sowie zu den Beschlussentwürfen. Die zusätzlichen Änderungen, die vom Sekretariat vorgeschlagen werden, erfordern dennoch eine eingehendere Prüfung, um den ursprünglichen Vo</w:t>
            </w:r>
            <w:r>
              <w:rPr>
                <w:noProof/>
                <w:color w:val="000000" w:themeColor="text1"/>
                <w:sz w:val="20"/>
              </w:rPr>
              <w:t>rschlag des Ständigen Ausschusses (insbesondere in Bezug auf Adlerholz und die Notwendigkeit von Nichtabträglichkeitsprüfungen) nicht zu untergraben.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9207" w:type="dxa"/>
            <w:gridSpan w:val="8"/>
            <w:tcMar>
              <w:top w:w="60" w:type="dxa"/>
              <w:left w:w="135" w:type="dxa"/>
              <w:bottom w:w="60" w:type="dxa"/>
              <w:right w:w="135" w:type="dxa"/>
            </w:tcMar>
            <w:hideMark/>
          </w:tcPr>
          <w:p w:rsidR="004118C6" w:rsidRDefault="00D15C59">
            <w:pPr>
              <w:spacing w:before="0" w:after="0" w:line="240" w:lineRule="atLeast"/>
              <w:jc w:val="left"/>
              <w:rPr>
                <w:rFonts w:eastAsia="Times New Roman"/>
                <w:b/>
                <w:bCs/>
                <w:noProof/>
                <w:color w:val="000000" w:themeColor="text1"/>
                <w:sz w:val="20"/>
                <w:szCs w:val="20"/>
              </w:rPr>
            </w:pPr>
            <w:r>
              <w:rPr>
                <w:b/>
                <w:noProof/>
                <w:color w:val="000000" w:themeColor="text1"/>
                <w:sz w:val="20"/>
                <w:u w:val="single"/>
              </w:rPr>
              <w:t>Artspezifische Fragen</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Illegaler Handel mit </w:t>
            </w:r>
            <w:r>
              <w:rPr>
                <w:b/>
                <w:noProof/>
                <w:color w:val="000000" w:themeColor="text1"/>
                <w:sz w:val="20"/>
              </w:rPr>
              <w:t>Geparden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Acinonyx jubatus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60</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zum Beschlussentwurf, mit dem das Sekretariat aufgefordert wird, die endgültige Fassung des CITES-Ressourcenkits für den Gepardenhandel vorbehaltlich der Verfügbarkeit von Ressourcen zur Verfügung zu stellen. Zustimmung zur Streichung der Beschl</w:t>
            </w:r>
            <w:r>
              <w:rPr>
                <w:noProof/>
                <w:color w:val="000000" w:themeColor="text1"/>
                <w:sz w:val="20"/>
              </w:rPr>
              <w:t>üsse 17.124 bis 17.130.</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Störartige</w:t>
            </w:r>
            <w:r>
              <w:rPr>
                <w:noProof/>
              </w:rPr>
              <w:t xml:space="preserve"> (</w:t>
            </w:r>
            <w:r>
              <w:rPr>
                <w:i/>
                <w:noProof/>
                <w:sz w:val="20"/>
              </w:rPr>
              <w:t>Acipenseriformes</w:t>
            </w:r>
            <w:r>
              <w:rPr>
                <w:noProof/>
              </w:rPr>
              <w:t xml:space="preserve"> 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Verlängerung des Mandats des Ständigen Ausschusses, die Kennzeichnung von Kaviar zu behandeln. Prüfen, ob klarere Leitlinien zum Fokus und Umfang notwendig sind, um </w:t>
            </w:r>
            <w:r>
              <w:rPr>
                <w:noProof/>
                <w:color w:val="000000" w:themeColor="text1"/>
                <w:sz w:val="20"/>
              </w:rPr>
              <w:t>Fortschritte zu erzielen.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Beschlussentwürfe zur Erhaltung von </w:t>
            </w:r>
            <w:r>
              <w:rPr>
                <w:b/>
                <w:noProof/>
                <w:color w:val="000000" w:themeColor="text1"/>
                <w:sz w:val="20"/>
              </w:rPr>
              <w:t>Amphibien</w:t>
            </w:r>
            <w:r>
              <w:rPr>
                <w:noProof/>
                <w:color w:val="000000" w:themeColor="text1"/>
                <w:sz w:val="20"/>
              </w:rPr>
              <w:t xml:space="preserve"> (Amphibia)</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CR</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Zahlreiche an die Vertragsparteien, Ausschüsse und das Sekretariat gerichtete Beschlussentwürfe, die ohne eine unterstützende Stellungnahme oder vorherige </w:t>
            </w:r>
            <w:r>
              <w:rPr>
                <w:noProof/>
                <w:color w:val="000000" w:themeColor="text1"/>
                <w:sz w:val="20"/>
              </w:rPr>
              <w:t xml:space="preserve">Prüfung durch den Tier- und den Pflanzenausschuss vorgeschlagen wurden. Die erforderlichen Informationen sind nicht spezifisch für Amphibien, sondern würden auf alle CITES-gelisteten Taxa zutreffen. Ein gezielterer Vorschlag mit konkreten Maßnahmen könnte </w:t>
            </w:r>
            <w:r>
              <w:rPr>
                <w:noProof/>
                <w:color w:val="000000" w:themeColor="text1"/>
                <w:sz w:val="20"/>
              </w:rPr>
              <w:t>positiv bewertet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lang w:val="it-IT"/>
              </w:rPr>
            </w:pPr>
            <w:r>
              <w:rPr>
                <w:b/>
                <w:noProof/>
                <w:color w:val="000000" w:themeColor="text1"/>
                <w:sz w:val="20"/>
                <w:lang w:val="it-IT"/>
              </w:rPr>
              <w:t>Aale</w:t>
            </w:r>
            <w:r>
              <w:rPr>
                <w:noProof/>
                <w:color w:val="000000" w:themeColor="text1"/>
                <w:sz w:val="20"/>
                <w:lang w:val="it-IT"/>
              </w:rPr>
              <w:t xml:space="preserve"> (</w:t>
            </w:r>
            <w:r>
              <w:rPr>
                <w:i/>
                <w:noProof/>
                <w:color w:val="000000" w:themeColor="text1"/>
                <w:sz w:val="20"/>
                <w:lang w:val="it-IT"/>
              </w:rPr>
              <w:t xml:space="preserve">Anguilla </w:t>
            </w:r>
            <w:r>
              <w:rPr>
                <w:noProof/>
                <w:color w:val="000000" w:themeColor="text1"/>
                <w:sz w:val="20"/>
                <w:lang w:val="it-IT"/>
              </w:rPr>
              <w:t xml:space="preserve">spp.) </w:t>
            </w:r>
            <w:r>
              <w:rPr>
                <w:rFonts w:eastAsia="Times New Roman"/>
                <w:noProof/>
                <w:color w:val="000000" w:themeColor="text1"/>
                <w:sz w:val="20"/>
                <w:szCs w:val="20"/>
                <w:lang w:val="it-IT"/>
              </w:rPr>
              <w:br/>
            </w:r>
            <w:r>
              <w:rPr>
                <w:noProof/>
                <w:color w:val="000000" w:themeColor="text1"/>
                <w:sz w:val="20"/>
                <w:u w:val="single"/>
                <w:lang w:val="it-IT"/>
              </w:rPr>
              <w:t>CoP18 Doc. 63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 SC, 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Beschlussentwürfen.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Edelkorallen</w:t>
            </w:r>
            <w:r>
              <w:rPr>
                <w:noProof/>
                <w:color w:val="000000" w:themeColor="text1"/>
                <w:sz w:val="20"/>
              </w:rPr>
              <w:t xml:space="preserve"> (Ordnung Antipatharia und Familie Coralliidae)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zum Beschlussentwurf über die Beauftragung des </w:t>
            </w:r>
            <w:r>
              <w:rPr>
                <w:noProof/>
                <w:color w:val="000000" w:themeColor="text1"/>
                <w:sz w:val="20"/>
              </w:rPr>
              <w:t>Tierausschusses und des Pflanzenausschusses, die Erhebung zu Edelkorallen und die FAO-Studie zu analysieren und Schlussfolgerungen aus ihnen zu ziehen.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Umsetzung der Resolution Conf. 16.10 über die </w:t>
            </w:r>
            <w:r>
              <w:rPr>
                <w:i/>
                <w:noProof/>
                <w:color w:val="000000" w:themeColor="text1"/>
                <w:sz w:val="20"/>
              </w:rPr>
              <w:t xml:space="preserve">Durchführung des Übereinkommens über </w:t>
            </w:r>
            <w:r>
              <w:rPr>
                <w:b/>
                <w:i/>
                <w:noProof/>
                <w:color w:val="000000" w:themeColor="text1"/>
                <w:sz w:val="20"/>
              </w:rPr>
              <w:t>Adlerholz</w:t>
            </w:r>
            <w:r>
              <w:rPr>
                <w:i/>
                <w:noProof/>
                <w:color w:val="000000" w:themeColor="text1"/>
                <w:sz w:val="20"/>
              </w:rPr>
              <w:t xml:space="preserve"> produzierende Gattungen </w:t>
            </w:r>
            <w:r>
              <w:rPr>
                <w:noProof/>
                <w:color w:val="000000" w:themeColor="text1"/>
                <w:sz w:val="20"/>
              </w:rPr>
              <w:t>(</w:t>
            </w:r>
            <w:r>
              <w:rPr>
                <w:i/>
                <w:noProof/>
                <w:color w:val="000000" w:themeColor="text1"/>
                <w:sz w:val="20"/>
              </w:rPr>
              <w:t xml:space="preserve">Aquilaria </w:t>
            </w:r>
            <w:r>
              <w:rPr>
                <w:noProof/>
                <w:color w:val="000000" w:themeColor="text1"/>
                <w:sz w:val="20"/>
              </w:rPr>
              <w:t xml:space="preserve">spp. und </w:t>
            </w:r>
            <w:r>
              <w:rPr>
                <w:i/>
                <w:noProof/>
                <w:color w:val="000000" w:themeColor="text1"/>
                <w:sz w:val="20"/>
              </w:rPr>
              <w:t xml:space="preserve">Gyrinops </w:t>
            </w:r>
            <w:r>
              <w:rPr>
                <w:noProof/>
                <w:color w:val="000000" w:themeColor="text1"/>
                <w:sz w:val="20"/>
              </w:rPr>
              <w:t xml:space="preserve">spp.) </w:t>
            </w:r>
            <w:r>
              <w:rPr>
                <w:noProof/>
                <w:color w:val="000000" w:themeColor="text1"/>
                <w:sz w:val="20"/>
                <w:u w:val="single"/>
              </w:rPr>
              <w:t>CoP18 Doc. 65</w:t>
            </w:r>
          </w:p>
        </w:tc>
        <w:tc>
          <w:tcPr>
            <w:tcW w:w="1423" w:type="dxa"/>
            <w:tcMar>
              <w:top w:w="60" w:type="dxa"/>
              <w:left w:w="135" w:type="dxa"/>
              <w:bottom w:w="60" w:type="dxa"/>
              <w:right w:w="135" w:type="dxa"/>
            </w:tcMar>
            <w:vAlign w:val="center"/>
            <w:hideMark/>
          </w:tcPr>
          <w:p w:rsidR="004118C6" w:rsidRDefault="00D15C59">
            <w:pPr>
              <w:rPr>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Annahme der Beschlussentwürfe über Adlerholz produzierende Gattungen und zur Streichung früherer Beschlüsse.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lang w:val="da-DK"/>
              </w:rPr>
            </w:pPr>
            <w:r>
              <w:rPr>
                <w:noProof/>
                <w:color w:val="000000" w:themeColor="text1"/>
                <w:sz w:val="20"/>
                <w:lang w:val="da-DK"/>
              </w:rPr>
              <w:t xml:space="preserve">Handel mit </w:t>
            </w:r>
            <w:r>
              <w:rPr>
                <w:b/>
                <w:i/>
                <w:noProof/>
                <w:color w:val="000000" w:themeColor="text1"/>
                <w:sz w:val="20"/>
                <w:lang w:val="da-DK"/>
              </w:rPr>
              <w:t>Boswellia</w:t>
            </w:r>
            <w:r>
              <w:rPr>
                <w:noProof/>
                <w:color w:val="000000" w:themeColor="text1"/>
                <w:sz w:val="20"/>
                <w:lang w:val="da-DK"/>
              </w:rPr>
              <w:t xml:space="preserve"> spp. (Burseraceae) </w:t>
            </w:r>
            <w:r>
              <w:rPr>
                <w:rFonts w:eastAsia="Times New Roman"/>
                <w:noProof/>
                <w:color w:val="000000" w:themeColor="text1"/>
                <w:sz w:val="20"/>
                <w:szCs w:val="20"/>
                <w:lang w:val="da-DK"/>
              </w:rPr>
              <w:br/>
            </w:r>
            <w:r>
              <w:rPr>
                <w:noProof/>
                <w:color w:val="000000" w:themeColor="text1"/>
                <w:sz w:val="20"/>
                <w:u w:val="single"/>
                <w:lang w:val="da-DK"/>
              </w:rPr>
              <w:t xml:space="preserve">CoP18 </w:t>
            </w:r>
            <w:r>
              <w:rPr>
                <w:noProof/>
                <w:color w:val="000000" w:themeColor="text1"/>
                <w:sz w:val="20"/>
                <w:u w:val="single"/>
                <w:lang w:val="da-DK"/>
              </w:rPr>
              <w:t>Doc. 66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LK, US</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Beschlussentwürfen.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67.</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Napoleon-Lippfisch</w:t>
            </w:r>
            <w:r>
              <w:rPr>
                <w:noProof/>
              </w:rPr>
              <w:t xml:space="preserve"> (</w:t>
            </w:r>
            <w:r>
              <w:rPr>
                <w:i/>
                <w:noProof/>
                <w:color w:val="000000" w:themeColor="text1"/>
                <w:sz w:val="20"/>
              </w:rPr>
              <w:t>Cheilinus undulatus</w:t>
            </w:r>
            <w:r>
              <w:rPr>
                <w:noProof/>
              </w:rPr>
              <w: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67</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noProof/>
                <w:color w:val="000000" w:themeColor="text1"/>
                <w:sz w:val="20"/>
              </w:rPr>
              <w:t xml:space="preserve">Zustimmung zum Beschlussentwurf über die Bereitstellung von Unterstützung für die wichtigsten Ausfuhr- und Einfuhrländer bei der </w:t>
            </w:r>
            <w:r>
              <w:rPr>
                <w:noProof/>
                <w:color w:val="000000" w:themeColor="text1"/>
                <w:sz w:val="20"/>
              </w:rPr>
              <w:t>Bewältigung der verbleibenden Herausforderungen für die Durchführung.</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Haie</w:t>
            </w:r>
            <w:r>
              <w:rPr>
                <w:noProof/>
              </w:rPr>
              <w:t xml:space="preserve"> </w:t>
            </w:r>
            <w:r>
              <w:rPr>
                <w:noProof/>
                <w:color w:val="000000" w:themeColor="text1"/>
                <w:sz w:val="20"/>
              </w:rPr>
              <w:t>und Rochen (</w:t>
            </w:r>
            <w:r>
              <w:rPr>
                <w:i/>
                <w:noProof/>
                <w:color w:val="000000" w:themeColor="text1"/>
                <w:sz w:val="20"/>
              </w:rPr>
              <w:t>Elasmobranchii</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4118C6">
            <w:pPr>
              <w:spacing w:before="0" w:after="0"/>
              <w:jc w:val="left"/>
              <w:rPr>
                <w:rFonts w:eastAsia="Times New Roman"/>
                <w:i/>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68.1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Tierausschusses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AC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Den Bericht zur Kenntnis nehmen.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68.2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Sekretariats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 xml:space="preserve">Dokument war am 1. März </w:t>
            </w:r>
            <w:r>
              <w:rPr>
                <w:i/>
                <w:noProof/>
                <w:color w:val="000000" w:themeColor="text1"/>
                <w:sz w:val="20"/>
              </w:rPr>
              <w:t>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69.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Elefanten</w:t>
            </w:r>
            <w:r>
              <w:rPr>
                <w:noProof/>
                <w:color w:val="000000" w:themeColor="text1"/>
                <w:sz w:val="20"/>
              </w:rPr>
              <w:t xml:space="preserve"> (</w:t>
            </w:r>
            <w:r>
              <w:rPr>
                <w:i/>
                <w:noProof/>
                <w:color w:val="000000" w:themeColor="text1"/>
                <w:sz w:val="20"/>
              </w:rPr>
              <w:t>Elephantidae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69.1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Umsetzung</w:t>
            </w:r>
            <w:r>
              <w:rPr>
                <w:noProof/>
                <w:color w:val="000000" w:themeColor="text1"/>
                <w:sz w:val="20"/>
              </w:rPr>
              <w:t xml:space="preserve"> der Resolution Conf. 10.10 (Rev. CoP17) zum </w:t>
            </w:r>
            <w:r>
              <w:rPr>
                <w:i/>
                <w:noProof/>
                <w:color w:val="000000" w:themeColor="text1"/>
                <w:sz w:val="20"/>
              </w:rPr>
              <w:t>Elefantenhandel</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Sek./SC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Lager und Depots</w:t>
            </w:r>
            <w:r>
              <w:rPr>
                <w:noProof/>
              </w:rPr>
              <w:t>:</w:t>
            </w:r>
            <w:r>
              <w:rPr>
                <w:noProof/>
                <w:color w:val="000000" w:themeColor="text1"/>
                <w:sz w:val="20"/>
              </w:rPr>
              <w:t xml:space="preserve"> Zustimmung zum Beschluss, dass der Ständige Ausschuss die vom Sekretariat ausgearbeiteten Leitlinien überprüft.</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Asiatische Elefanten</w:t>
            </w:r>
            <w:r>
              <w:rPr>
                <w:noProof/>
                <w:color w:val="000000" w:themeColor="text1"/>
                <w:sz w:val="20"/>
              </w:rPr>
              <w:t>: zur Zustimmung zur Verlängerung der Beschlüsse bereit; für deren Wirksamkeit ist jedoch eine größere Unterstützung</w:t>
            </w:r>
            <w:r>
              <w:rPr>
                <w:noProof/>
                <w:color w:val="000000" w:themeColor="text1"/>
                <w:sz w:val="20"/>
              </w:rPr>
              <w:t xml:space="preserve"> durch die Arealstaaten erforderlich.</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Verfahren für nationale Elfenbein-Aktionspläne (National Ivory Action Plans Process, NIAP)</w:t>
            </w:r>
            <w:r>
              <w:rPr>
                <w:noProof/>
                <w:color w:val="000000" w:themeColor="text1"/>
                <w:sz w:val="20"/>
              </w:rPr>
              <w:t xml:space="preserve">: Zustimmung zu den vorgeschlagenen Überarbeitungen der Resolution Conf. 10.10, Absatz 26 Buchstabe g und Anhang III (Leitlinien für NIAP-Verfahren) und der Resolution Conf. 14.3 über die </w:t>
            </w:r>
            <w:r>
              <w:rPr>
                <w:i/>
                <w:noProof/>
                <w:color w:val="000000" w:themeColor="text1"/>
                <w:sz w:val="20"/>
              </w:rPr>
              <w:t>Einhaltung von CITES</w:t>
            </w:r>
            <w:r>
              <w:rPr>
                <w:noProof/>
                <w:color w:val="000000" w:themeColor="text1"/>
                <w:sz w:val="20"/>
              </w:rPr>
              <w:t xml:space="preserve"> (</w:t>
            </w:r>
            <w:r>
              <w:rPr>
                <w:rFonts w:eastAsia="Times New Roman"/>
                <w:noProof/>
                <w:color w:val="000000" w:themeColor="text1"/>
                <w:sz w:val="20"/>
                <w:szCs w:val="20"/>
              </w:rPr>
              <w:sym w:font="Wingdings" w:char="F0E0"/>
            </w:r>
            <w:r>
              <w:rPr>
                <w:noProof/>
                <w:color w:val="000000" w:themeColor="text1"/>
                <w:sz w:val="20"/>
              </w:rPr>
              <w:t xml:space="preserve"> Dokument 24); </w:t>
            </w:r>
            <w:r>
              <w:rPr>
                <w:rFonts w:eastAsia="Times New Roman"/>
                <w:noProof/>
                <w:color w:val="000000" w:themeColor="text1"/>
                <w:sz w:val="20"/>
                <w:szCs w:val="20"/>
              </w:rPr>
              <w:br/>
            </w:r>
            <w:r>
              <w:rPr>
                <w:noProof/>
                <w:color w:val="000000" w:themeColor="text1"/>
                <w:sz w:val="20"/>
              </w:rPr>
              <w:t xml:space="preserve">den Antrag des Sekretariats </w:t>
            </w:r>
            <w:r>
              <w:rPr>
                <w:noProof/>
                <w:color w:val="000000" w:themeColor="text1"/>
                <w:sz w:val="20"/>
              </w:rPr>
              <w:t>für die Schaffung eines neuen Postens (</w:t>
            </w:r>
            <w:r>
              <w:rPr>
                <w:rFonts w:eastAsia="Times New Roman"/>
                <w:noProof/>
                <w:color w:val="000000" w:themeColor="text1"/>
                <w:sz w:val="20"/>
                <w:szCs w:val="20"/>
              </w:rPr>
              <w:sym w:font="Wingdings" w:char="F0E0"/>
            </w:r>
            <w:r>
              <w:rPr>
                <w:noProof/>
                <w:color w:val="000000" w:themeColor="text1"/>
                <w:sz w:val="20"/>
              </w:rPr>
              <w:t xml:space="preserve"> Haushalt) prüfen.</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p w:rsidR="004118C6" w:rsidRDefault="004118C6">
            <w:pPr>
              <w:spacing w:before="0" w:after="0" w:line="240" w:lineRule="atLeast"/>
              <w:jc w:val="center"/>
              <w:rPr>
                <w:rFonts w:eastAsia="Times New Roman"/>
                <w:b/>
                <w:noProof/>
                <w:color w:val="000000" w:themeColor="text1"/>
                <w:sz w:val="20"/>
                <w:szCs w:val="20"/>
              </w:rPr>
            </w:pPr>
          </w:p>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ETIS-Überprüfung</w:t>
            </w:r>
            <w:r>
              <w:rPr>
                <w:noProof/>
                <w:color w:val="000000" w:themeColor="text1"/>
                <w:sz w:val="20"/>
              </w:rPr>
              <w:t>: Zustimmung zur Leistungsbeschreibung wie in der SC70 vereinbart.</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Finanzielle und operative Nachhaltigkeit im Rahmen von ETIS und MIKE</w:t>
            </w:r>
            <w:r>
              <w:rPr>
                <w:noProof/>
                <w:color w:val="000000" w:themeColor="text1"/>
                <w:sz w:val="20"/>
              </w:rPr>
              <w:t xml:space="preserve">: Zustimmung zum </w:t>
            </w:r>
            <w:r>
              <w:rPr>
                <w:noProof/>
                <w:color w:val="000000" w:themeColor="text1"/>
                <w:sz w:val="20"/>
              </w:rPr>
              <w:t>Beschlussentwurf, wonach das Sekretariat Vorschläge erarbeiten soll (Kosten: 30 000 USD), die der Ständige Ausschuss überprüft.</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760"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2971" w:type="dxa"/>
            <w:gridSpan w:val="2"/>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u w:val="single"/>
              </w:rPr>
              <w:t>Inländische Märkte für Elfenbein</w:t>
            </w:r>
            <w:r>
              <w:rPr>
                <w:noProof/>
              </w:rPr>
              <w:t>:</w:t>
            </w:r>
            <w:r>
              <w:rPr>
                <w:noProof/>
                <w:color w:val="000000" w:themeColor="text1"/>
                <w:sz w:val="20"/>
              </w:rPr>
              <w:t xml:space="preserve"> Zustimmung zur vorgeschlagenen Änderung der Resolution Conf. 10.10 gemäß Dokument 31.</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69.2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über die Überwachung des widerrechtlichen Tötens von Elefanten (</w:t>
            </w:r>
            <w:r>
              <w:rPr>
                <w:b/>
                <w:i/>
                <w:noProof/>
                <w:color w:val="000000" w:themeColor="text1"/>
                <w:sz w:val="20"/>
              </w:rPr>
              <w:t>MIKE</w:t>
            </w:r>
            <w:r>
              <w:rPr>
                <w:noProof/>
                <w:color w:val="000000" w:themeColor="text1"/>
                <w:sz w:val="20"/>
              </w:rPr>
              <w:t xml:space="preserve">) </w:t>
            </w:r>
            <w:r>
              <w:rPr>
                <w:noProof/>
                <w:color w:val="000000" w:themeColor="text1"/>
                <w:sz w:val="20"/>
                <w:u w:val="single"/>
              </w:rPr>
              <w:t>CoP18 Doc. 69.2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Kenntnisnahme des Berichts.</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69.3</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über das Informationssystem für den Handel mit Elefanten (</w:t>
            </w:r>
            <w:r>
              <w:rPr>
                <w:b/>
                <w:i/>
                <w:noProof/>
                <w:color w:val="000000" w:themeColor="text1"/>
                <w:sz w:val="20"/>
              </w:rPr>
              <w:t>ETIS</w:t>
            </w:r>
            <w:r>
              <w:rPr>
                <w:noProof/>
                <w:color w:val="000000" w:themeColor="text1"/>
                <w:sz w:val="20"/>
              </w:rPr>
              <w:t xml:space="preserve">) </w:t>
            </w:r>
            <w:r>
              <w:rPr>
                <w:noProof/>
                <w:color w:val="000000" w:themeColor="text1"/>
                <w:sz w:val="20"/>
                <w:u w:val="single"/>
              </w:rPr>
              <w:t>CoP18 Doc. 69.3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Kenntnisnahme des </w:t>
            </w:r>
            <w:r>
              <w:rPr>
                <w:noProof/>
                <w:color w:val="000000" w:themeColor="text1"/>
                <w:sz w:val="20"/>
              </w:rPr>
              <w:t>Berichts; Auswirkungen auf das NIAP-Verfahren prüfen (bestimmte, über ETIS ermittelte Länder, die derzeit nicht vom NIAP-Verfahren abgedeckt sind).</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69.4</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i/>
                <w:noProof/>
                <w:color w:val="000000" w:themeColor="text1"/>
                <w:sz w:val="20"/>
              </w:rPr>
              <w:t>Elfenbeinbestände</w:t>
            </w:r>
            <w:r>
              <w:rPr>
                <w:noProof/>
                <w:color w:val="000000" w:themeColor="text1"/>
                <w:sz w:val="20"/>
              </w:rPr>
              <w:t xml:space="preserve">: vorgeschlagene Überarbeitung der Resolution Conf. 10.10 (Rev. CoP17) über den </w:t>
            </w:r>
            <w:r>
              <w:rPr>
                <w:i/>
                <w:noProof/>
                <w:color w:val="000000" w:themeColor="text1"/>
                <w:sz w:val="20"/>
              </w:rPr>
              <w:t xml:space="preserve">Elefantenhandel </w:t>
            </w:r>
            <w:r>
              <w:rPr>
                <w:rFonts w:eastAsia="Times New Roman"/>
                <w:i/>
                <w:iCs/>
                <w:noProof/>
                <w:color w:val="000000" w:themeColor="text1"/>
                <w:sz w:val="20"/>
                <w:szCs w:val="20"/>
              </w:rPr>
              <w:br/>
            </w:r>
            <w:r>
              <w:rPr>
                <w:noProof/>
                <w:color w:val="000000" w:themeColor="text1"/>
                <w:sz w:val="20"/>
                <w:u w:val="single"/>
              </w:rPr>
              <w:t>CoP18 Doc. 69.4</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BF, TD, CI, GA, JO, KE, LR, NE, NG, SD, SY </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noProof/>
                <w:color w:val="000000" w:themeColor="text1"/>
                <w:sz w:val="20"/>
              </w:rPr>
              <w:t>Bedeutung der Fertigstellung der Leitlinien anerkennen, aber die Durchführbarkeit und Eignung einer diesbezüglichen Arbeitsgruppe während der Tagung hinterfragen. Alternative Vors</w:t>
            </w:r>
            <w:r>
              <w:rPr>
                <w:noProof/>
                <w:color w:val="000000" w:themeColor="text1"/>
                <w:sz w:val="20"/>
              </w:rPr>
              <w:t>chläge des Sekretariats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69.5</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Umsetzung von Aspekten der Resolution Conf. 10.10 (Rev. CoP17) über die Schließung der </w:t>
            </w:r>
            <w:r>
              <w:rPr>
                <w:b/>
                <w:i/>
                <w:noProof/>
                <w:color w:val="000000" w:themeColor="text1"/>
                <w:sz w:val="20"/>
              </w:rPr>
              <w:t>inländischen Elfenbeinmärkte</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lang w:val="nb-NO"/>
              </w:rPr>
            </w:pPr>
            <w:r>
              <w:rPr>
                <w:noProof/>
                <w:color w:val="000000" w:themeColor="text1"/>
                <w:sz w:val="20"/>
                <w:lang w:val="nb-NO"/>
              </w:rPr>
              <w:t>BF, CI, ET, GA, KE, LR, NE, NG, SY</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Schlussfolgerungen über den EU-Markt für Elfenbein (Absatz 28) bestreiten; laufende Bemühungen der EU hervorheben. </w:t>
            </w:r>
            <w:r>
              <w:rPr>
                <w:rFonts w:eastAsia="Times New Roman"/>
                <w:noProof/>
                <w:color w:val="000000" w:themeColor="text1"/>
                <w:sz w:val="20"/>
                <w:szCs w:val="20"/>
              </w:rPr>
              <w:br/>
            </w:r>
            <w:r>
              <w:rPr>
                <w:noProof/>
                <w:color w:val="000000" w:themeColor="text1"/>
                <w:sz w:val="20"/>
              </w:rPr>
              <w:t xml:space="preserve">Ablehnung der vorgeschlagenen Änderungen der Resolution Conf. 10.10 und der dazugehörigen Beschlussentwürfe, da diese unverhältnismäßig und </w:t>
            </w:r>
            <w:r>
              <w:rPr>
                <w:noProof/>
                <w:color w:val="000000" w:themeColor="text1"/>
                <w:sz w:val="20"/>
              </w:rPr>
              <w:t>teilweise unklar sind.</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Echte Karettschildkröte (</w:t>
            </w:r>
            <w:r>
              <w:rPr>
                <w:i/>
                <w:noProof/>
                <w:color w:val="000000" w:themeColor="text1"/>
                <w:sz w:val="20"/>
              </w:rPr>
              <w:t>Eretmochelys imbricata</w:t>
            </w:r>
            <w:r>
              <w:rPr>
                <w:noProof/>
                <w:color w:val="000000" w:themeColor="text1"/>
                <w:sz w:val="20"/>
              </w:rPr>
              <w:t xml:space="preserve">) und andere </w:t>
            </w:r>
            <w:r>
              <w:rPr>
                <w:b/>
                <w:noProof/>
                <w:color w:val="000000" w:themeColor="text1"/>
                <w:sz w:val="20"/>
              </w:rPr>
              <w:t>Meeresschildkröten</w:t>
            </w:r>
            <w:r>
              <w:rPr>
                <w:noProof/>
                <w:color w:val="000000" w:themeColor="text1"/>
                <w:sz w:val="20"/>
              </w:rPr>
              <w:t xml:space="preserve"> (</w:t>
            </w:r>
            <w:r>
              <w:rPr>
                <w:i/>
                <w:noProof/>
                <w:color w:val="000000" w:themeColor="text1"/>
                <w:sz w:val="20"/>
              </w:rPr>
              <w:t>Cheloniidae</w:t>
            </w:r>
            <w:r>
              <w:rPr>
                <w:noProof/>
                <w:color w:val="000000" w:themeColor="text1"/>
                <w:sz w:val="20"/>
              </w:rPr>
              <w:t xml:space="preserve"> und </w:t>
            </w:r>
            <w:r>
              <w:rPr>
                <w:i/>
                <w:noProof/>
                <w:color w:val="000000" w:themeColor="text1"/>
                <w:sz w:val="20"/>
              </w:rPr>
              <w:t>Dermochelyidae</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Sek.</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Fortführung der Arbeiten durch vom Sekretariat vorgeschlagene Beschlussentwürfe und zur </w:t>
            </w:r>
            <w:r>
              <w:rPr>
                <w:noProof/>
                <w:color w:val="000000" w:themeColor="text1"/>
                <w:sz w:val="20"/>
              </w:rPr>
              <w:t>Einrichtung einer zwischen den Sitzungen tagenden Arbeitsgruppe für Meeresschildkröten.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Asiatische Großkatzen</w:t>
            </w:r>
            <w:r>
              <w:rPr>
                <w:noProof/>
              </w:rPr>
              <w:t xml:space="preserve"> </w:t>
            </w:r>
            <w:r>
              <w:rPr>
                <w:noProof/>
                <w:color w:val="000000" w:themeColor="text1"/>
                <w:sz w:val="20"/>
              </w:rPr>
              <w:t>(</w:t>
            </w:r>
            <w:r>
              <w:rPr>
                <w:i/>
                <w:noProof/>
                <w:color w:val="000000" w:themeColor="text1"/>
                <w:sz w:val="20"/>
              </w:rPr>
              <w:t>Felidae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71.1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Ständigen Ausschusses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SC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71.2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Beschlussentwürfe zu asiatischen Großkatzen </w:t>
            </w:r>
            <w:r>
              <w:rPr>
                <w:noProof/>
                <w:color w:val="000000" w:themeColor="text1"/>
                <w:sz w:val="20"/>
                <w:u w:val="single"/>
              </w:rPr>
              <w:t>CoP18 Doc. 71.2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IN</w:t>
            </w:r>
          </w:p>
        </w:tc>
        <w:tc>
          <w:tcPr>
            <w:tcW w:w="2410" w:type="dxa"/>
            <w:tcMar>
              <w:top w:w="60" w:type="dxa"/>
              <w:left w:w="135" w:type="dxa"/>
              <w:bottom w:w="60" w:type="dxa"/>
              <w:right w:w="135" w:type="dxa"/>
            </w:tcMar>
            <w:vAlign w:val="center"/>
          </w:tcPr>
          <w:p w:rsidR="004118C6" w:rsidRDefault="00D15C59">
            <w:pPr>
              <w:spacing w:before="0" w:after="0"/>
              <w:jc w:val="left"/>
              <w:rPr>
                <w:noProof/>
                <w:color w:val="000000" w:themeColor="text1"/>
                <w:sz w:val="20"/>
                <w:szCs w:val="20"/>
              </w:rPr>
            </w:pPr>
            <w:r>
              <w:rPr>
                <w:noProof/>
                <w:color w:val="000000" w:themeColor="text1"/>
                <w:sz w:val="20"/>
              </w:rPr>
              <w:t xml:space="preserve">Allgemeine Zustimmung zu den Bemühungen um Überwachung und bessere Steuerung des Handels mit asiatischen Großkatzen. Zur Vermeidung von Überschneidungen oder Unstimmigkeiten muss das Dokument </w:t>
            </w:r>
            <w:r>
              <w:rPr>
                <w:noProof/>
                <w:color w:val="000000" w:themeColor="text1"/>
                <w:sz w:val="20"/>
              </w:rPr>
              <w:t>jedoch geprüft werden, sobald der Ständige Ausschuss den Bericht vorgelegt hat.</w:t>
            </w:r>
          </w:p>
          <w:p w:rsidR="004118C6" w:rsidRDefault="00D15C59">
            <w:pPr>
              <w:spacing w:before="0" w:after="0"/>
              <w:jc w:val="left"/>
              <w:rPr>
                <w:noProof/>
                <w:color w:val="000000" w:themeColor="text1"/>
                <w:sz w:val="20"/>
                <w:szCs w:val="20"/>
              </w:rPr>
            </w:pPr>
            <w:r>
              <w:rPr>
                <w:noProof/>
                <w:color w:val="000000" w:themeColor="text1"/>
                <w:sz w:val="20"/>
              </w:rPr>
              <w:t xml:space="preserve">Vor der Annahme müsste der vorgeschlagene Beschlussentwurf noch wesentlich gründlicher analysiert und geändert werden. Der Zusammenhang mit der Resolution Conf. 12.5 (Rev. 17) </w:t>
            </w:r>
            <w:r>
              <w:rPr>
                <w:noProof/>
                <w:color w:val="000000" w:themeColor="text1"/>
                <w:sz w:val="20"/>
              </w:rPr>
              <w:t>sollte auch geprüft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Seepferdchen</w:t>
            </w:r>
            <w:r>
              <w:rPr>
                <w:noProof/>
                <w:color w:val="000000" w:themeColor="text1"/>
                <w:sz w:val="20"/>
              </w:rPr>
              <w:t xml:space="preserve"> (</w:t>
            </w:r>
            <w:r>
              <w:rPr>
                <w:i/>
                <w:noProof/>
                <w:color w:val="000000" w:themeColor="text1"/>
                <w:sz w:val="20"/>
              </w:rPr>
              <w:t>Hippocampus</w:t>
            </w:r>
            <w:r>
              <w:rPr>
                <w:noProof/>
                <w:color w:val="000000" w:themeColor="text1"/>
                <w:sz w:val="20"/>
              </w:rPr>
              <w:t xml:space="preserve"> spp.) in der CITES-Liste – ein Fahrplan zum Erfolg</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MV, MC, LK, US</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Beschlüssen zur Einleitung von Diskussionen im Tierausschuss und Ständigen Ausschuss über die Bewirtschaftung </w:t>
            </w:r>
            <w:r>
              <w:rPr>
                <w:noProof/>
                <w:color w:val="000000" w:themeColor="text1"/>
                <w:sz w:val="20"/>
              </w:rPr>
              <w:t>und die nachhaltige Nutzung der Seepferdchenbestände.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73.</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Menschenaffen</w:t>
            </w:r>
            <w:r>
              <w:rPr>
                <w:noProof/>
                <w:color w:val="000000" w:themeColor="text1"/>
                <w:sz w:val="20"/>
              </w:rPr>
              <w:t xml:space="preserve"> (</w:t>
            </w:r>
            <w:r>
              <w:rPr>
                <w:i/>
                <w:noProof/>
                <w:color w:val="000000" w:themeColor="text1"/>
                <w:sz w:val="20"/>
              </w:rPr>
              <w:t>Hominidae</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CoP18 Doc. 73</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 Sek.</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vom Sekretariat vorgeschlagenen Änderungen der Resolution Conf. 13.4 (Rev. CoP16) über die Erhaltung von Menschenaffen und</w:t>
            </w:r>
            <w:r>
              <w:rPr>
                <w:noProof/>
                <w:color w:val="000000" w:themeColor="text1"/>
                <w:sz w:val="20"/>
              </w:rPr>
              <w:t xml:space="preserve"> den Handel mit ihnen sowie zur Streichung der Beschlüsse 17.232 und 17.233. Der Vorschlag basiert auf dem Bericht über den Erhaltungszustand der Menschenaffen und die relativen Auswirkungen des illegalen Handels und anderer Belastungen für ihren Erhaltung</w:t>
            </w:r>
            <w:r>
              <w:rPr>
                <w:noProof/>
                <w:color w:val="000000" w:themeColor="text1"/>
                <w:sz w:val="20"/>
              </w:rPr>
              <w:t>szustand, der in Zusammenarbeit zwischen dem Sekretariat, der IUCN, dem GRASP und anderen Partnern vorbereitet und vom Tierausschuss in seiner 30. Sitzung und dem Ständigen Ausschuss in seiner 70. Sitzung geprüft wurde. Einige redaktionelle Änderungen könn</w:t>
            </w:r>
            <w:r>
              <w:rPr>
                <w:noProof/>
                <w:color w:val="000000" w:themeColor="text1"/>
                <w:sz w:val="20"/>
              </w:rPr>
              <w:t>ten wünschenswert sein.</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Palisanderholzarten</w:t>
            </w:r>
            <w:r>
              <w:rPr>
                <w:noProof/>
              </w:rPr>
              <w:t xml:space="preserve"> [</w:t>
            </w:r>
            <w:r>
              <w:rPr>
                <w:i/>
                <w:noProof/>
                <w:color w:val="000000" w:themeColor="text1"/>
                <w:sz w:val="20"/>
              </w:rPr>
              <w:t>Leguminosae</w:t>
            </w:r>
            <w:r>
              <w:rPr>
                <w:noProof/>
              </w:rPr>
              <w:t xml:space="preserve"> (</w:t>
            </w:r>
            <w:r>
              <w:rPr>
                <w:i/>
                <w:noProof/>
                <w:color w:val="000000" w:themeColor="text1"/>
                <w:sz w:val="20"/>
              </w:rPr>
              <w:t>Fabaceae</w:t>
            </w:r>
            <w:r>
              <w:rPr>
                <w:noProof/>
              </w:rPr>
              <w:t>)]</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Annahme der Beschlussentwürfe.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Schuppentiere</w:t>
            </w:r>
            <w:r>
              <w:rPr>
                <w:noProof/>
                <w:color w:val="000000" w:themeColor="text1"/>
                <w:sz w:val="20"/>
              </w:rPr>
              <w:t xml:space="preserve"> (</w:t>
            </w:r>
            <w:r>
              <w:rPr>
                <w:i/>
                <w:noProof/>
                <w:color w:val="000000" w:themeColor="text1"/>
                <w:sz w:val="20"/>
              </w:rPr>
              <w:t>Manis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CoP18 Doc. 75</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 Einarbeitung des SC-Vorschlags</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w:t>
            </w:r>
            <w:r>
              <w:rPr>
                <w:noProof/>
                <w:color w:val="000000" w:themeColor="text1"/>
                <w:sz w:val="20"/>
              </w:rPr>
              <w:t>Beschlussentwürfen wie vom Ständigen Ausschuss (SC69) empfohlen, mit den vom Sekretariat vorgeschlagenen Änderungen, sowie zur Streichung der Beschlüsse 17.239 und 17.240.</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Afrikanischer </w:t>
            </w:r>
            <w:r>
              <w:rPr>
                <w:b/>
                <w:noProof/>
                <w:color w:val="000000" w:themeColor="text1"/>
                <w:sz w:val="20"/>
              </w:rPr>
              <w:t>Löwe</w:t>
            </w:r>
            <w:r>
              <w:rPr>
                <w:noProof/>
                <w:color w:val="000000" w:themeColor="text1"/>
                <w:sz w:val="20"/>
              </w:rPr>
              <w:t xml:space="preserve"> (</w:t>
            </w:r>
            <w:r>
              <w:rPr>
                <w:i/>
                <w:noProof/>
                <w:color w:val="000000" w:themeColor="text1"/>
                <w:sz w:val="20"/>
              </w:rPr>
              <w:t>Panthera leo</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76.1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Sekretariats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76.2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Erhaltung von und Handel mit afrikanischen Löwen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NG, TG</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Allgemeine Zustimmung zu weiteren Maßnahmen zur Kontrolle des internationalen Handels mit Teilen und Erzeugnissen von Löwen, wobei jedoch einige</w:t>
            </w:r>
            <w:r>
              <w:rPr>
                <w:noProof/>
                <w:color w:val="000000" w:themeColor="text1"/>
                <w:sz w:val="20"/>
              </w:rPr>
              <w:t xml:space="preserve"> Elemente des Resolutionsentwurfs möglicherweise grundlegend umformuliert werden müssten. Das Dokument muss zusammen mit den Dokumenten 76.1 und 96 (beide noch nicht verfügbar) behandelt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Jaguar</w:t>
            </w:r>
            <w:r>
              <w:rPr>
                <w:noProof/>
                <w:color w:val="000000" w:themeColor="text1"/>
                <w:sz w:val="20"/>
              </w:rPr>
              <w:t xml:space="preserve"> (</w:t>
            </w:r>
            <w:r>
              <w:rPr>
                <w:i/>
                <w:noProof/>
                <w:color w:val="000000" w:themeColor="text1"/>
                <w:sz w:val="20"/>
              </w:rPr>
              <w:t>Panthera onca</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4118C6">
            <w:pPr>
              <w:spacing w:before="0" w:after="0" w:line="240" w:lineRule="atLeast"/>
              <w:jc w:val="lef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77.1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Handel mit Jaguaren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CR, MX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Allgemeine Zustimmung zu den Beschlussentwürfen für eine Studie über den illegalen Handel mit Jaguaren; eine Bearbeitung könnte angebracht sein und einige Elemente aus Dokument 77.2 könnten hinzugefügt werden.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77.2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Illegaler Handel mit Jaguaren </w:t>
            </w:r>
            <w:r>
              <w:rPr>
                <w:noProof/>
                <w:color w:val="000000" w:themeColor="text1"/>
                <w:sz w:val="20"/>
                <w:u w:val="single"/>
              </w:rPr>
              <w:t>CoP18 Doc. 77.2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PE</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Allgemeine Zustimmung zum verbesserten Schutz von Jaguaren. Für einige der vorgeschlagenen Elemente wären jedoch Beschlüsse besser geeignet als eine Resolution. Es sollte geprüft werden, ob der Vorschlag ode</w:t>
            </w:r>
            <w:r>
              <w:rPr>
                <w:noProof/>
                <w:color w:val="000000" w:themeColor="text1"/>
                <w:sz w:val="20"/>
              </w:rPr>
              <w:t>r seine Teile mit dem Vorschlag von Costa Rica (77.1) zu einem Paket von Beschlüssen zusammengefasst werden sollten.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Illegaler Handel mit </w:t>
            </w:r>
            <w:r>
              <w:rPr>
                <w:b/>
                <w:noProof/>
                <w:color w:val="000000" w:themeColor="text1"/>
                <w:sz w:val="20"/>
              </w:rPr>
              <w:t>Tibetantilopen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Pantholops hodgsonii</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78</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zum Empfehlungsentwurf und zum Vorschlag </w:t>
            </w:r>
            <w:r>
              <w:rPr>
                <w:noProof/>
                <w:color w:val="000000" w:themeColor="text1"/>
                <w:sz w:val="20"/>
              </w:rPr>
              <w:t>des Sekretariats zur Änderung von Absatz 2 Buchstabe b der Resolution Conf. 11.8 (Rev. CoP17).</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79.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Handel mit </w:t>
            </w:r>
            <w:r>
              <w:rPr>
                <w:b/>
                <w:noProof/>
                <w:color w:val="000000" w:themeColor="text1"/>
                <w:sz w:val="20"/>
              </w:rPr>
              <w:t>Singvögeln</w:t>
            </w:r>
            <w:r>
              <w:rPr>
                <w:noProof/>
                <w:color w:val="000000" w:themeColor="text1"/>
                <w:sz w:val="20"/>
              </w:rPr>
              <w:t xml:space="preserve"> und ihre Erhaltung (</w:t>
            </w:r>
            <w:r>
              <w:rPr>
                <w:i/>
                <w:noProof/>
                <w:color w:val="000000" w:themeColor="text1"/>
                <w:sz w:val="20"/>
              </w:rPr>
              <w:t>Passeriformes</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US, LK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zum Vorschlag über die Prüfung der Auswirkungen des Handels mit </w:t>
            </w:r>
            <w:r>
              <w:rPr>
                <w:noProof/>
                <w:color w:val="000000" w:themeColor="text1"/>
                <w:sz w:val="20"/>
              </w:rPr>
              <w:t>Singvögeln auf deren Erhaltung durch den Tierausschuss. Möglicherweise Fokus verbessern und Geltungsbereich präzisieren.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Afrikanisches Stinkholz (</w:t>
            </w:r>
            <w:r>
              <w:rPr>
                <w:b/>
                <w:i/>
                <w:noProof/>
                <w:color w:val="000000" w:themeColor="text1"/>
                <w:sz w:val="20"/>
              </w:rPr>
              <w:t>Prunus africana</w:t>
            </w:r>
            <w:r>
              <w:rPr>
                <w:noProof/>
                <w:color w:val="000000" w:themeColor="text1"/>
                <w:sz w:val="20"/>
              </w:rPr>
              <w:t xml:space="preserve">) </w:t>
            </w:r>
            <w:r>
              <w:rPr>
                <w:noProof/>
                <w:color w:val="000000" w:themeColor="text1"/>
                <w:sz w:val="20"/>
                <w:u w:val="single"/>
              </w:rPr>
              <w:t>CoP18 Doc. 80</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Annahme der Beschlussentwürfe. Je nach den Ergebnissen des im März 2019 stattfindenden Regionaltreffens für Afrika im Rahmen des CITES-Programms für Baumarten könnten weitere Überarbeitungen der Beschlussentwürfe erforderlich sein.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Afrikanische Graupapageien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Psittacus erithacus</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ZA</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Offen für die Verlängerung der Frist für die Registrierung von Zuchtunternehmen. Vor der Zustimmung zur Hinzufügung des neuen Buchstabens f zum Beschluss 17.256 sind jedoch weitere Informationen über die mögliche Bestandsauffüllung von </w:t>
            </w:r>
            <w:r>
              <w:rPr>
                <w:i/>
                <w:noProof/>
                <w:color w:val="000000" w:themeColor="text1"/>
                <w:sz w:val="20"/>
              </w:rPr>
              <w:t>Psittacus erithacus</w:t>
            </w:r>
            <w:r>
              <w:rPr>
                <w:noProof/>
                <w:color w:val="000000" w:themeColor="text1"/>
                <w:sz w:val="20"/>
              </w:rPr>
              <w:t xml:space="preserve"> </w:t>
            </w:r>
            <w:r>
              <w:rPr>
                <w:noProof/>
                <w:color w:val="000000" w:themeColor="text1"/>
                <w:sz w:val="20"/>
              </w:rPr>
              <w:t>erforderlich. Vor der Annahme dürften Änderungen am Text erforderlich sein.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Banggai-Kardinalbarsch</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rPr>
              <w:t>(</w:t>
            </w:r>
            <w:r>
              <w:rPr>
                <w:i/>
                <w:noProof/>
                <w:color w:val="000000" w:themeColor="text1"/>
                <w:sz w:val="20"/>
              </w:rPr>
              <w:t>Pterapogon kauderni</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Beschlussentwürfen; die EU ist bereit, Indonesien bei der Durchführung des Beschlusses 18.AA zu </w:t>
            </w:r>
            <w:r>
              <w:rPr>
                <w:noProof/>
                <w:color w:val="000000" w:themeColor="text1"/>
                <w:sz w:val="20"/>
              </w:rPr>
              <w:t>unterstützen.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Nashörner</w:t>
            </w:r>
            <w:r>
              <w:rPr>
                <w:noProof/>
              </w:rPr>
              <w:t xml:space="preserve"> </w:t>
            </w:r>
            <w:r>
              <w:rPr>
                <w:noProof/>
                <w:color w:val="000000" w:themeColor="text1"/>
                <w:sz w:val="20"/>
              </w:rPr>
              <w:t>(</w:t>
            </w:r>
            <w:r>
              <w:rPr>
                <w:i/>
                <w:noProof/>
                <w:color w:val="000000" w:themeColor="text1"/>
                <w:sz w:val="20"/>
              </w:rPr>
              <w:t>Rhinocerotidae</w:t>
            </w:r>
            <w:r>
              <w:rPr>
                <w:noProof/>
                <w:color w:val="000000" w:themeColor="text1"/>
                <w:sz w:val="20"/>
              </w:rPr>
              <w:t xml:space="preserve"> spp.)</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83.1</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Bericht des Ständigen Ausschusses und des Sekretariats</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i/>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760"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83.2</w:t>
            </w:r>
          </w:p>
        </w:tc>
        <w:tc>
          <w:tcPr>
            <w:tcW w:w="2971" w:type="dxa"/>
            <w:gridSpan w:val="2"/>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Änderungen der Resolution Conf. 9.14 (Rev. CoP17) über die </w:t>
            </w:r>
            <w:r>
              <w:rPr>
                <w:i/>
                <w:noProof/>
                <w:color w:val="000000" w:themeColor="text1"/>
                <w:sz w:val="20"/>
              </w:rPr>
              <w:t xml:space="preserve">Erhaltung von und </w:t>
            </w:r>
            <w:r>
              <w:rPr>
                <w:i/>
                <w:noProof/>
                <w:color w:val="000000" w:themeColor="text1"/>
                <w:sz w:val="20"/>
              </w:rPr>
              <w:t>den Handel mit afrikanischen und asiatischen Nashörnern</w:t>
            </w:r>
            <w:r>
              <w:rPr>
                <w:noProof/>
                <w:color w:val="000000" w:themeColor="text1"/>
                <w:sz w:val="20"/>
              </w:rPr>
              <w:t xml:space="preserve"> und dazugehöriger Beschlüsse.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KE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Vorgeschlagene Änderungen der Resolution betreffend die a) Schließung inländischer Märkte, b) die Einbeziehung von Nashorn-Horn in privatem Besitz in die Registrierun</w:t>
            </w:r>
            <w:r>
              <w:rPr>
                <w:noProof/>
                <w:color w:val="000000" w:themeColor="text1"/>
                <w:sz w:val="20"/>
              </w:rPr>
              <w:t>g von Lagerbeständen und die Vernichtung von Lagerbeständen sowie c) regelmäßige Berichterstattung an den Ständigen Ausschuss durch die Vertragsparteien. Weitere Prüfung der Vorteile für die Erhaltung ist notwendig und die vorgeschlagenen Änderungen und Be</w:t>
            </w:r>
            <w:r>
              <w:rPr>
                <w:noProof/>
                <w:color w:val="000000" w:themeColor="text1"/>
                <w:sz w:val="20"/>
              </w:rPr>
              <w:t>schlussentwürfe müssen vollständig analysiert werden, sobald Dokument 83.1 verfügbar ist.</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Schildhornvögel/Schildschnäbel</w:t>
            </w:r>
            <w:r>
              <w:rPr>
                <w:noProof/>
                <w:color w:val="000000" w:themeColor="text1"/>
                <w:sz w:val="20"/>
              </w:rPr>
              <w:t xml:space="preserve"> (</w:t>
            </w:r>
            <w:r>
              <w:rPr>
                <w:i/>
                <w:noProof/>
                <w:color w:val="000000" w:themeColor="text1"/>
                <w:sz w:val="20"/>
              </w:rPr>
              <w:t>Rhinoplax vigil</w:t>
            </w:r>
            <w:r>
              <w:rPr>
                <w:noProof/>
                <w:color w:val="000000" w:themeColor="text1"/>
                <w:sz w:val="20"/>
              </w:rPr>
              <w:t xml:space="preserve">) </w:t>
            </w:r>
            <w:r>
              <w:rPr>
                <w:noProof/>
                <w:color w:val="000000" w:themeColor="text1"/>
                <w:sz w:val="20"/>
                <w:u w:val="single"/>
              </w:rPr>
              <w:t>CoP18 Doc. 84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Beschlussentwürfen in Anhang 1, einschließlich der vom Sekretariat </w:t>
            </w:r>
            <w:r>
              <w:rPr>
                <w:noProof/>
                <w:color w:val="000000" w:themeColor="text1"/>
                <w:sz w:val="20"/>
              </w:rPr>
              <w:t>vorgeschlagenen Änderungen, und zur Streichung der Beschlüsse 17.264, 17.265 und 17.266.</w:t>
            </w:r>
          </w:p>
        </w:tc>
        <w:tc>
          <w:tcPr>
            <w:tcW w:w="992" w:type="dxa"/>
            <w:tcMar>
              <w:top w:w="60" w:type="dxa"/>
              <w:left w:w="135" w:type="dxa"/>
              <w:bottom w:w="60" w:type="dxa"/>
              <w:right w:w="135" w:type="dxa"/>
            </w:tcMar>
            <w:vAlign w:val="center"/>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Riesen-Fechterschnecke</w:t>
            </w:r>
            <w:r>
              <w:rPr>
                <w:noProof/>
                <w:color w:val="000000" w:themeColor="text1"/>
                <w:sz w:val="20"/>
              </w:rPr>
              <w:t xml:space="preserve"> (</w:t>
            </w:r>
            <w:r>
              <w:rPr>
                <w:i/>
                <w:noProof/>
                <w:color w:val="000000" w:themeColor="text1"/>
                <w:sz w:val="20"/>
              </w:rPr>
              <w:t>Strombus gigas</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Saiga</w:t>
            </w:r>
            <w:r>
              <w:rPr>
                <w:noProof/>
                <w:color w:val="000000" w:themeColor="text1"/>
                <w:sz w:val="20"/>
              </w:rPr>
              <w:t>-Antilope (</w:t>
            </w:r>
            <w:r>
              <w:rPr>
                <w:i/>
                <w:noProof/>
                <w:color w:val="000000" w:themeColor="text1"/>
                <w:sz w:val="20"/>
              </w:rPr>
              <w:t xml:space="preserve">Saiga </w:t>
            </w:r>
            <w:r>
              <w:rPr>
                <w:noProof/>
                <w:color w:val="000000" w:themeColor="text1"/>
                <w:sz w:val="20"/>
              </w:rPr>
              <w:t xml:space="preserve">spp.) </w:t>
            </w:r>
            <w:r>
              <w:rPr>
                <w:rFonts w:eastAsia="Times New Roman"/>
                <w:noProof/>
                <w:color w:val="000000" w:themeColor="text1"/>
                <w:sz w:val="20"/>
                <w:szCs w:val="20"/>
              </w:rPr>
              <w:br/>
            </w:r>
            <w:r>
              <w:rPr>
                <w:noProof/>
                <w:color w:val="000000" w:themeColor="text1"/>
                <w:sz w:val="20"/>
                <w:u w:val="single"/>
              </w:rPr>
              <w:t>CoP18 Doc. 86</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noProof/>
                <w:color w:val="000000" w:themeColor="text1"/>
                <w:sz w:val="20"/>
                <w:szCs w:val="20"/>
              </w:rPr>
            </w:pPr>
            <w:r>
              <w:rPr>
                <w:noProof/>
                <w:color w:val="000000" w:themeColor="text1"/>
                <w:sz w:val="20"/>
              </w:rPr>
              <w:t>Zustimmung zum Dokument, das auf den Ergebnissen der Diskussionen im Ständigen Ausschuss beruht und an die Arealstaaten der Saiga-Antilope gerichtet ist, um die Bewirtschaftung der Bestände an Teilen und Erzeugnissen der Art und die Kapazitäten dieser Staa</w:t>
            </w:r>
            <w:r>
              <w:rPr>
                <w:noProof/>
                <w:color w:val="000000" w:themeColor="text1"/>
                <w:sz w:val="20"/>
              </w:rPr>
              <w:t>ten zur Bekämpfung des illegalen Handels zu verbessern und um die Bemühungen zur In-situ- und Ex-situ-Erhaltung zu verstärken; Zustimmung zum Vorschlag des Sekretariats, den Tierausschuss in die Umsetzung eines Beschlusses einzubeziehen. Die Beschlüsse müs</w:t>
            </w:r>
            <w:r>
              <w:rPr>
                <w:noProof/>
                <w:color w:val="000000" w:themeColor="text1"/>
                <w:sz w:val="20"/>
              </w:rPr>
              <w:t xml:space="preserve">sten gegebenenfalls abhängig von der Entscheidung über die höhere Einstufung der gesamten Gattung </w:t>
            </w:r>
            <w:r>
              <w:rPr>
                <w:i/>
                <w:noProof/>
                <w:color w:val="000000" w:themeColor="text1"/>
                <w:sz w:val="20"/>
              </w:rPr>
              <w:t>Saiga</w:t>
            </w:r>
            <w:r>
              <w:rPr>
                <w:noProof/>
                <w:color w:val="000000" w:themeColor="text1"/>
                <w:sz w:val="20"/>
              </w:rPr>
              <w:t xml:space="preserve"> spp. durch Aufnahme in Anhang I geändert werden.</w:t>
            </w:r>
          </w:p>
          <w:p w:rsidR="004118C6" w:rsidRDefault="00D15C59">
            <w:pPr>
              <w:spacing w:before="0" w:after="0"/>
              <w:jc w:val="left"/>
              <w:rPr>
                <w:rFonts w:eastAsia="Times New Roman"/>
                <w:noProof/>
                <w:color w:val="000000" w:themeColor="text1"/>
                <w:sz w:val="20"/>
                <w:szCs w:val="20"/>
              </w:rPr>
            </w:pPr>
            <w:r>
              <w:rPr>
                <w:noProof/>
                <w:color w:val="000000" w:themeColor="text1"/>
                <w:sz w:val="20"/>
              </w:rPr>
              <w:t>Prüfen, ob einige Elemente der Beschlüsse 17.268, 17.269 und 17.270 beibehalten werden sollten.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Erhaltung des </w:t>
            </w:r>
            <w:r>
              <w:rPr>
                <w:b/>
                <w:noProof/>
                <w:color w:val="000000" w:themeColor="text1"/>
                <w:sz w:val="20"/>
              </w:rPr>
              <w:t>Titicaca-Riesenfroschs</w:t>
            </w:r>
            <w:r>
              <w:rPr>
                <w:noProof/>
                <w:color w:val="000000" w:themeColor="text1"/>
                <w:sz w:val="20"/>
              </w:rPr>
              <w:t xml:space="preserve"> (</w:t>
            </w:r>
            <w:r>
              <w:rPr>
                <w:i/>
                <w:noProof/>
                <w:color w:val="000000" w:themeColor="text1"/>
                <w:sz w:val="20"/>
              </w:rPr>
              <w:t>Telmatobius culeus</w:t>
            </w:r>
            <w:r>
              <w:rPr>
                <w:noProof/>
                <w:color w:val="000000" w:themeColor="text1"/>
                <w:sz w:val="20"/>
              </w:rPr>
              <w:t>)</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w:t>
            </w: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88.</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Landschildkröten</w:t>
            </w:r>
            <w:r>
              <w:rPr>
                <w:noProof/>
                <w:color w:val="000000" w:themeColor="text1"/>
                <w:sz w:val="20"/>
              </w:rPr>
              <w:t xml:space="preserve"> und (Süß-)Wasserschildkröten (</w:t>
            </w:r>
            <w:r>
              <w:rPr>
                <w:i/>
                <w:noProof/>
                <w:color w:val="000000" w:themeColor="text1"/>
                <w:sz w:val="20"/>
              </w:rPr>
              <w:t>Testudines</w:t>
            </w:r>
            <w:r>
              <w:rPr>
                <w:noProof/>
                <w:color w:val="000000" w:themeColor="text1"/>
                <w:sz w:val="20"/>
              </w:rPr>
              <w:t xml:space="preserve"> spp.) </w:t>
            </w:r>
            <w:r>
              <w:rPr>
                <w:rFonts w:eastAsia="Times New Roman"/>
                <w:noProof/>
                <w:color w:val="000000" w:themeColor="text1"/>
                <w:sz w:val="20"/>
                <w:szCs w:val="20"/>
              </w:rPr>
              <w:br/>
            </w:r>
            <w:r>
              <w:rPr>
                <w:noProof/>
                <w:color w:val="000000" w:themeColor="text1"/>
                <w:sz w:val="20"/>
                <w:u w:val="single"/>
              </w:rPr>
              <w:t>CoP18 Doc. 88</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 Sek.</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Allgemeine Zustimmung zum Entwurf einer überarbeiteten Fassung der Resolution Conf. 11.9 über die </w:t>
            </w:r>
            <w:r>
              <w:rPr>
                <w:i/>
                <w:noProof/>
                <w:color w:val="000000" w:themeColor="text1"/>
                <w:sz w:val="20"/>
              </w:rPr>
              <w:t>Erhaltung von und den Handel mit Landschildkröten und (Süß-)Wasserschildkröten</w:t>
            </w:r>
            <w:r>
              <w:rPr>
                <w:noProof/>
                <w:color w:val="000000" w:themeColor="text1"/>
                <w:sz w:val="20"/>
              </w:rPr>
              <w:t xml:space="preserve"> und zu den vom Sekretariat vorgeschlagenen Beschlussentwürfen; prüfen, ob zukün</w:t>
            </w:r>
            <w:r>
              <w:rPr>
                <w:noProof/>
                <w:color w:val="000000" w:themeColor="text1"/>
                <w:sz w:val="20"/>
              </w:rPr>
              <w:t>ftige Arbeiten auf die praktischen Bedürfnisse ausgerichtet werden sollen.</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89.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Totoaba</w:t>
            </w:r>
            <w:r>
              <w:rPr>
                <w:noProof/>
                <w:color w:val="000000" w:themeColor="text1"/>
                <w:sz w:val="20"/>
              </w:rPr>
              <w:t xml:space="preserve"> (</w:t>
            </w:r>
            <w:r>
              <w:rPr>
                <w:i/>
                <w:noProof/>
                <w:color w:val="000000" w:themeColor="text1"/>
                <w:sz w:val="20"/>
              </w:rPr>
              <w:t>Totoaba macdonaldi</w:t>
            </w:r>
            <w:r>
              <w:rPr>
                <w:noProof/>
                <w:color w:val="000000" w:themeColor="text1"/>
                <w:sz w:val="20"/>
              </w:rPr>
              <w:t xml:space="preserve">) </w:t>
            </w:r>
            <w:r>
              <w:rPr>
                <w:noProof/>
                <w:color w:val="000000" w:themeColor="text1"/>
                <w:sz w:val="20"/>
                <w:u w:val="single"/>
              </w:rPr>
              <w:t>CoP18 Doc. 89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Beschlussentwürfen über die weitere Sammlung von Informationen von den Vertragsparteien; </w:t>
            </w:r>
            <w:r>
              <w:rPr>
                <w:noProof/>
                <w:color w:val="000000" w:themeColor="text1"/>
                <w:sz w:val="20"/>
              </w:rPr>
              <w:t>Sensibilisierungs- und Durchsetzungsmaßnahmen; vom Sekretariat durchzuführende Studie über Vaquita und Totoaba (der Ständige Ausschuss hat dem Entwurf zugestimmt).</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Schwarzmeer-</w:t>
            </w:r>
            <w:r>
              <w:rPr>
                <w:b/>
                <w:noProof/>
                <w:color w:val="000000" w:themeColor="text1"/>
                <w:sz w:val="20"/>
              </w:rPr>
              <w:t>Tümmler</w:t>
            </w:r>
            <w:r>
              <w:rPr>
                <w:noProof/>
                <w:color w:val="000000" w:themeColor="text1"/>
                <w:sz w:val="20"/>
              </w:rPr>
              <w:t xml:space="preserve"> (</w:t>
            </w:r>
            <w:r>
              <w:rPr>
                <w:i/>
                <w:noProof/>
                <w:color w:val="000000" w:themeColor="text1"/>
                <w:sz w:val="20"/>
              </w:rPr>
              <w:t>Tursiops truncatus ponticus</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90</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zum </w:t>
            </w:r>
            <w:r>
              <w:rPr>
                <w:noProof/>
                <w:color w:val="000000" w:themeColor="text1"/>
                <w:sz w:val="20"/>
              </w:rPr>
              <w:t>Beschlussentwurf über die Zusammenarbeit des Sekretariats mit dem ACCOBAMS.</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Erhaltung der </w:t>
            </w:r>
            <w:r>
              <w:rPr>
                <w:b/>
                <w:noProof/>
                <w:color w:val="000000" w:themeColor="text1"/>
                <w:sz w:val="20"/>
              </w:rPr>
              <w:t>Vikunja</w:t>
            </w:r>
            <w:r>
              <w:rPr>
                <w:noProof/>
                <w:color w:val="000000" w:themeColor="text1"/>
                <w:sz w:val="20"/>
              </w:rPr>
              <w:t xml:space="preserve"> (</w:t>
            </w:r>
            <w:r>
              <w:rPr>
                <w:i/>
                <w:noProof/>
                <w:color w:val="000000" w:themeColor="text1"/>
                <w:sz w:val="20"/>
              </w:rPr>
              <w:t>Vicugna vicugna</w:t>
            </w:r>
            <w:r>
              <w:rPr>
                <w:noProof/>
                <w:color w:val="000000" w:themeColor="text1"/>
                <w:sz w:val="20"/>
              </w:rPr>
              <w:t>) und Handel mit ihren Fasern und Produkten</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AR</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Allgemeine Zustimmung zum Resolutionsentwurf über die Erhaltung von Vikunja und den Handel mit ihren Fasern und Produkten; das Dokument wurde gemäß dem Übereinkommen über die Erhaltung der Vikunja und die Bewirtschaftung der Bestände ausgearbeitet. Weitere</w:t>
            </w:r>
            <w:r>
              <w:rPr>
                <w:noProof/>
                <w:color w:val="000000" w:themeColor="text1"/>
                <w:sz w:val="20"/>
              </w:rPr>
              <w:t xml:space="preserve"> Diskussion über das Format und die Formulierung des Textes erforderlich. </w:t>
            </w:r>
            <w:r>
              <w:rPr>
                <w:i/>
                <w:noProof/>
                <w:color w:val="000000" w:themeColor="text1"/>
                <w:sz w:val="20"/>
              </w:rPr>
              <w:t>Gemeinsam mit Nr. 53 prüfen.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In </w:t>
            </w:r>
            <w:r>
              <w:rPr>
                <w:b/>
                <w:noProof/>
                <w:color w:val="000000" w:themeColor="text1"/>
                <w:sz w:val="20"/>
              </w:rPr>
              <w:t>Anhang I</w:t>
            </w:r>
            <w:r>
              <w:rPr>
                <w:noProof/>
                <w:color w:val="000000" w:themeColor="text1"/>
                <w:sz w:val="20"/>
              </w:rPr>
              <w:t xml:space="preserve"> aufgeführte Arten </w:t>
            </w:r>
            <w:r>
              <w:rPr>
                <w:rFonts w:eastAsia="Times New Roman"/>
                <w:noProof/>
                <w:color w:val="000000" w:themeColor="text1"/>
                <w:sz w:val="20"/>
                <w:szCs w:val="20"/>
              </w:rPr>
              <w:br/>
            </w:r>
            <w:r>
              <w:rPr>
                <w:noProof/>
                <w:color w:val="000000" w:themeColor="text1"/>
                <w:sz w:val="20"/>
                <w:u w:val="single"/>
              </w:rPr>
              <w:t>CoP18 Doc. 92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 AC, 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Streichung der Beschlüsse 17.22 bis 17.25. Zustimmung zur Annahme.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93.</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 xml:space="preserve">Neotropische </w:t>
            </w:r>
            <w:r>
              <w:rPr>
                <w:noProof/>
                <w:color w:val="000000" w:themeColor="text1"/>
                <w:sz w:val="20"/>
              </w:rPr>
              <w:t xml:space="preserve">Baumarten </w:t>
            </w:r>
            <w:r>
              <w:rPr>
                <w:rFonts w:eastAsia="Times New Roman"/>
                <w:noProof/>
                <w:color w:val="000000" w:themeColor="text1"/>
                <w:sz w:val="20"/>
                <w:szCs w:val="20"/>
              </w:rPr>
              <w:br/>
            </w:r>
            <w:r>
              <w:rPr>
                <w:noProof/>
                <w:color w:val="000000" w:themeColor="text1"/>
                <w:sz w:val="20"/>
                <w:u w:val="single"/>
              </w:rPr>
              <w:t>CoP18 Doc. 93</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PC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Annahme der Beschlussentwürfe.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Erhaltung von und Handel mit </w:t>
            </w:r>
            <w:r>
              <w:rPr>
                <w:b/>
                <w:noProof/>
                <w:color w:val="000000" w:themeColor="text1"/>
                <w:sz w:val="20"/>
              </w:rPr>
              <w:t>Meeres-Zierfischen</w:t>
            </w:r>
            <w:r>
              <w:rPr>
                <w:noProof/>
                <w:color w:val="000000" w:themeColor="text1"/>
                <w:sz w:val="20"/>
              </w:rPr>
              <w:t xml:space="preserve"> </w:t>
            </w:r>
            <w:r>
              <w:rPr>
                <w:noProof/>
                <w:color w:val="000000" w:themeColor="text1"/>
                <w:sz w:val="20"/>
                <w:u w:val="single"/>
              </w:rPr>
              <w:t>CoP18 Doc. 94</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CH, US, EU</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Beschlussentwürfen (gemeinsamer Vorschlag unter Beteiligung der </w:t>
            </w:r>
            <w:r>
              <w:rPr>
                <w:noProof/>
                <w:color w:val="000000" w:themeColor="text1"/>
                <w:sz w:val="20"/>
              </w:rPr>
              <w:t>EU).</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95.</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Leitfäden, Maßnahmen und Instrumente zur Verstärkung der Kapazitäten der Vertragsparteien zur Regulierung des Handels mit </w:t>
            </w:r>
            <w:r>
              <w:rPr>
                <w:b/>
                <w:noProof/>
                <w:color w:val="000000" w:themeColor="text1"/>
                <w:sz w:val="20"/>
              </w:rPr>
              <w:t>Buschfleisch</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b/>
                <w:noProof/>
                <w:color w:val="000000" w:themeColor="text1"/>
                <w:sz w:val="20"/>
                <w:szCs w:val="20"/>
              </w:rPr>
            </w:pPr>
            <w:r>
              <w:rPr>
                <w:b/>
                <w:noProof/>
                <w:color w:val="000000" w:themeColor="text1"/>
                <w:sz w:val="20"/>
              </w:rPr>
              <w:t>Afrikanische Initiative für Raubtiere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i/>
                <w:noProof/>
                <w:color w:val="000000" w:themeColor="text1"/>
                <w:sz w:val="20"/>
              </w:rPr>
              <w:t xml:space="preserve">Dokument war </w:t>
            </w:r>
            <w:r>
              <w:rPr>
                <w:i/>
                <w:noProof/>
                <w:color w:val="000000" w:themeColor="text1"/>
                <w:sz w:val="20"/>
              </w:rPr>
              <w:t>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Handel mit </w:t>
            </w:r>
            <w:r>
              <w:rPr>
                <w:b/>
                <w:noProof/>
                <w:color w:val="000000" w:themeColor="text1"/>
                <w:sz w:val="20"/>
              </w:rPr>
              <w:t>Geiern</w:t>
            </w:r>
            <w:r>
              <w:rPr>
                <w:noProof/>
                <w:color w:val="000000" w:themeColor="text1"/>
                <w:sz w:val="20"/>
              </w:rPr>
              <w:t xml:space="preserve"> und ihre Erhaltung in Westafrika </w:t>
            </w:r>
            <w:r>
              <w:rPr>
                <w:rFonts w:eastAsia="Times New Roman"/>
                <w:noProof/>
                <w:color w:val="000000" w:themeColor="text1"/>
                <w:sz w:val="20"/>
                <w:szCs w:val="20"/>
              </w:rPr>
              <w:br/>
            </w:r>
            <w:r>
              <w:rPr>
                <w:noProof/>
                <w:color w:val="000000" w:themeColor="text1"/>
                <w:sz w:val="20"/>
                <w:u w:val="single"/>
              </w:rPr>
              <w:t>CoP18 Doc. 97</w:t>
            </w:r>
          </w:p>
        </w:tc>
        <w:tc>
          <w:tcPr>
            <w:tcW w:w="1423" w:type="dxa"/>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BF, NE, SN</w:t>
            </w:r>
          </w:p>
        </w:tc>
        <w:tc>
          <w:tcPr>
            <w:tcW w:w="2410" w:type="dxa"/>
            <w:tcMar>
              <w:top w:w="60" w:type="dxa"/>
              <w:left w:w="135" w:type="dxa"/>
              <w:bottom w:w="60" w:type="dxa"/>
              <w:right w:w="135" w:type="dxa"/>
            </w:tcMar>
            <w:vAlign w:val="center"/>
          </w:tcPr>
          <w:p w:rsidR="004118C6" w:rsidRDefault="00D15C59">
            <w:pPr>
              <w:spacing w:before="0" w:after="0"/>
              <w:jc w:val="left"/>
              <w:rPr>
                <w:noProof/>
                <w:color w:val="000000" w:themeColor="text1"/>
                <w:sz w:val="20"/>
                <w:szCs w:val="20"/>
              </w:rPr>
            </w:pPr>
            <w:r>
              <w:rPr>
                <w:noProof/>
                <w:color w:val="000000" w:themeColor="text1"/>
                <w:sz w:val="20"/>
              </w:rPr>
              <w:t>Zustimmung zu den Beschlüssen zur Förderung von Synergien mit dem Übereinkommen zur Erhaltung der wandernden Tierarten (CMS). Die Bekämpfung von illegaler Vergiftung und des auf Aberglauben basierenden Handels ist wesentlich und es gibt einen starken Zusam</w:t>
            </w:r>
            <w:r>
              <w:rPr>
                <w:noProof/>
                <w:color w:val="000000" w:themeColor="text1"/>
                <w:sz w:val="20"/>
              </w:rPr>
              <w:t xml:space="preserve">menhang zwischen der Elefanten- und Nashornwilderei und der Vergiftung von Geiern. Eine der in diesem Dokument behandelten Arten, der Schmutzgeier, brütet regelmäßig in der EU und überwintert in Afrika. </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 +</w:t>
            </w:r>
          </w:p>
        </w:tc>
      </w:tr>
      <w:tr w:rsidR="004118C6">
        <w:trPr>
          <w:cantSplit/>
        </w:trPr>
        <w:tc>
          <w:tcPr>
            <w:tcW w:w="4382" w:type="dxa"/>
            <w:gridSpan w:val="5"/>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u w:val="single"/>
              </w:rPr>
              <w:t>Beibehaltung der Anhänge</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4118C6">
            <w:pPr>
              <w:spacing w:before="0" w:after="0"/>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D15C59">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98.</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Vorbehalte</w:t>
            </w:r>
            <w:r>
              <w:rPr>
                <w:noProof/>
                <w:color w:val="000000" w:themeColor="text1"/>
                <w:sz w:val="20"/>
              </w:rPr>
              <w:t xml:space="preserve"> bezüglich der Änderungen der Anhänge I und II </w:t>
            </w:r>
            <w:r>
              <w:rPr>
                <w:noProof/>
                <w:color w:val="000000" w:themeColor="text1"/>
                <w:sz w:val="20"/>
                <w:u w:val="single"/>
              </w:rPr>
              <w:t>CoP18 Doc. 98</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 den vorgeschlagenen Änderungen der Resolution Conf. 4.25 über </w:t>
            </w:r>
            <w:r>
              <w:rPr>
                <w:i/>
                <w:noProof/>
                <w:color w:val="000000" w:themeColor="text1"/>
                <w:sz w:val="20"/>
              </w:rPr>
              <w:t>Vorbehalte</w:t>
            </w:r>
            <w:r>
              <w:rPr>
                <w:noProof/>
                <w:color w:val="000000" w:themeColor="text1"/>
                <w:sz w:val="20"/>
              </w:rPr>
              <w:t>, Frist von 90 Tagen für Vorbehalte betreffend die Aufnahme in Anhang I und II bestätigen und präzisiere</w:t>
            </w:r>
            <w:r>
              <w:rPr>
                <w:noProof/>
                <w:color w:val="000000" w:themeColor="text1"/>
                <w:sz w:val="20"/>
              </w:rPr>
              <w:t>n, wann die Rücknahme eines Vorbehalts wirksam wird.</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99.</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Standard-</w:t>
            </w:r>
            <w:r>
              <w:rPr>
                <w:b/>
                <w:noProof/>
                <w:color w:val="000000" w:themeColor="text1"/>
                <w:sz w:val="20"/>
              </w:rPr>
              <w:t>Nomenklatur</w:t>
            </w:r>
            <w:r>
              <w:rPr>
                <w:rFonts w:eastAsia="Times New Roman"/>
                <w:noProof/>
                <w:color w:val="000000" w:themeColor="text1"/>
                <w:sz w:val="20"/>
                <w:szCs w:val="20"/>
              </w:rPr>
              <w:br/>
            </w:r>
            <w:r>
              <w:rPr>
                <w:noProof/>
                <w:color w:val="000000" w:themeColor="text1"/>
                <w:sz w:val="20"/>
                <w:u w:val="single"/>
              </w:rPr>
              <w:t>CoP18 Doc. 99</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AC, PC, Sek.</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 den vorgeschlagenen Änderungen des Anhangs der Resolution Conf. 12.11 und der dazugehörigen Beschlussentwürfe.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Anhang 5: Vorschlag für neue CITES-Standard-Nomenklaturreferenzen für Vögel (Klasse Aves) </w:t>
            </w:r>
            <w:r>
              <w:rPr>
                <w:rFonts w:eastAsia="Times New Roman"/>
                <w:noProof/>
                <w:color w:val="000000" w:themeColor="text1"/>
                <w:sz w:val="20"/>
                <w:szCs w:val="20"/>
              </w:rPr>
              <w:br/>
            </w:r>
            <w:r>
              <w:rPr>
                <w:noProof/>
                <w:color w:val="000000" w:themeColor="text1"/>
                <w:sz w:val="20"/>
                <w:u w:val="single"/>
              </w:rPr>
              <w:t>CoP18 Doc. 99 A5</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Kenntnisnahme des Berichts des Beraters über Standard-Nomenklaturreferenzen für Vögel.</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3731" w:type="dxa"/>
            <w:gridSpan w:val="4"/>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Anhang 6: Vorgeschlagene Änderungen in der veröffentlichten Literatur zur Nomenklatur von CITES-gelisteten Tierarten, für die der Tierausschuss zum Zeitpunkt der Einreichung des Dokuments für die CoP18 noch keine Empfehlung zur Annahme oder Ablehnung für d</w:t>
            </w:r>
            <w:r>
              <w:rPr>
                <w:noProof/>
                <w:color w:val="000000" w:themeColor="text1"/>
                <w:sz w:val="20"/>
              </w:rPr>
              <w:t xml:space="preserve">ie Zwecke von CITES abgegeben hat </w:t>
            </w:r>
            <w:r>
              <w:rPr>
                <w:rFonts w:eastAsia="Times New Roman"/>
                <w:noProof/>
                <w:color w:val="000000" w:themeColor="text1"/>
                <w:sz w:val="20"/>
                <w:szCs w:val="20"/>
              </w:rPr>
              <w:br/>
            </w:r>
            <w:r>
              <w:rPr>
                <w:noProof/>
                <w:color w:val="000000" w:themeColor="text1"/>
                <w:sz w:val="20"/>
                <w:u w:val="single"/>
              </w:rPr>
              <w:t>CoP18 Doc. 99 A6</w:t>
            </w:r>
          </w:p>
        </w:tc>
        <w:tc>
          <w:tcPr>
            <w:tcW w:w="1423" w:type="dxa"/>
            <w:tcMar>
              <w:top w:w="60" w:type="dxa"/>
              <w:left w:w="135" w:type="dxa"/>
              <w:bottom w:w="60" w:type="dxa"/>
              <w:right w:w="135" w:type="dxa"/>
            </w:tcMar>
            <w:vAlign w:val="center"/>
            <w:hideMark/>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tcPr>
          <w:p w:rsidR="004118C6" w:rsidRDefault="004118C6">
            <w:pPr>
              <w:spacing w:before="0" w:after="0" w:line="240" w:lineRule="atLeast"/>
              <w:jc w:val="left"/>
              <w:rPr>
                <w:rFonts w:eastAsia="Times New Roman"/>
                <w:noProof/>
                <w:color w:val="000000" w:themeColor="text1"/>
                <w:sz w:val="20"/>
                <w:szCs w:val="20"/>
              </w:rPr>
            </w:pP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100.</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Aufnahme von Arten in </w:t>
            </w:r>
            <w:r>
              <w:rPr>
                <w:b/>
                <w:noProof/>
                <w:color w:val="000000" w:themeColor="text1"/>
                <w:sz w:val="20"/>
              </w:rPr>
              <w:t>Anhang III</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i/>
                <w:noProof/>
                <w:color w:val="000000" w:themeColor="text1"/>
                <w:sz w:val="20"/>
                <w:szCs w:val="20"/>
              </w:rPr>
            </w:pPr>
            <w:r>
              <w:rPr>
                <w:i/>
                <w:noProof/>
                <w:color w:val="000000" w:themeColor="text1"/>
                <w:sz w:val="20"/>
              </w:rPr>
              <w:t>Dokument war am 1. März noch nicht verfügbar.</w:t>
            </w:r>
          </w:p>
        </w:tc>
        <w:tc>
          <w:tcPr>
            <w:tcW w:w="992" w:type="dxa"/>
            <w:tcMar>
              <w:top w:w="60" w:type="dxa"/>
              <w:left w:w="135" w:type="dxa"/>
              <w:bottom w:w="60" w:type="dxa"/>
              <w:right w:w="135" w:type="dxa"/>
            </w:tcMar>
            <w:vAlign w:val="center"/>
            <w:hideMark/>
          </w:tcPr>
          <w:p w:rsidR="004118C6" w:rsidRDefault="00D15C59">
            <w:pPr>
              <w:spacing w:before="0" w:after="0" w:line="240" w:lineRule="atLeast"/>
              <w:rPr>
                <w:rFonts w:eastAsia="Times New Roman"/>
                <w:b/>
                <w:noProof/>
                <w:color w:val="000000" w:themeColor="text1"/>
                <w:sz w:val="20"/>
                <w:szCs w:val="20"/>
              </w:rPr>
            </w:pPr>
            <w:r>
              <w:rPr>
                <w:b/>
                <w:noProof/>
                <w:color w:val="000000" w:themeColor="text1"/>
                <w:sz w:val="20"/>
              </w:rPr>
              <w:t> </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101.</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b/>
                <w:noProof/>
                <w:color w:val="000000" w:themeColor="text1"/>
                <w:sz w:val="20"/>
              </w:rPr>
              <w:t>Anmerkungen</w:t>
            </w:r>
            <w:r>
              <w:rPr>
                <w:noProof/>
                <w:color w:val="000000" w:themeColor="text1"/>
                <w:sz w:val="20"/>
              </w:rPr>
              <w:t xml:space="preserve"> </w:t>
            </w:r>
            <w:r>
              <w:rPr>
                <w:rFonts w:eastAsia="Times New Roman"/>
                <w:noProof/>
                <w:color w:val="000000" w:themeColor="text1"/>
                <w:sz w:val="20"/>
                <w:szCs w:val="20"/>
              </w:rPr>
              <w:br/>
            </w:r>
            <w:r>
              <w:rPr>
                <w:noProof/>
                <w:color w:val="000000" w:themeColor="text1"/>
                <w:sz w:val="20"/>
                <w:u w:val="single"/>
              </w:rPr>
              <w:t>CoP18 Doc. 101</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 xml:space="preserve">Zustimmung zur vorgeschlagenen Änderung der Resolution Conf. 11.21 (Rev. </w:t>
            </w:r>
            <w:r>
              <w:rPr>
                <w:noProof/>
                <w:color w:val="000000" w:themeColor="text1"/>
                <w:sz w:val="20"/>
              </w:rPr>
              <w:t>CoP17), zur Überarbeitung des Absatzes 7 des Abschnitts über die Auslegung der CITES-Anhänge und zu den in Anhang 4 enthaltenen Beschlussentwürfen. Zustimmung zu den vorgeschlagenen Änderungen des Beschlusses 16.162 (Rev. CoP17), aber je nach Ergebnissen z</w:t>
            </w:r>
            <w:r>
              <w:rPr>
                <w:noProof/>
                <w:color w:val="000000" w:themeColor="text1"/>
                <w:sz w:val="20"/>
              </w:rPr>
              <w:t>ur Anmerkung #15 offen für mögliche Änderungen.</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102.</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Anmerkungen zu </w:t>
            </w:r>
            <w:r>
              <w:rPr>
                <w:b/>
                <w:noProof/>
                <w:color w:val="000000" w:themeColor="text1"/>
                <w:sz w:val="20"/>
              </w:rPr>
              <w:t>Orchideen</w:t>
            </w:r>
            <w:r>
              <w:rPr>
                <w:noProof/>
                <w:color w:val="000000" w:themeColor="text1"/>
                <w:sz w:val="20"/>
              </w:rPr>
              <w:t xml:space="preserve"> in Anhang II </w:t>
            </w:r>
            <w:r>
              <w:rPr>
                <w:noProof/>
                <w:color w:val="000000" w:themeColor="text1"/>
                <w:sz w:val="20"/>
                <w:u w:val="single"/>
              </w:rPr>
              <w:t>CoP18 Doc. 102</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zum Entwurf der Definition des Begriffs „Kosmetik“ und Annahme der vorgeschlagenen Beschlüsse.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Pr>
        <w:tc>
          <w:tcPr>
            <w:tcW w:w="0" w:type="auto"/>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103.</w:t>
            </w:r>
          </w:p>
        </w:tc>
        <w:tc>
          <w:tcPr>
            <w:tcW w:w="3731" w:type="dxa"/>
            <w:gridSpan w:val="4"/>
            <w:shd w:val="clear" w:color="auto" w:fill="auto"/>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Leitlinien für die </w:t>
            </w:r>
            <w:r>
              <w:rPr>
                <w:b/>
                <w:noProof/>
                <w:color w:val="000000" w:themeColor="text1"/>
                <w:sz w:val="20"/>
              </w:rPr>
              <w:t>Veröffentlichung</w:t>
            </w:r>
            <w:r>
              <w:rPr>
                <w:noProof/>
                <w:color w:val="000000" w:themeColor="text1"/>
                <w:sz w:val="20"/>
              </w:rPr>
              <w:t xml:space="preserve"> der Anhänge </w:t>
            </w:r>
            <w:r>
              <w:rPr>
                <w:rFonts w:eastAsia="Times New Roman"/>
                <w:noProof/>
                <w:color w:val="000000" w:themeColor="text1"/>
                <w:sz w:val="20"/>
                <w:szCs w:val="20"/>
              </w:rPr>
              <w:br/>
            </w:r>
            <w:r>
              <w:rPr>
                <w:noProof/>
                <w:color w:val="000000" w:themeColor="text1"/>
                <w:sz w:val="20"/>
                <w:u w:val="single"/>
              </w:rPr>
              <w:t>CoP18 Doc. 103</w:t>
            </w:r>
          </w:p>
        </w:tc>
        <w:tc>
          <w:tcPr>
            <w:tcW w:w="1423" w:type="dxa"/>
            <w:shd w:val="clear" w:color="auto" w:fill="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CA</w:t>
            </w:r>
          </w:p>
        </w:tc>
        <w:tc>
          <w:tcPr>
            <w:tcW w:w="2410" w:type="dxa"/>
            <w:shd w:val="clear" w:color="auto" w:fill="auto"/>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Die Notwendigkeit der vorgeschlagenen Leitlinien für Anmerkungen prüfen, auch mit Blick auf die noch ausstehenden Kommentare des Sekretariats.</w:t>
            </w:r>
          </w:p>
        </w:tc>
        <w:tc>
          <w:tcPr>
            <w:tcW w:w="992" w:type="dxa"/>
            <w:shd w:val="clear" w:color="auto" w:fill="auto"/>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0</w:t>
            </w:r>
          </w:p>
        </w:tc>
      </w:tr>
      <w:tr w:rsidR="004118C6">
        <w:trPr>
          <w:cantSplit/>
        </w:trPr>
        <w:tc>
          <w:tcPr>
            <w:tcW w:w="0" w:type="auto"/>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104.</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Überprüfung der Resolution Conf. 10.9 über die </w:t>
            </w:r>
            <w:r>
              <w:rPr>
                <w:i/>
                <w:noProof/>
                <w:color w:val="000000" w:themeColor="text1"/>
                <w:sz w:val="20"/>
              </w:rPr>
              <w:t xml:space="preserve">Berücksichtigung von Vorschlägen zur Übertragung der </w:t>
            </w:r>
            <w:r>
              <w:rPr>
                <w:b/>
                <w:i/>
                <w:noProof/>
                <w:color w:val="000000" w:themeColor="text1"/>
                <w:sz w:val="20"/>
              </w:rPr>
              <w:t>Populationen des Afrikanischen Elefanten von Anhang I nach Anhang II</w:t>
            </w:r>
            <w:r>
              <w:rPr>
                <w:i/>
                <w:noProof/>
                <w:color w:val="000000" w:themeColor="text1"/>
                <w:sz w:val="20"/>
              </w:rPr>
              <w:t xml:space="preserve"> </w:t>
            </w:r>
            <w:r>
              <w:rPr>
                <w:rFonts w:eastAsia="Times New Roman"/>
                <w:i/>
                <w:iCs/>
                <w:noProof/>
                <w:color w:val="000000" w:themeColor="text1"/>
                <w:sz w:val="20"/>
                <w:szCs w:val="20"/>
              </w:rPr>
              <w:br/>
            </w:r>
            <w:r>
              <w:rPr>
                <w:noProof/>
                <w:color w:val="000000" w:themeColor="text1"/>
                <w:sz w:val="20"/>
                <w:u w:val="single"/>
              </w:rPr>
              <w:t>CoP18 Doc. 104</w:t>
            </w:r>
          </w:p>
        </w:tc>
        <w:tc>
          <w:tcPr>
            <w:tcW w:w="1423"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SC</w:t>
            </w:r>
          </w:p>
        </w:tc>
        <w:tc>
          <w:tcPr>
            <w:tcW w:w="2410" w:type="dxa"/>
            <w:tcMar>
              <w:top w:w="60" w:type="dxa"/>
              <w:left w:w="135" w:type="dxa"/>
              <w:bottom w:w="60" w:type="dxa"/>
              <w:right w:w="135" w:type="dxa"/>
            </w:tcMar>
            <w:vAlign w:val="center"/>
          </w:tcPr>
          <w:p w:rsidR="004118C6" w:rsidRDefault="00D15C59">
            <w:pPr>
              <w:spacing w:before="0" w:after="0"/>
              <w:jc w:val="left"/>
              <w:rPr>
                <w:rFonts w:eastAsia="Times New Roman"/>
                <w:noProof/>
                <w:color w:val="000000" w:themeColor="text1"/>
                <w:sz w:val="20"/>
                <w:szCs w:val="20"/>
              </w:rPr>
            </w:pPr>
            <w:r>
              <w:rPr>
                <w:noProof/>
                <w:color w:val="000000" w:themeColor="text1"/>
                <w:sz w:val="20"/>
              </w:rPr>
              <w:t>Zustimmung zur vorgeschlagenen Aufhebung der Resolution und zur Streichung dazugehöriger Beschlüsse.</w:t>
            </w:r>
          </w:p>
        </w:tc>
        <w:tc>
          <w:tcPr>
            <w:tcW w:w="992" w:type="dxa"/>
            <w:tcMar>
              <w:top w:w="60" w:type="dxa"/>
              <w:left w:w="135" w:type="dxa"/>
              <w:bottom w:w="60" w:type="dxa"/>
              <w:right w:w="135" w:type="dxa"/>
            </w:tcMar>
            <w:vAlign w:val="center"/>
            <w:hideMark/>
          </w:tcPr>
          <w:p w:rsidR="004118C6" w:rsidRDefault="00D15C59">
            <w:pPr>
              <w:spacing w:before="0" w:after="0" w:line="240" w:lineRule="atLeast"/>
              <w:jc w:val="center"/>
              <w:rPr>
                <w:rFonts w:eastAsia="Times New Roman"/>
                <w:b/>
                <w:noProof/>
                <w:color w:val="000000" w:themeColor="text1"/>
                <w:sz w:val="20"/>
                <w:szCs w:val="20"/>
              </w:rPr>
            </w:pPr>
            <w:r>
              <w:rPr>
                <w:b/>
                <w:noProof/>
                <w:color w:val="000000" w:themeColor="text1"/>
                <w:sz w:val="20"/>
              </w:rPr>
              <w:t>+</w:t>
            </w:r>
          </w:p>
        </w:tc>
      </w:tr>
      <w:tr w:rsidR="004118C6">
        <w:trPr>
          <w:cantSplit/>
          <w:trHeight w:val="326"/>
        </w:trPr>
        <w:tc>
          <w:tcPr>
            <w:tcW w:w="9207" w:type="dxa"/>
            <w:gridSpan w:val="8"/>
            <w:tcMar>
              <w:top w:w="60" w:type="dxa"/>
              <w:left w:w="135" w:type="dxa"/>
              <w:bottom w:w="60" w:type="dxa"/>
              <w:right w:w="135" w:type="dxa"/>
            </w:tcMar>
            <w:hideMark/>
          </w:tcPr>
          <w:p w:rsidR="004118C6" w:rsidRDefault="00D15C59">
            <w:pPr>
              <w:keepNext/>
              <w:spacing w:before="0" w:after="0"/>
              <w:jc w:val="left"/>
              <w:rPr>
                <w:rFonts w:eastAsia="Times New Roman"/>
                <w:b/>
                <w:bCs/>
                <w:noProof/>
                <w:color w:val="000000" w:themeColor="text1"/>
                <w:sz w:val="20"/>
                <w:szCs w:val="20"/>
              </w:rPr>
            </w:pPr>
            <w:r>
              <w:rPr>
                <w:b/>
                <w:noProof/>
                <w:color w:val="000000" w:themeColor="text1"/>
                <w:sz w:val="20"/>
              </w:rPr>
              <w:t xml:space="preserve">Vorschläge </w:t>
            </w:r>
            <w:r>
              <w:rPr>
                <w:b/>
                <w:noProof/>
                <w:color w:val="000000" w:themeColor="text1"/>
                <w:sz w:val="20"/>
              </w:rPr>
              <w:t>zur Änderung der Anhänge</w:t>
            </w:r>
          </w:p>
        </w:tc>
      </w:tr>
      <w:tr w:rsidR="004118C6">
        <w:trPr>
          <w:cantSplit/>
        </w:trPr>
        <w:tc>
          <w:tcPr>
            <w:tcW w:w="651"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105.</w:t>
            </w:r>
          </w:p>
        </w:tc>
        <w:tc>
          <w:tcPr>
            <w:tcW w:w="3731" w:type="dxa"/>
            <w:gridSpan w:val="4"/>
            <w:tcMar>
              <w:top w:w="60" w:type="dxa"/>
              <w:left w:w="135" w:type="dxa"/>
              <w:bottom w:w="60" w:type="dxa"/>
              <w:right w:w="135" w:type="dxa"/>
            </w:tcMar>
            <w:vAlign w:val="center"/>
            <w:hideMark/>
          </w:tcPr>
          <w:p w:rsidR="004118C6" w:rsidRDefault="00D15C59">
            <w:pPr>
              <w:keepNext/>
              <w:spacing w:before="0" w:after="0" w:line="240" w:lineRule="atLeast"/>
              <w:jc w:val="left"/>
              <w:rPr>
                <w:rFonts w:eastAsia="Times New Roman"/>
                <w:noProof/>
                <w:color w:val="000000" w:themeColor="text1"/>
                <w:sz w:val="20"/>
                <w:szCs w:val="20"/>
              </w:rPr>
            </w:pPr>
            <w:r>
              <w:rPr>
                <w:noProof/>
                <w:color w:val="000000" w:themeColor="text1"/>
                <w:sz w:val="20"/>
              </w:rPr>
              <w:t>Änderungsvorschläge zu den Anhängen I und II</w:t>
            </w:r>
          </w:p>
        </w:tc>
        <w:tc>
          <w:tcPr>
            <w:tcW w:w="1423" w:type="dxa"/>
            <w:tcMar>
              <w:top w:w="60" w:type="dxa"/>
              <w:left w:w="135" w:type="dxa"/>
              <w:bottom w:w="60" w:type="dxa"/>
              <w:right w:w="135" w:type="dxa"/>
            </w:tcMar>
            <w:vAlign w:val="center"/>
            <w:hideMark/>
          </w:tcPr>
          <w:p w:rsidR="004118C6" w:rsidRDefault="00D15C59">
            <w:pPr>
              <w:keepNext/>
              <w:spacing w:before="0" w:after="0" w:line="240" w:lineRule="atLeast"/>
              <w:rPr>
                <w:rFonts w:eastAsia="Times New Roman"/>
                <w:noProof/>
                <w:color w:val="000000" w:themeColor="text1"/>
                <w:sz w:val="20"/>
                <w:szCs w:val="20"/>
              </w:rPr>
            </w:pPr>
            <w:r>
              <w:rPr>
                <w:noProof/>
                <w:color w:val="000000" w:themeColor="text1"/>
                <w:sz w:val="20"/>
              </w:rPr>
              <w:t> </w:t>
            </w:r>
          </w:p>
        </w:tc>
        <w:tc>
          <w:tcPr>
            <w:tcW w:w="2410" w:type="dxa"/>
            <w:tcMar>
              <w:top w:w="60" w:type="dxa"/>
              <w:left w:w="135" w:type="dxa"/>
              <w:bottom w:w="60" w:type="dxa"/>
              <w:right w:w="135" w:type="dxa"/>
            </w:tcMar>
            <w:vAlign w:val="center"/>
            <w:hideMark/>
          </w:tcPr>
          <w:p w:rsidR="004118C6" w:rsidRDefault="00D15C59">
            <w:pPr>
              <w:keepNext/>
              <w:spacing w:before="0" w:after="0"/>
              <w:jc w:val="left"/>
              <w:rPr>
                <w:rFonts w:eastAsia="Times New Roman"/>
                <w:i/>
                <w:noProof/>
                <w:color w:val="000000" w:themeColor="text1"/>
                <w:sz w:val="20"/>
                <w:szCs w:val="20"/>
              </w:rPr>
            </w:pPr>
            <w:r>
              <w:rPr>
                <w:i/>
                <w:noProof/>
                <w:color w:val="000000" w:themeColor="text1"/>
                <w:sz w:val="20"/>
              </w:rPr>
              <w:t>Vorschläge für die Aufnahme in die Listen werden in Teil 2 dieses Dokuments behandelt.</w:t>
            </w:r>
          </w:p>
        </w:tc>
        <w:tc>
          <w:tcPr>
            <w:tcW w:w="992" w:type="dxa"/>
            <w:tcMar>
              <w:top w:w="60" w:type="dxa"/>
              <w:left w:w="135" w:type="dxa"/>
              <w:bottom w:w="60" w:type="dxa"/>
              <w:right w:w="135" w:type="dxa"/>
            </w:tcMar>
            <w:vAlign w:val="center"/>
            <w:hideMark/>
          </w:tcPr>
          <w:p w:rsidR="004118C6" w:rsidRDefault="004118C6">
            <w:pPr>
              <w:keepNext/>
              <w:spacing w:before="0" w:after="0" w:line="240" w:lineRule="atLeast"/>
              <w:jc w:val="center"/>
              <w:rPr>
                <w:rFonts w:eastAsia="Times New Roman"/>
                <w:b/>
                <w:noProof/>
                <w:color w:val="000000" w:themeColor="text1"/>
                <w:sz w:val="20"/>
                <w:szCs w:val="20"/>
              </w:rPr>
            </w:pPr>
          </w:p>
        </w:tc>
      </w:tr>
      <w:tr w:rsidR="004118C6">
        <w:trPr>
          <w:cantSplit/>
        </w:trPr>
        <w:tc>
          <w:tcPr>
            <w:tcW w:w="9207" w:type="dxa"/>
            <w:gridSpan w:val="8"/>
            <w:tcMar>
              <w:top w:w="60" w:type="dxa"/>
              <w:left w:w="135" w:type="dxa"/>
              <w:bottom w:w="60" w:type="dxa"/>
              <w:right w:w="135" w:type="dxa"/>
            </w:tcMar>
            <w:hideMark/>
          </w:tcPr>
          <w:p w:rsidR="004118C6" w:rsidRDefault="00D15C59">
            <w:pPr>
              <w:keepNext/>
              <w:spacing w:before="0" w:after="0"/>
              <w:jc w:val="left"/>
              <w:rPr>
                <w:rFonts w:eastAsia="Times New Roman"/>
                <w:b/>
                <w:bCs/>
                <w:noProof/>
                <w:color w:val="000000" w:themeColor="text1"/>
                <w:sz w:val="20"/>
                <w:szCs w:val="20"/>
              </w:rPr>
            </w:pPr>
            <w:r>
              <w:rPr>
                <w:b/>
                <w:noProof/>
                <w:color w:val="000000" w:themeColor="text1"/>
                <w:sz w:val="20"/>
              </w:rPr>
              <w:t>Beendigung der Tagung</w:t>
            </w:r>
          </w:p>
        </w:tc>
      </w:tr>
      <w:tr w:rsidR="004118C6">
        <w:trPr>
          <w:cantSplit/>
        </w:trPr>
        <w:tc>
          <w:tcPr>
            <w:tcW w:w="651"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106.</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 xml:space="preserve">Festlegung von Zeit und Ort der nächsten ordentlichen Tagung </w:t>
            </w:r>
            <w:r>
              <w:rPr>
                <w:noProof/>
                <w:color w:val="000000" w:themeColor="text1"/>
                <w:sz w:val="20"/>
              </w:rPr>
              <w:t>der Konferenz der Vertragsparteien (kein Dokument)</w:t>
            </w: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Kein Dokument</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r w:rsidR="004118C6">
        <w:trPr>
          <w:cantSplit/>
        </w:trPr>
        <w:tc>
          <w:tcPr>
            <w:tcW w:w="651" w:type="dxa"/>
            <w:tcMar>
              <w:top w:w="60" w:type="dxa"/>
              <w:left w:w="135" w:type="dxa"/>
              <w:bottom w:w="60" w:type="dxa"/>
              <w:right w:w="135" w:type="dxa"/>
            </w:tcMar>
            <w:vAlign w:val="center"/>
            <w:hideMark/>
          </w:tcPr>
          <w:p w:rsidR="004118C6" w:rsidRDefault="00D15C59">
            <w:pPr>
              <w:spacing w:before="0" w:after="0" w:line="240" w:lineRule="atLeast"/>
              <w:rPr>
                <w:rFonts w:eastAsia="Times New Roman"/>
                <w:noProof/>
                <w:color w:val="000000" w:themeColor="text1"/>
                <w:sz w:val="20"/>
                <w:szCs w:val="20"/>
              </w:rPr>
            </w:pPr>
            <w:r>
              <w:rPr>
                <w:noProof/>
                <w:color w:val="000000" w:themeColor="text1"/>
                <w:sz w:val="20"/>
              </w:rPr>
              <w:t>107.</w:t>
            </w:r>
          </w:p>
        </w:tc>
        <w:tc>
          <w:tcPr>
            <w:tcW w:w="3731" w:type="dxa"/>
            <w:gridSpan w:val="4"/>
            <w:tcMar>
              <w:top w:w="60" w:type="dxa"/>
              <w:left w:w="135" w:type="dxa"/>
              <w:bottom w:w="60" w:type="dxa"/>
              <w:right w:w="135" w:type="dxa"/>
            </w:tcMar>
            <w:vAlign w:val="center"/>
            <w:hideMark/>
          </w:tcPr>
          <w:p w:rsidR="004118C6" w:rsidRDefault="00D15C59">
            <w:pPr>
              <w:spacing w:before="0" w:after="0" w:line="240" w:lineRule="atLeast"/>
              <w:jc w:val="left"/>
              <w:rPr>
                <w:rFonts w:eastAsia="Times New Roman"/>
                <w:noProof/>
                <w:color w:val="000000" w:themeColor="text1"/>
                <w:sz w:val="20"/>
                <w:szCs w:val="20"/>
              </w:rPr>
            </w:pPr>
            <w:r>
              <w:rPr>
                <w:noProof/>
                <w:color w:val="000000" w:themeColor="text1"/>
                <w:sz w:val="20"/>
              </w:rPr>
              <w:t>Schlussbemerkungen (Beobachter, Vertragsparteien, CITES-Generalsekretär, Regierung des Gastgeberlandes) (kein Dokument)</w:t>
            </w:r>
          </w:p>
        </w:tc>
        <w:tc>
          <w:tcPr>
            <w:tcW w:w="1423" w:type="dxa"/>
            <w:tcMar>
              <w:top w:w="60" w:type="dxa"/>
              <w:left w:w="135" w:type="dxa"/>
              <w:bottom w:w="60" w:type="dxa"/>
              <w:right w:w="135" w:type="dxa"/>
            </w:tcMar>
            <w:vAlign w:val="center"/>
          </w:tcPr>
          <w:p w:rsidR="004118C6" w:rsidRDefault="004118C6">
            <w:pPr>
              <w:spacing w:before="0" w:after="0" w:line="240" w:lineRule="atLeast"/>
              <w:rPr>
                <w:rFonts w:eastAsia="Times New Roman"/>
                <w:noProof/>
                <w:color w:val="000000" w:themeColor="text1"/>
                <w:sz w:val="20"/>
                <w:szCs w:val="20"/>
              </w:rPr>
            </w:pPr>
          </w:p>
        </w:tc>
        <w:tc>
          <w:tcPr>
            <w:tcW w:w="2410" w:type="dxa"/>
            <w:tcMar>
              <w:top w:w="60" w:type="dxa"/>
              <w:left w:w="135" w:type="dxa"/>
              <w:bottom w:w="60" w:type="dxa"/>
              <w:right w:w="135" w:type="dxa"/>
            </w:tcMar>
            <w:vAlign w:val="center"/>
            <w:hideMark/>
          </w:tcPr>
          <w:p w:rsidR="004118C6" w:rsidRDefault="00D15C59">
            <w:pPr>
              <w:spacing w:before="0" w:after="0"/>
              <w:jc w:val="left"/>
              <w:rPr>
                <w:rFonts w:eastAsia="Times New Roman"/>
                <w:noProof/>
                <w:color w:val="000000" w:themeColor="text1"/>
                <w:sz w:val="20"/>
                <w:szCs w:val="20"/>
              </w:rPr>
            </w:pPr>
            <w:r>
              <w:rPr>
                <w:noProof/>
                <w:color w:val="000000" w:themeColor="text1"/>
                <w:sz w:val="20"/>
              </w:rPr>
              <w:t> Kein Dokument</w:t>
            </w:r>
          </w:p>
        </w:tc>
        <w:tc>
          <w:tcPr>
            <w:tcW w:w="992" w:type="dxa"/>
            <w:tcMar>
              <w:top w:w="60" w:type="dxa"/>
              <w:left w:w="135" w:type="dxa"/>
              <w:bottom w:w="60" w:type="dxa"/>
              <w:right w:w="135" w:type="dxa"/>
            </w:tcMar>
            <w:vAlign w:val="center"/>
            <w:hideMark/>
          </w:tcPr>
          <w:p w:rsidR="004118C6" w:rsidRDefault="004118C6">
            <w:pPr>
              <w:spacing w:before="0" w:after="0" w:line="240" w:lineRule="atLeast"/>
              <w:jc w:val="center"/>
              <w:rPr>
                <w:rFonts w:eastAsia="Times New Roman"/>
                <w:b/>
                <w:noProof/>
                <w:color w:val="000000" w:themeColor="text1"/>
                <w:sz w:val="20"/>
                <w:szCs w:val="20"/>
              </w:rPr>
            </w:pPr>
          </w:p>
        </w:tc>
      </w:tr>
    </w:tbl>
    <w:p w:rsidR="004118C6" w:rsidRDefault="00D15C59">
      <w:pPr>
        <w:rPr>
          <w:noProof/>
          <w:color w:val="000000" w:themeColor="text1"/>
          <w:szCs w:val="24"/>
          <w:highlight w:val="yellow"/>
        </w:rPr>
      </w:pPr>
      <w:r>
        <w:rPr>
          <w:noProof/>
        </w:rPr>
        <w:br w:type="page"/>
      </w:r>
    </w:p>
    <w:p w:rsidR="004118C6" w:rsidRDefault="00D15C59">
      <w:pPr>
        <w:pStyle w:val="Heading1"/>
        <w:rPr>
          <w:noProof/>
        </w:rPr>
      </w:pPr>
      <w:r>
        <w:rPr>
          <w:noProof/>
        </w:rPr>
        <w:t>Vorschläge für Listungsänderungen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985"/>
        <w:gridCol w:w="1702"/>
        <w:gridCol w:w="2179"/>
        <w:gridCol w:w="905"/>
      </w:tblGrid>
      <w:tr w:rsidR="004118C6">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Taxon/Einzelheiten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Vorschlag</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Antragsteller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Bemerkungen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b/>
                <w:noProof/>
                <w:color w:val="000000" w:themeColor="text1"/>
                <w:sz w:val="20"/>
                <w:szCs w:val="20"/>
              </w:rPr>
            </w:pPr>
            <w:r>
              <w:rPr>
                <w:b/>
                <w:noProof/>
                <w:color w:val="000000" w:themeColor="text1"/>
                <w:sz w:val="20"/>
              </w:rPr>
              <w:t>Standpunkt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Capra falconeri heptneri </w:t>
            </w:r>
            <w:r>
              <w:rPr>
                <w:rFonts w:eastAsia="Times New Roman"/>
                <w:i/>
                <w:iCs/>
                <w:noProof/>
                <w:color w:val="000000" w:themeColor="text1"/>
                <w:sz w:val="20"/>
                <w:szCs w:val="20"/>
              </w:rPr>
              <w:br/>
            </w:r>
            <w:r>
              <w:rPr>
                <w:rStyle w:val="Bodytext2"/>
                <w:rFonts w:ascii="Times New Roman" w:hAnsi="Times New Roman"/>
                <w:noProof/>
                <w:color w:val="000000" w:themeColor="text1"/>
                <w:sz w:val="20"/>
              </w:rPr>
              <w:t>((Heptners-)Markhor)</w:t>
            </w:r>
            <w:r>
              <w:rPr>
                <w:rStyle w:val="Bodytext2"/>
                <w:rFonts w:ascii="Times New Roman" w:hAnsi="Times New Roman" w:cs="Times New Roman"/>
                <w:noProof/>
                <w:color w:val="000000" w:themeColor="text1"/>
                <w:sz w:val="20"/>
                <w:szCs w:val="20"/>
              </w:rPr>
              <w:br/>
            </w:r>
            <w:r>
              <w:rPr>
                <w:noProof/>
                <w:color w:val="000000" w:themeColor="text1"/>
                <w:sz w:val="20"/>
              </w:rPr>
              <w:t>(Population von Tadschikistan)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der tadschikischen Population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Tadschikistan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Die Population </w:t>
            </w:r>
            <w:r>
              <w:rPr>
                <w:noProof/>
                <w:color w:val="000000" w:themeColor="text1"/>
                <w:sz w:val="20"/>
              </w:rPr>
              <w:t>scheint größer zu werden und mit dem Jagdmanagement gemäß den CITES-Bestimmungen für Arten in Anhang I wurden Einnahmen erzielt, die zurück in die lokalen Gemeinschaften und die Bestandserhaltung fließen. Der Vorschlag enthält jedoch keine stichhaltigen Be</w:t>
            </w:r>
            <w:r>
              <w:rPr>
                <w:noProof/>
                <w:color w:val="000000" w:themeColor="text1"/>
                <w:sz w:val="20"/>
              </w:rPr>
              <w:t>lege dafür, dass die Vorsichtsmaßnahmen in Anhang 4 der Resolution Conf. 9.24 eingehalten werden; eine Herabstufung würde zu einem Anstieg des Handelsvolumens führen, ohne zu gewährleisten, dass die Einnahmen in die Bestandserhaltung zurückfließen. Die IUC</w:t>
            </w:r>
            <w:r>
              <w:rPr>
                <w:noProof/>
                <w:color w:val="000000" w:themeColor="text1"/>
                <w:sz w:val="20"/>
              </w:rPr>
              <w:t>N hat empfohlen, das derzeitige Jagdmanagement fortzusetzen und zu stärken.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Saiga tatarica</w:t>
            </w:r>
            <w:r>
              <w:rPr>
                <w:rFonts w:eastAsia="Times New Roman"/>
                <w:i/>
                <w:iCs/>
                <w:noProof/>
                <w:color w:val="000000" w:themeColor="text1"/>
                <w:sz w:val="20"/>
                <w:szCs w:val="20"/>
              </w:rPr>
              <w:br/>
            </w:r>
            <w:r>
              <w:rPr>
                <w:noProof/>
                <w:color w:val="000000" w:themeColor="text1"/>
                <w:sz w:val="20"/>
              </w:rPr>
              <w:t>(Saiga-Antilope)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Mongolei, </w:t>
            </w:r>
            <w:r>
              <w:rPr>
                <w:rFonts w:eastAsia="Times New Roman"/>
                <w:noProof/>
                <w:color w:val="000000" w:themeColor="text1"/>
                <w:sz w:val="20"/>
                <w:szCs w:val="20"/>
              </w:rPr>
              <w:br/>
            </w:r>
            <w:r>
              <w:rPr>
                <w:noProof/>
                <w:color w:val="000000" w:themeColor="text1"/>
                <w:sz w:val="20"/>
              </w:rPr>
              <w:t xml:space="preserve">Vereinigte Staaten von Amerika </w:t>
            </w:r>
          </w:p>
          <w:p w:rsidR="004118C6" w:rsidRDefault="004118C6">
            <w:pPr>
              <w:spacing w:after="0"/>
              <w:jc w:val="left"/>
              <w:rPr>
                <w:rFonts w:eastAsia="Times New Roman"/>
                <w:noProof/>
                <w:color w:val="000000" w:themeColor="text1"/>
                <w:sz w:val="20"/>
                <w:szCs w:val="20"/>
              </w:rPr>
            </w:pP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Weitere Analyse und Klärung der taxonomischen Fragen notwendig, u. a. ob eine Nomenklatur, die von der durch die Konferenz der CITES-Vertragsparteien angenommenen Standard-Nomenklatur abweicht, in den Vorschlägen für die Aufnahme in die Listen verwendet we</w:t>
            </w:r>
            <w:r>
              <w:rPr>
                <w:noProof/>
                <w:color w:val="000000" w:themeColor="text1"/>
                <w:sz w:val="20"/>
              </w:rPr>
              <w:t>rden kann (siehe Resolution 9.24 Anhang 6 Abschnitt C Nummer 1.4). Im Vorschlag werden alle neu klassifizierten Arten der Saiga-Antilopen im Einklang mit der Roten Liste der IUCN als eine Art angesehen. Bei der derzeit gültigen taxonomischen CITES-Referenz</w:t>
            </w:r>
            <w:r>
              <w:rPr>
                <w:noProof/>
                <w:color w:val="000000" w:themeColor="text1"/>
                <w:sz w:val="20"/>
              </w:rPr>
              <w:t xml:space="preserve"> werden die mongolischen Populationen jedoch als </w:t>
            </w:r>
            <w:r>
              <w:rPr>
                <w:i/>
                <w:noProof/>
                <w:color w:val="000000" w:themeColor="text1"/>
                <w:sz w:val="20"/>
              </w:rPr>
              <w:t>S. borealis</w:t>
            </w:r>
            <w:r>
              <w:rPr>
                <w:noProof/>
                <w:color w:val="000000" w:themeColor="text1"/>
                <w:sz w:val="20"/>
              </w:rPr>
              <w:t xml:space="preserve"> abgegrenzt. Daher scheint die mongolische Population </w:t>
            </w:r>
            <w:r>
              <w:rPr>
                <w:i/>
                <w:noProof/>
                <w:color w:val="000000" w:themeColor="text1"/>
                <w:sz w:val="20"/>
              </w:rPr>
              <w:t>S. borealis</w:t>
            </w:r>
            <w:r>
              <w:rPr>
                <w:noProof/>
                <w:color w:val="000000" w:themeColor="text1"/>
                <w:sz w:val="20"/>
              </w:rPr>
              <w:t xml:space="preserve"> nicht von dem Vorschlag erfasst zu werden. In einem solchen Fall sollte der Vorschlag abgelehnt werden, um mögliche negative Auswi</w:t>
            </w:r>
            <w:r>
              <w:rPr>
                <w:noProof/>
                <w:color w:val="000000" w:themeColor="text1"/>
                <w:sz w:val="20"/>
              </w:rPr>
              <w:t xml:space="preserve">rkungen der Aufnahme von </w:t>
            </w:r>
            <w:r>
              <w:rPr>
                <w:i/>
                <w:noProof/>
                <w:color w:val="000000" w:themeColor="text1"/>
                <w:sz w:val="20"/>
              </w:rPr>
              <w:t>S. tatarica</w:t>
            </w:r>
            <w:r>
              <w:rPr>
                <w:noProof/>
                <w:color w:val="000000" w:themeColor="text1"/>
                <w:sz w:val="20"/>
              </w:rPr>
              <w:t xml:space="preserve"> in Anhang I auf die Population von </w:t>
            </w:r>
            <w:r>
              <w:rPr>
                <w:i/>
                <w:noProof/>
                <w:color w:val="000000" w:themeColor="text1"/>
                <w:sz w:val="20"/>
              </w:rPr>
              <w:t>S. borealis.</w:t>
            </w:r>
            <w:r>
              <w:rPr>
                <w:noProof/>
                <w:color w:val="000000" w:themeColor="text1"/>
                <w:sz w:val="20"/>
              </w:rPr>
              <w:t xml:space="preserve"> zu verhindern.</w:t>
            </w:r>
          </w:p>
          <w:p w:rsidR="004118C6" w:rsidRDefault="00D15C59">
            <w:pPr>
              <w:spacing w:after="0"/>
              <w:jc w:val="left"/>
              <w:rPr>
                <w:noProof/>
                <w:color w:val="000000" w:themeColor="text1"/>
                <w:sz w:val="20"/>
                <w:szCs w:val="20"/>
              </w:rPr>
            </w:pPr>
            <w:r>
              <w:rPr>
                <w:noProof/>
                <w:color w:val="000000" w:themeColor="text1"/>
                <w:sz w:val="20"/>
              </w:rPr>
              <w:t>Wenn durch eine Klarstellung der Nomenklatur die gesamte Gattung auf der CoP18 in die Liste aufgenommen werden kann, sollte die EU in Erwägung ziehen, einen</w:t>
            </w:r>
            <w:r>
              <w:rPr>
                <w:noProof/>
                <w:color w:val="000000" w:themeColor="text1"/>
                <w:sz w:val="20"/>
              </w:rPr>
              <w:t xml:space="preserve"> solchen Vorschlag oder einen geänderten Vorschlag zu unterstützen, mit dem die mongolische Population/</w:t>
            </w:r>
            <w:r>
              <w:rPr>
                <w:i/>
                <w:noProof/>
                <w:color w:val="000000" w:themeColor="text1"/>
                <w:sz w:val="20"/>
              </w:rPr>
              <w:t>S. borealis</w:t>
            </w:r>
            <w:r>
              <w:rPr>
                <w:noProof/>
                <w:color w:val="000000" w:themeColor="text1"/>
                <w:sz w:val="20"/>
              </w:rPr>
              <w:t xml:space="preserve"> in Anhang I aufgenommen wird.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(Population der Provinz Salta)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der Population der Provinz S</w:t>
            </w:r>
            <w:r>
              <w:rPr>
                <w:noProof/>
                <w:color w:val="000000" w:themeColor="text1"/>
                <w:sz w:val="20"/>
              </w:rPr>
              <w:t>alta (Argentinien) von Anhang I nach Anhang II mit Anmerkung 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Argentinien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 xml:space="preserve">Seit 2006 ist die Population signifikant gewachsen, Bestandkontrollen scheinen zufriedenstellend zu sein und 41 % (14 000 km²) des Lebensraums sind geschützt. Die einzige Form der </w:t>
            </w:r>
            <w:r>
              <w:rPr>
                <w:noProof/>
                <w:color w:val="000000" w:themeColor="text1"/>
                <w:sz w:val="20"/>
              </w:rPr>
              <w:t>geplanten Nutzung ist die Scherung frei lebender Exemplare.</w:t>
            </w:r>
          </w:p>
          <w:p w:rsidR="004118C6" w:rsidRDefault="00D15C59">
            <w:pPr>
              <w:spacing w:after="0"/>
              <w:jc w:val="left"/>
              <w:rPr>
                <w:i/>
                <w:noProof/>
                <w:color w:val="000000" w:themeColor="text1"/>
                <w:sz w:val="20"/>
                <w:szCs w:val="20"/>
                <w:highlight w:val="yellow"/>
              </w:rPr>
            </w:pPr>
            <w:r>
              <w:rPr>
                <w:i/>
                <w:noProof/>
                <w:color w:val="000000" w:themeColor="text1"/>
                <w:sz w:val="20"/>
              </w:rPr>
              <w:t>Gemeinsam mit Dokument 91 zu prüfen.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Vicugna vicugna</w:t>
            </w:r>
            <w:r>
              <w:rPr>
                <w:rFonts w:eastAsia="Times New Roman"/>
                <w:i/>
                <w:iCs/>
                <w:noProof/>
                <w:color w:val="000000" w:themeColor="text1"/>
                <w:sz w:val="20"/>
                <w:szCs w:val="20"/>
              </w:rPr>
              <w:br/>
            </w:r>
            <w:r>
              <w:rPr>
                <w:noProof/>
                <w:color w:val="000000" w:themeColor="text1"/>
                <w:sz w:val="20"/>
              </w:rPr>
              <w:t>(Vikunja)</w:t>
            </w:r>
            <w:r>
              <w:rPr>
                <w:rFonts w:eastAsia="Times New Roman"/>
                <w:noProof/>
                <w:color w:val="000000" w:themeColor="text1"/>
                <w:sz w:val="20"/>
                <w:szCs w:val="20"/>
              </w:rPr>
              <w:br/>
            </w:r>
            <w:r>
              <w:rPr>
                <w:noProof/>
                <w:color w:val="000000" w:themeColor="text1"/>
                <w:sz w:val="20"/>
              </w:rPr>
              <w:t>(Population von Chile)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Änderung des Namens der Population von Chile von „Population der Region Primera“ in „Populationen der Reg</w:t>
            </w:r>
            <w:r>
              <w:rPr>
                <w:noProof/>
                <w:color w:val="000000" w:themeColor="text1"/>
                <w:sz w:val="20"/>
              </w:rPr>
              <w:t>ion Tarapacá und der Region Arica und Parinacota“</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Chile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Der Vorschlag enthält keine wesentliche Änderung der Liste; es wird nur eine geografische Bezeichnung angepasst.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Giraffa camelopardalis</w:t>
            </w:r>
            <w:r>
              <w:rPr>
                <w:rFonts w:eastAsia="Times New Roman"/>
                <w:i/>
                <w:iCs/>
                <w:noProof/>
                <w:color w:val="000000" w:themeColor="text1"/>
                <w:sz w:val="20"/>
                <w:szCs w:val="20"/>
              </w:rPr>
              <w:br/>
            </w:r>
            <w:r>
              <w:rPr>
                <w:noProof/>
                <w:color w:val="000000" w:themeColor="text1"/>
                <w:sz w:val="20"/>
              </w:rPr>
              <w:t>(Giraffe)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p w:rsidR="004118C6" w:rsidRDefault="004118C6">
            <w:pPr>
              <w:pStyle w:val="Defaul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Kenia, </w:t>
            </w:r>
            <w:r>
              <w:rPr>
                <w:noProof/>
                <w:color w:val="000000" w:themeColor="text1"/>
                <w:sz w:val="20"/>
              </w:rPr>
              <w:t>Mali, Niger, Senegal, Tschad und Zentralafrikanische Republik</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Calibri"/>
                <w:noProof/>
                <w:color w:val="000000" w:themeColor="text1"/>
                <w:sz w:val="20"/>
                <w:szCs w:val="20"/>
              </w:rPr>
            </w:pPr>
            <w:r>
              <w:rPr>
                <w:noProof/>
                <w:color w:val="000000" w:themeColor="text1"/>
                <w:sz w:val="20"/>
              </w:rPr>
              <w:t>Weitere Belege sind erforderlich, um zu zeigen, dass der internationale Handel wesentlich zum Rückgang der Populationen beiträgt und dass die Kriterien für die Aufnahme in Anhang II erfüllt sind</w:t>
            </w:r>
            <w:r>
              <w:rPr>
                <w:noProof/>
                <w:color w:val="000000" w:themeColor="text1"/>
                <w:sz w:val="20"/>
              </w:rPr>
              <w:t>. Das bevorzugte weitere Vorgehen besteht in der Annahme einer Reihe von Beschlüssen zur Durchführung einer externen Studie und zwecks Prüfung durch den Tierausschuss und den Ständigen Ausschuss.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Aonyx cinereus</w:t>
            </w:r>
            <w:r>
              <w:rPr>
                <w:rFonts w:eastAsia="Times New Roman"/>
                <w:i/>
                <w:iCs/>
                <w:noProof/>
                <w:color w:val="000000" w:themeColor="text1"/>
                <w:sz w:val="20"/>
                <w:szCs w:val="20"/>
              </w:rPr>
              <w:br/>
            </w:r>
            <w:r>
              <w:rPr>
                <w:noProof/>
                <w:color w:val="000000" w:themeColor="text1"/>
                <w:sz w:val="20"/>
              </w:rPr>
              <w:t>(Zwergotter)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Übertragung von </w:t>
            </w:r>
            <w:r>
              <w:rPr>
                <w:noProof/>
                <w:color w:val="000000" w:themeColor="text1"/>
                <w:sz w:val="20"/>
              </w:rPr>
              <w:t>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Indien, Nepal und Philippinen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Weitere Bestätigung ist erforderlich, ob die Kriterien für die Aufnahme in Anhang I erfüllt sind. Laut der IUCN trägt der Heimtierhandel im Internet zum jüngsten raschen Rückgang der Art bei.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Lutrogale perspicillata</w:t>
            </w:r>
            <w:r>
              <w:rPr>
                <w:rFonts w:eastAsia="Times New Roman"/>
                <w:i/>
                <w:iCs/>
                <w:noProof/>
                <w:color w:val="000000" w:themeColor="text1"/>
                <w:sz w:val="20"/>
                <w:szCs w:val="20"/>
              </w:rPr>
              <w:br/>
            </w:r>
            <w:r>
              <w:rPr>
                <w:rStyle w:val="Bodytext2"/>
                <w:rFonts w:ascii="Times New Roman" w:hAnsi="Times New Roman"/>
                <w:noProof/>
                <w:color w:val="000000" w:themeColor="text1"/>
                <w:sz w:val="20"/>
              </w:rPr>
              <w:t>(Indischer Fischotter)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Bangladesch, Indien und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Es muss bestätigt werden, ob die Art die biologischen Kriterien für die Aufnahme in Anhang I erfüllt. Das Ausmaß des legalen </w:t>
            </w:r>
            <w:r>
              <w:rPr>
                <w:noProof/>
                <w:color w:val="000000" w:themeColor="text1"/>
                <w:sz w:val="20"/>
              </w:rPr>
              <w:t>internationalen Handels ist gering, die höhere Einstufung könnte jedoch zum Schutz der Art beitragen, da das Volumen des illegalen Handels erheblich ist.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(Südliches Breitmaulnashorn)</w:t>
            </w:r>
            <w:r>
              <w:rPr>
                <w:rFonts w:eastAsia="Times New Roman"/>
                <w:iCs/>
                <w:noProof/>
                <w:color w:val="000000" w:themeColor="text1"/>
                <w:sz w:val="20"/>
                <w:szCs w:val="20"/>
              </w:rPr>
              <w:br/>
            </w:r>
            <w:r>
              <w:rPr>
                <w:noProof/>
                <w:color w:val="000000" w:themeColor="text1"/>
                <w:sz w:val="20"/>
              </w:rPr>
              <w:t>(Population von Eswatini)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Streichung der</w:t>
            </w:r>
            <w:r>
              <w:rPr>
                <w:noProof/>
                <w:color w:val="000000" w:themeColor="text1"/>
                <w:sz w:val="20"/>
              </w:rPr>
              <w:t xml:space="preserve"> bestehenden Anmerkung zur Population von Eswatini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Eswatini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Ablehnung. Die Population erfüllt weiterhin die Kriterien von Anhang II, aber die vorgeschlagene Streichung der Anmerkung würde nicht den Vorsichtskriterien gemäß Abschnitt A Nummer 2 Buchstabe a </w:t>
            </w:r>
            <w:r>
              <w:rPr>
                <w:noProof/>
                <w:color w:val="000000" w:themeColor="text1"/>
                <w:sz w:val="20"/>
              </w:rPr>
              <w:t>des Anhangs 4 der Resolution Conf. 9.24 entsprechen. Die Wiederaufnahme des Handels mit Nashorn-Horn würde angesichts des hohen Ausmaßes an Wilderei und illegalem Handel zu diesem Zeitpunkt ein falsches Zeichen setzen. Sie würde außerdem die Maßnahmen viel</w:t>
            </w:r>
            <w:r>
              <w:rPr>
                <w:noProof/>
                <w:color w:val="000000" w:themeColor="text1"/>
                <w:sz w:val="20"/>
              </w:rPr>
              <w:t>er Vertragsparteien zur Verringerung der Nachfrage nach dieser Art untergraben.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Ceratotherium simum simum</w:t>
            </w:r>
            <w:r>
              <w:rPr>
                <w:rFonts w:eastAsia="Times New Roman"/>
                <w:i/>
                <w:iCs/>
                <w:noProof/>
                <w:color w:val="000000" w:themeColor="text1"/>
                <w:sz w:val="20"/>
                <w:szCs w:val="20"/>
              </w:rPr>
              <w:br/>
            </w:r>
            <w:r>
              <w:rPr>
                <w:noProof/>
                <w:color w:val="000000" w:themeColor="text1"/>
                <w:sz w:val="20"/>
              </w:rPr>
              <w:t>(Südliches Breitmaulnashorn)</w:t>
            </w:r>
            <w:r>
              <w:rPr>
                <w:rFonts w:eastAsia="Times New Roman"/>
                <w:i/>
                <w:iCs/>
                <w:noProof/>
                <w:color w:val="000000" w:themeColor="text1"/>
                <w:sz w:val="20"/>
                <w:szCs w:val="20"/>
              </w:rPr>
              <w:br/>
            </w:r>
            <w:r>
              <w:rPr>
                <w:noProof/>
                <w:color w:val="000000" w:themeColor="text1"/>
                <w:sz w:val="20"/>
              </w:rPr>
              <w:t>(Population von Namibia)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Übertragung der Population </w:t>
            </w:r>
            <w:r>
              <w:rPr>
                <w:i/>
                <w:noProof/>
                <w:color w:val="000000" w:themeColor="text1"/>
                <w:sz w:val="20"/>
              </w:rPr>
              <w:t>Ceratotherium simum simum</w:t>
            </w:r>
            <w:r>
              <w:rPr>
                <w:noProof/>
                <w:color w:val="000000" w:themeColor="text1"/>
                <w:sz w:val="20"/>
              </w:rPr>
              <w:t xml:space="preserve"> von Namibia von Anhang I nach Anhang II mit folgender Anmerkung:</w:t>
            </w:r>
          </w:p>
          <w:p w:rsidR="004118C6" w:rsidRDefault="00D15C59">
            <w:pPr>
              <w:spacing w:after="0"/>
              <w:jc w:val="left"/>
              <w:rPr>
                <w:rFonts w:eastAsia="Times New Roman"/>
                <w:noProof/>
                <w:color w:val="000000" w:themeColor="text1"/>
                <w:sz w:val="20"/>
                <w:szCs w:val="20"/>
              </w:rPr>
            </w:pPr>
            <w:r>
              <w:rPr>
                <w:noProof/>
                <w:color w:val="000000" w:themeColor="text1"/>
                <w:sz w:val="20"/>
              </w:rPr>
              <w:t>„Ausschließlich zur Genehmigung des internationalen Handels</w:t>
            </w:r>
          </w:p>
          <w:p w:rsidR="004118C6" w:rsidRDefault="00D15C59">
            <w:pPr>
              <w:numPr>
                <w:ilvl w:val="0"/>
                <w:numId w:val="9"/>
              </w:numPr>
              <w:spacing w:before="0" w:after="0"/>
              <w:jc w:val="left"/>
              <w:rPr>
                <w:rFonts w:eastAsia="Times New Roman"/>
                <w:noProof/>
                <w:color w:val="000000" w:themeColor="text1"/>
                <w:sz w:val="20"/>
                <w:szCs w:val="20"/>
              </w:rPr>
            </w:pPr>
            <w:r>
              <w:rPr>
                <w:noProof/>
                <w:color w:val="000000" w:themeColor="text1"/>
                <w:sz w:val="20"/>
              </w:rPr>
              <w:t>mit lebenden Tieren, die an geeignete und annehmbare Bestimmungsorte verbracht werden, und</w:t>
            </w:r>
          </w:p>
          <w:p w:rsidR="004118C6" w:rsidRDefault="00D15C59">
            <w:pPr>
              <w:numPr>
                <w:ilvl w:val="0"/>
                <w:numId w:val="9"/>
              </w:numPr>
              <w:spacing w:before="0" w:after="0"/>
              <w:jc w:val="left"/>
              <w:rPr>
                <w:rFonts w:eastAsia="Times New Roman"/>
                <w:noProof/>
                <w:color w:val="000000" w:themeColor="text1"/>
                <w:sz w:val="20"/>
                <w:szCs w:val="20"/>
              </w:rPr>
            </w:pPr>
            <w:r>
              <w:rPr>
                <w:noProof/>
                <w:color w:val="000000" w:themeColor="text1"/>
                <w:sz w:val="20"/>
              </w:rPr>
              <w:t>mit Jagdtrophäen.</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Alle sonstigen </w:t>
            </w:r>
            <w:r>
              <w:rPr>
                <w:noProof/>
                <w:color w:val="000000" w:themeColor="text1"/>
                <w:sz w:val="20"/>
              </w:rPr>
              <w:t>Exemplare sind als Exemplare von Arten des Anhangs I zu betrachten und der Handel mit diesen ist entsprechend zu regeln.“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Namibia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Die Population von Namibia befindet sich in gutem Zustand; sie scheint nicht länger die Kriterien für Anhang I zu erfüllen und</w:t>
            </w:r>
            <w:r>
              <w:rPr>
                <w:noProof/>
                <w:color w:val="000000" w:themeColor="text1"/>
                <w:sz w:val="20"/>
              </w:rPr>
              <w:t xml:space="preserve"> die Voraussetzungen für eine Abstufung in Anhang II gemäß den Vorsichtsmaßnahmen sind offensichtlich gegeben; die Anmerkung scheint sehr begrenzt und deckungsgleich mit derjenigen für Südafrika und Eswatini zu sein. Die erfolgreiche Erhaltung der Art in N</w:t>
            </w:r>
            <w:r>
              <w:rPr>
                <w:noProof/>
                <w:color w:val="000000" w:themeColor="text1"/>
                <w:sz w:val="20"/>
              </w:rPr>
              <w:t>amibia muss anerkannt werden.</w:t>
            </w:r>
          </w:p>
          <w:p w:rsidR="004118C6" w:rsidRDefault="00D15C59">
            <w:pPr>
              <w:spacing w:after="0"/>
              <w:jc w:val="left"/>
              <w:rPr>
                <w:noProof/>
                <w:color w:val="000000" w:themeColor="text1"/>
                <w:sz w:val="20"/>
                <w:szCs w:val="20"/>
              </w:rPr>
            </w:pPr>
            <w:r>
              <w:rPr>
                <w:noProof/>
                <w:color w:val="000000" w:themeColor="text1"/>
                <w:sz w:val="20"/>
              </w:rPr>
              <w:t xml:space="preserve">Potenzielle Risiken im Zusammenhang mit dem Vorschlag sollten eingehender geprüft werden.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center"/>
              <w:rPr>
                <w:rFonts w:eastAsia="Times New Roman"/>
                <w:noProof/>
                <w:color w:val="000000" w:themeColor="text1"/>
                <w:sz w:val="20"/>
                <w:szCs w:val="20"/>
              </w:rPr>
            </w:pPr>
            <w:r>
              <w:rPr>
                <w:noProof/>
                <w:color w:val="000000" w:themeColor="text1"/>
                <w:sz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left"/>
              <w:rPr>
                <w:rStyle w:val="Bodytext2"/>
                <w:rFonts w:ascii="Times New Roman" w:hAnsi="Times New Roman" w:cs="Times New Roman"/>
                <w:noProof/>
                <w:color w:val="000000" w:themeColor="text1"/>
                <w:sz w:val="20"/>
                <w:szCs w:val="20"/>
              </w:rPr>
            </w:pPr>
            <w:r>
              <w:rPr>
                <w:rStyle w:val="Bodytext2Italic"/>
                <w:rFonts w:ascii="Times New Roman" w:hAnsi="Times New Roman"/>
                <w:noProof/>
                <w:color w:val="000000" w:themeColor="text1"/>
                <w:sz w:val="20"/>
              </w:rPr>
              <w:t xml:space="preserve">Loxodonta </w:t>
            </w:r>
            <w:r>
              <w:rPr>
                <w:rStyle w:val="Bodytext2Italic"/>
                <w:rFonts w:ascii="Times New Roman" w:hAnsi="Times New Roman" w:cs="Times New Roman"/>
                <w:noProof/>
                <w:color w:val="000000" w:themeColor="text1"/>
                <w:sz w:val="20"/>
                <w:szCs w:val="20"/>
              </w:rPr>
              <w:br/>
            </w:r>
            <w:r>
              <w:rPr>
                <w:rStyle w:val="Bodytext2Italic"/>
                <w:rFonts w:ascii="Times New Roman" w:hAnsi="Times New Roman"/>
                <w:noProof/>
                <w:color w:val="000000" w:themeColor="text1"/>
                <w:sz w:val="20"/>
              </w:rPr>
              <w:t xml:space="preserve">africana </w:t>
            </w:r>
            <w:r>
              <w:rPr>
                <w:rStyle w:val="Bodytext2"/>
                <w:rFonts w:ascii="Times New Roman" w:hAnsi="Times New Roman"/>
                <w:noProof/>
                <w:color w:val="000000" w:themeColor="text1"/>
                <w:sz w:val="20"/>
              </w:rPr>
              <w:t>(Afrikanischer Elefant)</w:t>
            </w:r>
          </w:p>
          <w:p w:rsidR="004118C6" w:rsidRDefault="004118C6">
            <w:pPr>
              <w:spacing w:after="0"/>
              <w:jc w:val="left"/>
              <w:rPr>
                <w:rFonts w:eastAsia="Times New Roman"/>
                <w:i/>
                <w:iCs/>
                <w:noProof/>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tabs>
                <w:tab w:val="left" w:pos="256"/>
              </w:tabs>
              <w:spacing w:line="226" w:lineRule="exact"/>
              <w:jc w:val="left"/>
              <w:rPr>
                <w:noProof/>
                <w:color w:val="000000" w:themeColor="text1"/>
                <w:sz w:val="20"/>
                <w:szCs w:val="20"/>
              </w:rPr>
            </w:pPr>
            <w:r>
              <w:rPr>
                <w:rStyle w:val="Bodytext2"/>
                <w:rFonts w:ascii="Times New Roman" w:hAnsi="Times New Roman"/>
                <w:noProof/>
                <w:color w:val="000000" w:themeColor="text1"/>
                <w:sz w:val="20"/>
              </w:rPr>
              <w:t xml:space="preserve">Übertragung der sambischen Population von Anhang I nach Anhang II unter </w:t>
            </w:r>
            <w:r>
              <w:rPr>
                <w:rStyle w:val="Bodytext2"/>
                <w:rFonts w:ascii="Times New Roman" w:hAnsi="Times New Roman"/>
                <w:noProof/>
                <w:color w:val="000000" w:themeColor="text1"/>
                <w:sz w:val="20"/>
              </w:rPr>
              <w:t>Berücksichtigung</w:t>
            </w:r>
          </w:p>
          <w:p w:rsidR="004118C6" w:rsidRDefault="00D15C59">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noProof/>
              </w:rPr>
              <w:tab/>
            </w:r>
            <w:r>
              <w:rPr>
                <w:rStyle w:val="Bodytext2"/>
                <w:rFonts w:ascii="Times New Roman" w:hAnsi="Times New Roman"/>
                <w:noProof/>
                <w:color w:val="000000" w:themeColor="text1"/>
                <w:sz w:val="20"/>
              </w:rPr>
              <w:t>des Handels mit eingetragenem Rohelfenbein (Stoßzähne und Teile) zu kommerziellen Zwecken nur mit im Rahmen von CITES zugelassenen Handelspartnern, die es nicht wieder ausführen;</w:t>
            </w:r>
          </w:p>
          <w:p w:rsidR="004118C6" w:rsidRDefault="00D15C59">
            <w:pPr>
              <w:widowControl w:val="0"/>
              <w:numPr>
                <w:ilvl w:val="0"/>
                <w:numId w:val="12"/>
              </w:numPr>
              <w:tabs>
                <w:tab w:val="left" w:pos="256"/>
                <w:tab w:val="left" w:pos="398"/>
              </w:tabs>
              <w:spacing w:before="0" w:after="0" w:line="226" w:lineRule="exact"/>
              <w:ind w:left="316" w:hanging="316"/>
              <w:jc w:val="left"/>
              <w:rPr>
                <w:noProof/>
                <w:color w:val="000000" w:themeColor="text1"/>
                <w:sz w:val="20"/>
                <w:szCs w:val="20"/>
              </w:rPr>
            </w:pPr>
            <w:r>
              <w:rPr>
                <w:rStyle w:val="Bodytext2"/>
                <w:rFonts w:ascii="Times New Roman" w:hAnsi="Times New Roman"/>
                <w:noProof/>
                <w:color w:val="000000" w:themeColor="text1"/>
                <w:sz w:val="20"/>
              </w:rPr>
              <w:t>des Handels mit Jagdtrophäen zu nichtkommerziellen Zwecken;</w:t>
            </w:r>
          </w:p>
          <w:p w:rsidR="004118C6" w:rsidRDefault="00D15C59">
            <w:pPr>
              <w:widowControl w:val="0"/>
              <w:numPr>
                <w:ilvl w:val="0"/>
                <w:numId w:val="12"/>
              </w:numPr>
              <w:tabs>
                <w:tab w:val="left" w:pos="256"/>
                <w:tab w:val="left" w:pos="389"/>
              </w:tabs>
              <w:spacing w:before="0" w:after="0" w:line="230" w:lineRule="exact"/>
              <w:ind w:left="316" w:hanging="316"/>
              <w:jc w:val="left"/>
              <w:rPr>
                <w:rStyle w:val="Bodytext2"/>
                <w:rFonts w:ascii="Times New Roman" w:eastAsia="Times New Roman" w:hAnsi="Times New Roman" w:cs="Times New Roman"/>
                <w:noProof/>
                <w:color w:val="000000" w:themeColor="text1"/>
                <w:sz w:val="20"/>
                <w:szCs w:val="20"/>
              </w:rPr>
            </w:pPr>
            <w:r>
              <w:rPr>
                <w:rStyle w:val="Bodytext2"/>
                <w:rFonts w:ascii="Times New Roman" w:hAnsi="Times New Roman"/>
                <w:noProof/>
                <w:color w:val="000000" w:themeColor="text1"/>
                <w:sz w:val="20"/>
              </w:rPr>
              <w:t>des Handels mit Häuten und Lederwaren.</w:t>
            </w:r>
          </w:p>
          <w:p w:rsidR="004118C6" w:rsidRDefault="00D15C59">
            <w:pPr>
              <w:widowControl w:val="0"/>
              <w:numPr>
                <w:ilvl w:val="0"/>
                <w:numId w:val="12"/>
              </w:numPr>
              <w:tabs>
                <w:tab w:val="left" w:pos="256"/>
                <w:tab w:val="left" w:pos="389"/>
              </w:tabs>
              <w:spacing w:before="0" w:after="0" w:line="230" w:lineRule="exact"/>
              <w:ind w:left="316" w:hanging="316"/>
              <w:jc w:val="left"/>
              <w:rPr>
                <w:rFonts w:eastAsia="Times New Roman"/>
                <w:noProof/>
                <w:color w:val="000000" w:themeColor="text1"/>
                <w:sz w:val="20"/>
                <w:szCs w:val="20"/>
              </w:rPr>
            </w:pPr>
            <w:r>
              <w:rPr>
                <w:rStyle w:val="Bodytext2"/>
                <w:rFonts w:ascii="Times New Roman" w:hAnsi="Times New Roman"/>
                <w:noProof/>
                <w:color w:val="000000" w:themeColor="text1"/>
                <w:sz w:val="20"/>
              </w:rPr>
              <w:t>Alle sonstigen Exemplare sind als Exemplare von Arten des Anhangs I zu betrachten und der Handel mit ihnen ist entsprechend zu regeln.</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left"/>
              <w:rPr>
                <w:noProof/>
                <w:color w:val="000000" w:themeColor="text1"/>
                <w:sz w:val="20"/>
                <w:szCs w:val="20"/>
              </w:rPr>
            </w:pPr>
            <w:r>
              <w:rPr>
                <w:noProof/>
                <w:color w:val="000000" w:themeColor="text1"/>
                <w:sz w:val="20"/>
              </w:rPr>
              <w:t>Sambia</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left"/>
              <w:rPr>
                <w:noProof/>
                <w:color w:val="000000" w:themeColor="text1"/>
                <w:sz w:val="20"/>
                <w:szCs w:val="20"/>
              </w:rPr>
            </w:pPr>
            <w:r>
              <w:rPr>
                <w:noProof/>
                <w:color w:val="000000" w:themeColor="text1"/>
                <w:sz w:val="20"/>
              </w:rPr>
              <w:t>Die von Sambia vorgeschlagene Anmerkung würde den internationalen Elfenbei</w:t>
            </w:r>
            <w:r>
              <w:rPr>
                <w:noProof/>
                <w:color w:val="000000" w:themeColor="text1"/>
                <w:sz w:val="20"/>
              </w:rPr>
              <w:t xml:space="preserve">nhandel wieder öffnen und kann in der vorliegenden Form nicht unterstützt werden. </w:t>
            </w:r>
          </w:p>
          <w:p w:rsidR="004118C6" w:rsidRDefault="004118C6">
            <w:pPr>
              <w:spacing w:after="0"/>
              <w:jc w:val="left"/>
              <w:rPr>
                <w:noProof/>
                <w:color w:val="000000" w:themeColor="text1"/>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Cs/>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 xml:space="preserve">africana </w:t>
            </w:r>
            <w:r>
              <w:rPr>
                <w:rFonts w:eastAsia="Times New Roman"/>
                <w:i/>
                <w:iCs/>
                <w:noProof/>
                <w:color w:val="000000" w:themeColor="text1"/>
                <w:sz w:val="20"/>
                <w:szCs w:val="20"/>
              </w:rPr>
              <w:br/>
            </w:r>
            <w:r>
              <w:rPr>
                <w:noProof/>
                <w:color w:val="000000" w:themeColor="text1"/>
                <w:sz w:val="20"/>
              </w:rPr>
              <w:t>(Afrikanischer Elefant)</w:t>
            </w:r>
          </w:p>
          <w:p w:rsidR="004118C6" w:rsidRDefault="00D15C59">
            <w:pPr>
              <w:spacing w:after="0"/>
              <w:jc w:val="left"/>
              <w:rPr>
                <w:rFonts w:eastAsia="Times New Roman"/>
                <w:noProof/>
                <w:color w:val="000000" w:themeColor="text1"/>
                <w:sz w:val="20"/>
                <w:szCs w:val="20"/>
              </w:rPr>
            </w:pPr>
            <w:r>
              <w:rPr>
                <w:noProof/>
                <w:color w:val="000000" w:themeColor="text1"/>
                <w:sz w:val="20"/>
              </w:rPr>
              <w:t>(Populationen von Botsuana, Namibia, Südafrika und Simbabwe)</w:t>
            </w:r>
          </w:p>
          <w:p w:rsidR="004118C6" w:rsidRDefault="00D15C59">
            <w:pPr>
              <w:spacing w:after="0"/>
              <w:jc w:val="left"/>
              <w:rPr>
                <w:rFonts w:eastAsia="Times New Roman"/>
                <w:noProof/>
                <w:color w:val="000000" w:themeColor="text1"/>
                <w:sz w:val="20"/>
                <w:szCs w:val="20"/>
              </w:rPr>
            </w:pPr>
            <w:r>
              <w:rPr>
                <w:noProof/>
                <w:color w:val="000000" w:themeColor="text1"/>
                <w:sz w:val="20"/>
              </w:rPr>
              <w:t>Änderung der Anmerkung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tabs>
                <w:tab w:val="left" w:pos="0"/>
              </w:tabs>
              <w:spacing w:after="0"/>
              <w:jc w:val="left"/>
              <w:rPr>
                <w:rFonts w:eastAsia="Times New Roman"/>
                <w:noProof/>
                <w:color w:val="000000" w:themeColor="text1"/>
                <w:sz w:val="20"/>
                <w:szCs w:val="20"/>
              </w:rPr>
            </w:pPr>
            <w:r>
              <w:rPr>
                <w:noProof/>
                <w:color w:val="000000" w:themeColor="text1"/>
                <w:sz w:val="20"/>
              </w:rPr>
              <w:t>Änderung der Anmerkung #2:</w:t>
            </w:r>
          </w:p>
          <w:p w:rsidR="004118C6" w:rsidRDefault="00D15C59">
            <w:pPr>
              <w:tabs>
                <w:tab w:val="left" w:pos="176"/>
              </w:tabs>
              <w:spacing w:after="0"/>
              <w:ind w:left="176" w:hanging="176"/>
              <w:jc w:val="left"/>
              <w:rPr>
                <w:rFonts w:eastAsia="Times New Roman"/>
                <w:noProof/>
                <w:color w:val="000000" w:themeColor="text1"/>
                <w:sz w:val="20"/>
                <w:szCs w:val="20"/>
              </w:rPr>
            </w:pPr>
            <w:r>
              <w:rPr>
                <w:noProof/>
                <w:color w:val="000000" w:themeColor="text1"/>
                <w:sz w:val="20"/>
              </w:rPr>
              <w:t>„Ausschließlich zur Genehmigung:</w:t>
            </w:r>
          </w:p>
          <w:p w:rsidR="004118C6" w:rsidRDefault="00D15C59">
            <w:pPr>
              <w:tabs>
                <w:tab w:val="left" w:pos="176"/>
              </w:tabs>
              <w:spacing w:before="0" w:after="0"/>
              <w:ind w:left="176" w:hanging="176"/>
              <w:jc w:val="left"/>
              <w:rPr>
                <w:rFonts w:eastAsia="Times New Roman"/>
                <w:noProof/>
                <w:color w:val="000000" w:themeColor="text1"/>
                <w:sz w:val="20"/>
                <w:szCs w:val="20"/>
              </w:rPr>
            </w:pPr>
            <w:r>
              <w:rPr>
                <w:noProof/>
                <w:color w:val="000000" w:themeColor="text1"/>
                <w:sz w:val="20"/>
              </w:rPr>
              <w:t>[...]</w:t>
            </w:r>
          </w:p>
          <w:p w:rsidR="004118C6" w:rsidRDefault="00D15C59">
            <w:pPr>
              <w:tabs>
                <w:tab w:val="left" w:pos="176"/>
              </w:tabs>
              <w:spacing w:before="0" w:after="0"/>
              <w:jc w:val="left"/>
              <w:rPr>
                <w:rFonts w:eastAsia="Times New Roman"/>
                <w:noProof/>
                <w:color w:val="000000" w:themeColor="text1"/>
                <w:sz w:val="20"/>
                <w:szCs w:val="20"/>
              </w:rPr>
            </w:pPr>
            <w:r>
              <w:rPr>
                <w:noProof/>
                <w:color w:val="000000" w:themeColor="text1"/>
                <w:sz w:val="20"/>
              </w:rPr>
              <w:t>g)</w:t>
            </w:r>
            <w:r>
              <w:rPr>
                <w:noProof/>
              </w:rPr>
              <w:tab/>
            </w:r>
            <w:r>
              <w:rPr>
                <w:noProof/>
                <w:color w:val="000000" w:themeColor="text1"/>
                <w:sz w:val="20"/>
              </w:rPr>
              <w:t xml:space="preserve">des Handels mit registriertem Rohelfenbein (für Botsuana, Namibia, Südafrika und Simbabwe ganze Stoßzähne und Stoßzahnteile) unter folgenden Voraussetzungen: </w:t>
            </w:r>
          </w:p>
          <w:p w:rsidR="004118C6" w:rsidRDefault="00D15C5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 xml:space="preserve">nur aus registrierten staatseigenen Lagerbeständen mit </w:t>
            </w:r>
            <w:r>
              <w:rPr>
                <w:noProof/>
                <w:color w:val="000000" w:themeColor="text1"/>
                <w:sz w:val="20"/>
              </w:rPr>
              <w:t>Ursprung in dem betreffenden Staat (mit Ausnahme von beschlagnahmten Elfenbein und von Elfenbein unbekannter Herkunft);</w:t>
            </w:r>
          </w:p>
          <w:p w:rsidR="004118C6" w:rsidRDefault="00D15C5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nur an Handelspartner, die nach Überprüfung durch das Sekretariat in Abstimmung mit dem Ständigen Ausschuss nachweislich über innerstaat</w:t>
            </w:r>
            <w:r>
              <w:rPr>
                <w:noProof/>
                <w:color w:val="000000" w:themeColor="text1"/>
                <w:sz w:val="20"/>
              </w:rPr>
              <w:t xml:space="preserve">liche Rechtsvorschriften und Handelskontrollen verfügen, mit denen sichergestellt wird, dass eingeführtes Elfenbein nicht wieder ausgeführt wird und sämtliche Bestimmungen der Resolution Conf. 10.10 (Rev. CoP17) über die heimische Fertigung und den Handel </w:t>
            </w:r>
            <w:r>
              <w:rPr>
                <w:noProof/>
                <w:color w:val="000000" w:themeColor="text1"/>
                <w:sz w:val="20"/>
              </w:rPr>
              <w:t>angewandt werden;</w:t>
            </w:r>
          </w:p>
          <w:p w:rsidR="004118C6" w:rsidRDefault="00D15C5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erst nach Überprüfung der voraussichtlichen Einfuhrländer und der registrierten staatseigenen Lagerbestände durch das Sekretariat;</w:t>
            </w:r>
          </w:p>
          <w:p w:rsidR="004118C6" w:rsidRDefault="00D15C59">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Rohelfenbein gemäß dem auf der Sitzung CoP12 vereinbarten Verkauf von registrierten Elfenbein-Lagerbeständ</w:t>
            </w:r>
            <w:r>
              <w:rPr>
                <w:strike/>
                <w:noProof/>
                <w:color w:val="000000" w:themeColor="text1"/>
                <w:sz w:val="20"/>
              </w:rPr>
              <w:t>en in Besitz der jeweiligen Regierung: 20 000 kg (Botsuana), 10 000 kg (Namibia) und 30 000 kg (Südafrika);</w:t>
            </w:r>
          </w:p>
          <w:p w:rsidR="004118C6" w:rsidRDefault="00D15C59">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unter Aufsicht des Sekretariats darf zusätzlich zu den auf der Sitzung CoP12 vereinbarten Mengen Elfenbein im Besitz der Regierungen Botsuanas, Nam</w:t>
            </w:r>
            <w:r>
              <w:rPr>
                <w:strike/>
                <w:noProof/>
                <w:color w:val="000000" w:themeColor="text1"/>
                <w:sz w:val="20"/>
              </w:rPr>
              <w:t>ibias, Südafrikas und Simbabwes, das bis zum 31. Januar 2007 registriert und vom Sekretariat überprüft wurde, zusammen mit dem Elfenbein unter Buchstabe g Ziffer iv in einem einmaligen Verkauf je Ziel gehandelt und versandt werden;</w:t>
            </w:r>
          </w:p>
          <w:p w:rsidR="004118C6" w:rsidRDefault="00D15C59">
            <w:pPr>
              <w:numPr>
                <w:ilvl w:val="1"/>
                <w:numId w:val="11"/>
              </w:numPr>
              <w:tabs>
                <w:tab w:val="clear" w:pos="1440"/>
                <w:tab w:val="num" w:pos="459"/>
              </w:tabs>
              <w:spacing w:before="0" w:after="0"/>
              <w:ind w:left="318" w:hanging="142"/>
              <w:jc w:val="left"/>
              <w:rPr>
                <w:rFonts w:eastAsia="Times New Roman"/>
                <w:noProof/>
                <w:color w:val="000000" w:themeColor="text1"/>
                <w:sz w:val="20"/>
                <w:szCs w:val="20"/>
              </w:rPr>
            </w:pPr>
            <w:r>
              <w:rPr>
                <w:noProof/>
                <w:color w:val="000000" w:themeColor="text1"/>
                <w:sz w:val="20"/>
              </w:rPr>
              <w:t>der Gewinn aus dem Hande</w:t>
            </w:r>
            <w:r>
              <w:rPr>
                <w:noProof/>
                <w:color w:val="000000" w:themeColor="text1"/>
                <w:sz w:val="20"/>
              </w:rPr>
              <w:t xml:space="preserve">l wird ausschließlich zum Schutz der Elefanten und für Bevölkerungsschutz- und </w:t>
            </w:r>
            <w:r>
              <w:rPr>
                <w:noProof/>
              </w:rPr>
              <w:noBreakHyphen/>
            </w:r>
            <w:r>
              <w:rPr>
                <w:noProof/>
                <w:color w:val="000000" w:themeColor="text1"/>
                <w:sz w:val="20"/>
              </w:rPr>
              <w:t>entwicklungsprogramme in den Elefantengebieten oder den Nachbargebieten verwendet; und</w:t>
            </w:r>
          </w:p>
          <w:p w:rsidR="004118C6" w:rsidRDefault="00D15C59">
            <w:pPr>
              <w:numPr>
                <w:ilvl w:val="1"/>
                <w:numId w:val="11"/>
              </w:numPr>
              <w:tabs>
                <w:tab w:val="left" w:pos="176"/>
              </w:tabs>
              <w:spacing w:before="0" w:after="0"/>
              <w:ind w:left="352" w:hanging="176"/>
              <w:jc w:val="left"/>
              <w:rPr>
                <w:rFonts w:eastAsia="Times New Roman"/>
                <w:noProof/>
                <w:color w:val="000000" w:themeColor="text1"/>
                <w:sz w:val="20"/>
                <w:szCs w:val="20"/>
              </w:rPr>
            </w:pPr>
            <w:r>
              <w:rPr>
                <w:noProof/>
              </w:rPr>
              <w:tab/>
            </w:r>
            <w:r>
              <w:rPr>
                <w:strike/>
                <w:noProof/>
                <w:color w:val="000000" w:themeColor="text1"/>
                <w:sz w:val="20"/>
              </w:rPr>
              <w:t xml:space="preserve">die zusätzlichen Mengen gemäß Buchstabe g Ziffer v können nur gehandelt werden, nachdem </w:t>
            </w:r>
            <w:r>
              <w:rPr>
                <w:strike/>
                <w:noProof/>
                <w:color w:val="000000" w:themeColor="text1"/>
                <w:sz w:val="20"/>
              </w:rPr>
              <w:t>der Ständige Ausschuss bescheinigt hat, dass die aufgelisteten Bedingungen erfüllt sind; und</w:t>
            </w:r>
          </w:p>
          <w:p w:rsidR="004118C6" w:rsidRDefault="00D15C59">
            <w:pPr>
              <w:tabs>
                <w:tab w:val="left" w:pos="176"/>
              </w:tabs>
              <w:spacing w:before="0" w:after="0"/>
              <w:jc w:val="left"/>
              <w:rPr>
                <w:rFonts w:eastAsia="Times New Roman"/>
                <w:noProof/>
                <w:color w:val="000000" w:themeColor="text1"/>
                <w:sz w:val="20"/>
                <w:szCs w:val="20"/>
              </w:rPr>
            </w:pPr>
            <w:r>
              <w:rPr>
                <w:noProof/>
                <w:color w:val="000000" w:themeColor="text1"/>
                <w:sz w:val="20"/>
              </w:rPr>
              <w:t>h)</w:t>
            </w:r>
            <w:r>
              <w:rPr>
                <w:noProof/>
              </w:rPr>
              <w:tab/>
            </w:r>
            <w:r>
              <w:rPr>
                <w:strike/>
                <w:noProof/>
                <w:color w:val="000000" w:themeColor="text1"/>
                <w:sz w:val="20"/>
              </w:rPr>
              <w:t>der Vertragsstaaten-Konferenz wird in dem Zeitraum, der mit der Sitzung CoP14 beginnt und neun Jahre nach dem Zeitpunkt des einmaligen Elfenbeinverkaufs gemäß B</w:t>
            </w:r>
            <w:r>
              <w:rPr>
                <w:strike/>
                <w:noProof/>
                <w:color w:val="000000" w:themeColor="text1"/>
                <w:sz w:val="20"/>
              </w:rPr>
              <w:t>uchstabe g Ziffern i, ii, iii, vi und vii endet, kein weiterer Vorschlag über die Genehmigung des Handels mit Elfenbein von Populationen, die bereits in Anhang II aufgeführt sind, vorgelegt. Solche weiteren Vorschläge werden gemäß den Beschlüssen 16.55 und</w:t>
            </w:r>
            <w:r>
              <w:rPr>
                <w:strike/>
                <w:noProof/>
                <w:color w:val="000000" w:themeColor="text1"/>
                <w:sz w:val="20"/>
              </w:rPr>
              <w:t xml:space="preserve"> 14.78 (Rev. CoP16) behandelt.</w:t>
            </w:r>
          </w:p>
          <w:p w:rsidR="004118C6" w:rsidRDefault="00D15C59">
            <w:pPr>
              <w:tabs>
                <w:tab w:val="left" w:pos="0"/>
              </w:tabs>
              <w:ind w:firstLine="23"/>
              <w:jc w:val="left"/>
              <w:rPr>
                <w:rFonts w:eastAsia="Times New Roman"/>
                <w:noProof/>
                <w:color w:val="000000" w:themeColor="text1"/>
                <w:sz w:val="20"/>
                <w:szCs w:val="20"/>
              </w:rPr>
            </w:pPr>
            <w:r>
              <w:rPr>
                <w:noProof/>
                <w:color w:val="000000" w:themeColor="text1"/>
                <w:sz w:val="20"/>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Botsuana, Namibia und Simbabwe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Die beantragte Änderung würde zur Öffnung des internationalen Elfenbeinhandels führen und entspricht daher nicht den Vorsichtsmaßnahmen gemäß Anhang 4 der Resolution Conf. 9.24 und ist </w:t>
            </w:r>
            <w:r>
              <w:rPr>
                <w:noProof/>
                <w:color w:val="000000" w:themeColor="text1"/>
                <w:sz w:val="20"/>
              </w:rPr>
              <w:t>verfrüht.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12</w:t>
            </w:r>
          </w:p>
        </w:tc>
        <w:tc>
          <w:tcPr>
            <w:tcW w:w="1701" w:type="dxa"/>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Loxodonta </w:t>
            </w:r>
            <w:r>
              <w:rPr>
                <w:rFonts w:eastAsia="Times New Roman"/>
                <w:i/>
                <w:iCs/>
                <w:noProof/>
                <w:color w:val="000000" w:themeColor="text1"/>
                <w:sz w:val="20"/>
                <w:szCs w:val="20"/>
              </w:rPr>
              <w:br/>
            </w:r>
            <w:r>
              <w:rPr>
                <w:i/>
                <w:noProof/>
                <w:color w:val="000000" w:themeColor="text1"/>
                <w:sz w:val="20"/>
              </w:rPr>
              <w:t>africana</w:t>
            </w:r>
            <w:r>
              <w:rPr>
                <w:rFonts w:eastAsia="Times New Roman"/>
                <w:i/>
                <w:iCs/>
                <w:noProof/>
                <w:color w:val="000000" w:themeColor="text1"/>
                <w:sz w:val="20"/>
                <w:szCs w:val="20"/>
              </w:rPr>
              <w:br/>
            </w:r>
            <w:r>
              <w:rPr>
                <w:noProof/>
                <w:color w:val="000000" w:themeColor="text1"/>
                <w:sz w:val="20"/>
              </w:rPr>
              <w:t>(Afrikanischer Elefant)</w:t>
            </w:r>
          </w:p>
          <w:p w:rsidR="004118C6" w:rsidRDefault="00D15C59">
            <w:pPr>
              <w:spacing w:after="0"/>
              <w:jc w:val="left"/>
              <w:rPr>
                <w:rFonts w:eastAsia="Times New Roman"/>
                <w:noProof/>
                <w:color w:val="000000" w:themeColor="text1"/>
                <w:sz w:val="20"/>
                <w:szCs w:val="20"/>
              </w:rPr>
            </w:pPr>
            <w:r>
              <w:rPr>
                <w:noProof/>
                <w:color w:val="000000" w:themeColor="text1"/>
                <w:sz w:val="20"/>
              </w:rPr>
              <w:t>(Populationen von Botsuana, Namibia, Südafrika und Simbabwe)</w:t>
            </w:r>
          </w:p>
        </w:tc>
        <w:tc>
          <w:tcPr>
            <w:tcW w:w="1985" w:type="dxa"/>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der Populationen von Botsuana, Namibia, Südafrika und Simbabwe von Anhang II nach Anhang I</w:t>
            </w:r>
          </w:p>
        </w:tc>
        <w:tc>
          <w:tcPr>
            <w:tcW w:w="1702" w:type="dxa"/>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Arabische Republik </w:t>
            </w:r>
            <w:r>
              <w:rPr>
                <w:noProof/>
                <w:color w:val="000000" w:themeColor="text1"/>
                <w:sz w:val="20"/>
              </w:rPr>
              <w:t>Syrien, Burkina Faso, Côte d’Ivoire, Gabun, Kenia, Liberia, Niger, Nigeria, Sudan und Togo</w:t>
            </w:r>
          </w:p>
        </w:tc>
        <w:tc>
          <w:tcPr>
            <w:tcW w:w="2179" w:type="dxa"/>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Diese vier Populationen erfüllen nicht die Kriterien für Anhang I und die betreffenden Arealstaaten stimmen der höheren Einstufung nicht zu. </w:t>
            </w:r>
          </w:p>
        </w:tc>
        <w:tc>
          <w:tcPr>
            <w:tcW w:w="905" w:type="dxa"/>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Mammuthus primige</w:t>
            </w:r>
            <w:r>
              <w:rPr>
                <w:i/>
                <w:noProof/>
                <w:color w:val="000000" w:themeColor="text1"/>
                <w:sz w:val="20"/>
              </w:rPr>
              <w:t>nius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(Wollhaarmammut)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Israel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 xml:space="preserve">Der Zweck von CITES ist es, Arten vor der übermäßigen Nutzung und dem Aussterben zu schützen. Verwechslungsgefahr scheint keine ausreichende Begründung für die Aufnahme des Mammuts in die Liste zu </w:t>
            </w:r>
            <w:r>
              <w:rPr>
                <w:noProof/>
                <w:color w:val="000000" w:themeColor="text1"/>
                <w:sz w:val="20"/>
              </w:rPr>
              <w:t>sein. Nachweise der Verwechslung oder Verschleierung in großem Maßstab wurden nicht erbracht; Elefanten- und Mammutelfenbein weisen einmalige Merkmale auf, die auch von Laien leicht zu unterscheiden sind. Die Aufnahme in Anhang II stünde nicht in einem ang</w:t>
            </w:r>
            <w:r>
              <w:rPr>
                <w:noProof/>
                <w:color w:val="000000" w:themeColor="text1"/>
                <w:sz w:val="20"/>
              </w:rPr>
              <w:t>emessenen Verhältnis zum Ausmaß des Risikos (möglicherweise würden viele Genehmigungen ohne oder nur mit begrenztem Nutzen für die Erhaltung generiert).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Leporillus conditor</w:t>
            </w:r>
            <w:r>
              <w:rPr>
                <w:rFonts w:eastAsia="Times New Roman"/>
                <w:i/>
                <w:iCs/>
                <w:noProof/>
                <w:color w:val="000000" w:themeColor="text1"/>
                <w:sz w:val="20"/>
                <w:szCs w:val="20"/>
              </w:rPr>
              <w:br/>
            </w:r>
            <w:r>
              <w:rPr>
                <w:noProof/>
                <w:color w:val="000000" w:themeColor="text1"/>
                <w:sz w:val="20"/>
              </w:rPr>
              <w:t>(Große Häschenratte)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w:t>
            </w:r>
            <w:r>
              <w:rPr>
                <w:noProof/>
                <w:color w:val="000000" w:themeColor="text1"/>
                <w:sz w:val="20"/>
              </w:rPr>
              <w:t>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Übertragung nach Anhang II wird vom CITES-Tierausschuss empfohlen. Die Art kommt im internationalen Handel nicht vor.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Pseudomys fieldi praeconis</w:t>
            </w:r>
            <w:r>
              <w:rPr>
                <w:rFonts w:eastAsia="Times New Roman"/>
                <w:i/>
                <w:iCs/>
                <w:noProof/>
                <w:color w:val="000000" w:themeColor="text1"/>
                <w:sz w:val="20"/>
                <w:szCs w:val="20"/>
              </w:rPr>
              <w:br/>
            </w:r>
            <w:r>
              <w:rPr>
                <w:noProof/>
                <w:color w:val="000000" w:themeColor="text1"/>
                <w:sz w:val="20"/>
              </w:rPr>
              <w:t>(Shark-Bay-Falschmaus)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Übertragung nach </w:t>
            </w:r>
            <w:r>
              <w:rPr>
                <w:noProof/>
                <w:color w:val="000000" w:themeColor="text1"/>
                <w:sz w:val="20"/>
              </w:rPr>
              <w:t>Anhang II wird vom CITES-Tierausschuss empfohlen. Die Art kommt im internationalen Handel nicht vor.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Xeromys myoides</w:t>
            </w:r>
            <w:r>
              <w:rPr>
                <w:rFonts w:eastAsia="Times New Roman"/>
                <w:i/>
                <w:iCs/>
                <w:noProof/>
                <w:color w:val="000000" w:themeColor="text1"/>
                <w:sz w:val="20"/>
                <w:szCs w:val="20"/>
              </w:rPr>
              <w:br/>
            </w:r>
            <w:r>
              <w:rPr>
                <w:noProof/>
                <w:color w:val="000000" w:themeColor="text1"/>
                <w:sz w:val="20"/>
              </w:rPr>
              <w:t>(Falsche Schwimmratte)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Übertragung nach Anhang II wird vom </w:t>
            </w:r>
            <w:r>
              <w:rPr>
                <w:noProof/>
                <w:color w:val="000000" w:themeColor="text1"/>
                <w:sz w:val="20"/>
              </w:rPr>
              <w:t>CITES-Tierausschuss empfohlen. Die Art kommt im internationalen Handel nicht vor.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Zyzomys pedunculatus</w:t>
            </w:r>
            <w:r>
              <w:rPr>
                <w:rFonts w:eastAsia="Times New Roman"/>
                <w:i/>
                <w:iCs/>
                <w:noProof/>
                <w:color w:val="000000" w:themeColor="text1"/>
                <w:sz w:val="20"/>
                <w:szCs w:val="20"/>
              </w:rPr>
              <w:br/>
            </w:r>
            <w:r>
              <w:rPr>
                <w:noProof/>
                <w:color w:val="000000" w:themeColor="text1"/>
                <w:sz w:val="20"/>
              </w:rPr>
              <w:t>(Australische Dickschwanzratte)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Übertragung nach Anhang II wird vom CITES-Tierausschuss </w:t>
            </w:r>
            <w:r>
              <w:rPr>
                <w:noProof/>
                <w:color w:val="000000" w:themeColor="text1"/>
                <w:sz w:val="20"/>
              </w:rPr>
              <w:t>empfohlen. Die Art kommt im internationalen Handel nicht vor.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Syrmaticus reevesii</w:t>
            </w:r>
          </w:p>
          <w:p w:rsidR="004118C6" w:rsidRDefault="00D15C59">
            <w:pPr>
              <w:spacing w:before="0" w:after="0"/>
              <w:jc w:val="left"/>
              <w:rPr>
                <w:rFonts w:eastAsia="Times New Roman"/>
                <w:noProof/>
                <w:color w:val="000000" w:themeColor="text1"/>
                <w:sz w:val="20"/>
                <w:szCs w:val="20"/>
              </w:rPr>
            </w:pPr>
            <w:r>
              <w:rPr>
                <w:noProof/>
                <w:color w:val="000000" w:themeColor="text1"/>
                <w:sz w:val="20"/>
              </w:rPr>
              <w:t>(Königsfasan)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Nur die Population von China erfüllt die Kriterien für die Aufnahme in Anhang II. Bereitschaft zur Zustimmung zu einem </w:t>
            </w:r>
            <w:r>
              <w:rPr>
                <w:noProof/>
                <w:color w:val="000000" w:themeColor="text1"/>
                <w:sz w:val="20"/>
              </w:rPr>
              <w:t>weniger weit gefassten Vorschlag, der die Verhältnismäßigkeit des Verwaltungsaufwands im Zusammenhang mit dem Handel mit Exemplaren eingeführter Populationen wahrt. Dies kann erreicht werden, indem die Aufnahme in Anhang II auf die chinesische Population b</w:t>
            </w:r>
            <w:r>
              <w:rPr>
                <w:noProof/>
                <w:color w:val="000000" w:themeColor="text1"/>
                <w:sz w:val="20"/>
              </w:rPr>
              <w:t>eschränkt wird oder indem China die Art in Anhang III aufnimmt.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c>
          <w:tcPr>
            <w:tcW w:w="817" w:type="dxa"/>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19</w:t>
            </w:r>
          </w:p>
        </w:tc>
        <w:tc>
          <w:tcPr>
            <w:tcW w:w="1701" w:type="dxa"/>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Balearica pavonina</w:t>
            </w:r>
            <w:r>
              <w:rPr>
                <w:rFonts w:eastAsia="Times New Roman"/>
                <w:i/>
                <w:iCs/>
                <w:noProof/>
                <w:color w:val="000000" w:themeColor="text1"/>
                <w:sz w:val="20"/>
                <w:szCs w:val="20"/>
              </w:rPr>
              <w:br/>
            </w:r>
            <w:r>
              <w:rPr>
                <w:noProof/>
                <w:color w:val="000000" w:themeColor="text1"/>
                <w:sz w:val="20"/>
              </w:rPr>
              <w:t>(Kronenkranich)</w:t>
            </w:r>
          </w:p>
        </w:tc>
        <w:tc>
          <w:tcPr>
            <w:tcW w:w="1985" w:type="dxa"/>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Burkina Faso, Côte d’Ivoire und Senegal</w:t>
            </w:r>
          </w:p>
        </w:tc>
        <w:tc>
          <w:tcPr>
            <w:tcW w:w="2179" w:type="dxa"/>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Unklar, ob die Kriterien für die Aufnahme in die Liste erfüllt sind und ob eine höhere Einstufung zur Bekämpfung des illegalen Handels beitragen würde. Analyse der potenziellen Auswirkungen auf den Handel mit </w:t>
            </w:r>
            <w:r>
              <w:rPr>
                <w:i/>
                <w:noProof/>
                <w:color w:val="000000" w:themeColor="text1"/>
                <w:sz w:val="20"/>
              </w:rPr>
              <w:t>Balearica regulorum</w:t>
            </w:r>
            <w:r>
              <w:rPr>
                <w:noProof/>
                <w:color w:val="000000" w:themeColor="text1"/>
                <w:sz w:val="20"/>
              </w:rPr>
              <w:t xml:space="preserve"> (Anhang II), der stärker ge</w:t>
            </w:r>
            <w:r>
              <w:rPr>
                <w:noProof/>
                <w:color w:val="000000" w:themeColor="text1"/>
                <w:sz w:val="20"/>
              </w:rPr>
              <w:t>fährdeten Art (Rote Liste der IUCN), erforderlich.  – Gegen zwei Arealstaaten wurde eine Handelsaussetzung im Rahmen des Verfahrens zur Überprüfung des signifikanten Handels (Review of Significant Trade, RST) verhängt. Die anderen Arealstaaten wurden aus d</w:t>
            </w:r>
            <w:r>
              <w:rPr>
                <w:noProof/>
                <w:color w:val="000000" w:themeColor="text1"/>
                <w:sz w:val="20"/>
              </w:rPr>
              <w:t>em Verfahren genommen, da in ihrem Fall keine Bedenken bestehen. Der Tierausschuss wurde nicht gemäß Artikel 6 Nummer 10 der Resolution Conf. 9.24 konsultiert, wonach Vorschläge zur Übertragung von Arten von Anhang II nach Anhang I einer RST unterzogen wer</w:t>
            </w:r>
            <w:r>
              <w:rPr>
                <w:noProof/>
                <w:color w:val="000000" w:themeColor="text1"/>
                <w:sz w:val="20"/>
              </w:rPr>
              <w:t>den müssen. Es wäre besser, die Ergebnisse der RST abzuwarten, bevor eine höhere Einstufung vorgenommen wird.</w:t>
            </w:r>
          </w:p>
        </w:tc>
        <w:tc>
          <w:tcPr>
            <w:tcW w:w="905" w:type="dxa"/>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Dasyornis broadbenti litoralis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(Rotkopf-Borstenvogel)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Der Vorschlag ergibt sich aus der </w:t>
            </w:r>
            <w:r>
              <w:rPr>
                <w:noProof/>
                <w:color w:val="000000" w:themeColor="text1"/>
                <w:sz w:val="20"/>
              </w:rPr>
              <w:t>regelmäßigen CITES-Überprüfung und betrifft eine nicht im Handel befindliche Art (gilt als ausgestorben; im Jahr 1906 das letzte Mal beobachtet).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Dasyornis longirostris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(Tüpfelborstenvogel)</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r>
              <w:rPr>
                <w:rFonts w:eastAsia="Times New Roman"/>
                <w:noProof/>
                <w:color w:val="000000" w:themeColor="text1"/>
                <w:sz w:val="20"/>
                <w:szCs w:val="20"/>
              </w:rPr>
              <w:br/>
            </w:r>
            <w:r>
              <w:rPr>
                <w:noProof/>
                <w:color w:val="000000" w:themeColor="text1"/>
                <w:sz w:val="20"/>
              </w:rPr>
              <w:t>Übertragung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Australien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Der Vorschlag ergibt sich aus der regelmäßigen CITES-Überprüfung und betrifft eine nicht im Handel befindliche Art.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Crocodylus acutus</w:t>
            </w:r>
            <w:r>
              <w:rPr>
                <w:rFonts w:eastAsia="Times New Roman"/>
                <w:i/>
                <w:iCs/>
                <w:noProof/>
                <w:color w:val="000000" w:themeColor="text1"/>
                <w:sz w:val="20"/>
                <w:szCs w:val="20"/>
              </w:rPr>
              <w:br/>
            </w:r>
            <w:r>
              <w:rPr>
                <w:noProof/>
                <w:color w:val="000000" w:themeColor="text1"/>
                <w:sz w:val="20"/>
              </w:rPr>
              <w:t>(Spitzkrokodil)</w:t>
            </w:r>
            <w:r>
              <w:rPr>
                <w:rFonts w:eastAsia="Times New Roman"/>
                <w:noProof/>
                <w:color w:val="000000" w:themeColor="text1"/>
                <w:sz w:val="20"/>
                <w:szCs w:val="20"/>
              </w:rPr>
              <w:br/>
            </w:r>
            <w:r>
              <w:rPr>
                <w:noProof/>
                <w:color w:val="000000" w:themeColor="text1"/>
                <w:sz w:val="20"/>
              </w:rPr>
              <w:t>(Population von Mexiko)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 – II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der mexikanischen Population von Anhang I nach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Mexiko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Zustimmung zur Übertragung von Anhang I nach Anhang II, wenn Mexiko eine 0-Quote für Exemplare aus freier Wildbahn festlegt (Herkunftscode W).</w:t>
            </w:r>
          </w:p>
          <w:p w:rsidR="004118C6" w:rsidRDefault="004118C6">
            <w:pPr>
              <w:spacing w:after="0"/>
              <w:jc w:val="left"/>
              <w:rPr>
                <w:noProof/>
                <w:color w:val="000000" w:themeColor="text1"/>
                <w:sz w:val="20"/>
                <w:szCs w:val="20"/>
                <w:highlight w:val="yellow"/>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Calotes nigrilabris </w:t>
            </w:r>
            <w:r>
              <w:rPr>
                <w:noProof/>
                <w:color w:val="000000" w:themeColor="text1"/>
                <w:sz w:val="20"/>
              </w:rPr>
              <w:t>und </w:t>
            </w:r>
            <w:r>
              <w:rPr>
                <w:i/>
                <w:noProof/>
                <w:color w:val="000000" w:themeColor="text1"/>
                <w:sz w:val="20"/>
              </w:rPr>
              <w:t>Calotes pethiyagodai</w:t>
            </w:r>
            <w:r>
              <w:rPr>
                <w:rFonts w:eastAsia="Times New Roman"/>
                <w:i/>
                <w:iCs/>
                <w:noProof/>
                <w:color w:val="000000" w:themeColor="text1"/>
                <w:sz w:val="20"/>
                <w:szCs w:val="20"/>
              </w:rPr>
              <w:br/>
            </w:r>
            <w:r>
              <w:rPr>
                <w:noProof/>
                <w:color w:val="000000" w:themeColor="text1"/>
                <w:sz w:val="20"/>
              </w:rPr>
              <w:t>(Schönechsen)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rPr>
            </w:pPr>
            <w:r>
              <w:rPr>
                <w:noProof/>
                <w:color w:val="000000" w:themeColor="text1"/>
                <w:sz w:val="20"/>
              </w:rPr>
              <w:t xml:space="preserve">Die </w:t>
            </w:r>
            <w:r>
              <w:rPr>
                <w:i/>
                <w:noProof/>
                <w:color w:val="000000" w:themeColor="text1"/>
                <w:sz w:val="20"/>
              </w:rPr>
              <w:t>biologischen</w:t>
            </w:r>
            <w:r>
              <w:rPr>
                <w:noProof/>
                <w:color w:val="000000" w:themeColor="text1"/>
                <w:sz w:val="20"/>
              </w:rPr>
              <w:t xml:space="preserve"> Kriterien für die Aufnahme in die CITES-Anhänge scheinen erfüllt zu sein, aber es gibt keine ausreichenden Belege dafür, dass die derzeitigen oder erwarteten </w:t>
            </w:r>
            <w:r>
              <w:rPr>
                <w:i/>
                <w:noProof/>
                <w:color w:val="000000" w:themeColor="text1"/>
                <w:sz w:val="20"/>
              </w:rPr>
              <w:t>Handels</w:t>
            </w:r>
            <w:r>
              <w:rPr>
                <w:noProof/>
                <w:color w:val="000000" w:themeColor="text1"/>
                <w:sz w:val="20"/>
              </w:rPr>
              <w:t xml:space="preserve">volumen dem Überleben der Art in freier Wildbahn abträglich sind. </w:t>
            </w:r>
          </w:p>
          <w:p w:rsidR="004118C6" w:rsidRDefault="00D15C59">
            <w:pPr>
              <w:spacing w:after="0"/>
              <w:jc w:val="left"/>
              <w:rPr>
                <w:noProof/>
                <w:color w:val="000000" w:themeColor="text1"/>
                <w:sz w:val="20"/>
                <w:szCs w:val="20"/>
                <w:highlight w:val="yellow"/>
              </w:rPr>
            </w:pPr>
            <w:r>
              <w:rPr>
                <w:noProof/>
                <w:color w:val="000000" w:themeColor="text1"/>
                <w:sz w:val="20"/>
              </w:rPr>
              <w:t>Nach de</w:t>
            </w:r>
            <w:r>
              <w:rPr>
                <w:noProof/>
                <w:color w:val="000000" w:themeColor="text1"/>
                <w:sz w:val="20"/>
              </w:rPr>
              <w:t xml:space="preserve">r taxonomischen Trennung von </w:t>
            </w:r>
            <w:r>
              <w:rPr>
                <w:i/>
                <w:noProof/>
                <w:color w:val="000000" w:themeColor="text1"/>
                <w:sz w:val="20"/>
              </w:rPr>
              <w:t>Calotes liocephalus</w:t>
            </w:r>
            <w:r>
              <w:rPr>
                <w:noProof/>
                <w:color w:val="000000" w:themeColor="text1"/>
                <w:sz w:val="20"/>
              </w:rPr>
              <w:t xml:space="preserve"> und </w:t>
            </w:r>
            <w:r>
              <w:rPr>
                <w:i/>
                <w:noProof/>
                <w:color w:val="000000" w:themeColor="text1"/>
                <w:sz w:val="20"/>
              </w:rPr>
              <w:t>C. pethiyagodai</w:t>
            </w:r>
            <w:r>
              <w:rPr>
                <w:noProof/>
                <w:color w:val="000000" w:themeColor="text1"/>
                <w:sz w:val="20"/>
              </w:rPr>
              <w:t xml:space="preserve"> wurde </w:t>
            </w:r>
            <w:r>
              <w:rPr>
                <w:i/>
                <w:noProof/>
                <w:color w:val="000000" w:themeColor="text1"/>
                <w:sz w:val="20"/>
              </w:rPr>
              <w:t>C. liocephalus</w:t>
            </w:r>
            <w:r>
              <w:rPr>
                <w:noProof/>
                <w:color w:val="000000" w:themeColor="text1"/>
                <w:sz w:val="20"/>
              </w:rPr>
              <w:t xml:space="preserve"> auf nationaler Ebene als „vom Aussterben bedroht“ eingestuft; diese Art wird nicht für die Aufnahme in die Liste vorgeschlagen, obwohl sie sogar noch stärker bedroht </w:t>
            </w:r>
            <w:r>
              <w:rPr>
                <w:noProof/>
                <w:color w:val="000000" w:themeColor="text1"/>
                <w:sz w:val="20"/>
              </w:rPr>
              <w:t xml:space="preserve">ist als </w:t>
            </w:r>
            <w:r>
              <w:rPr>
                <w:i/>
                <w:noProof/>
                <w:color w:val="000000" w:themeColor="text1"/>
                <w:sz w:val="20"/>
              </w:rPr>
              <w:t>C. pethivagodai</w:t>
            </w:r>
            <w:r>
              <w:rPr>
                <w:noProof/>
                <w:color w:val="000000" w:themeColor="text1"/>
                <w:sz w:val="20"/>
              </w:rPr>
              <w:t>.</w:t>
            </w:r>
            <w:r>
              <w:rPr>
                <w:i/>
                <w:noProof/>
                <w:color w:val="000000" w:themeColor="text1"/>
                <w:sz w:val="20"/>
              </w:rPr>
              <w:t xml:space="preserve"> </w:t>
            </w:r>
            <w:r>
              <w:rPr>
                <w:noProof/>
                <w:color w:val="000000" w:themeColor="text1"/>
                <w:sz w:val="20"/>
              </w:rPr>
              <w:t xml:space="preserve">Da die beiden Arten zuvor als eine Art betrachtet wurden und daher kaum unterschieden werden können, könnte die alleinige Aufnahme von </w:t>
            </w:r>
            <w:r>
              <w:rPr>
                <w:i/>
                <w:noProof/>
                <w:color w:val="000000" w:themeColor="text1"/>
                <w:sz w:val="20"/>
              </w:rPr>
              <w:t>C. pethiyagodai</w:t>
            </w:r>
            <w:r>
              <w:rPr>
                <w:noProof/>
                <w:color w:val="000000" w:themeColor="text1"/>
                <w:sz w:val="20"/>
              </w:rPr>
              <w:t xml:space="preserve"> in Anhang I Probleme bei der Erhaltung für </w:t>
            </w:r>
            <w:r>
              <w:rPr>
                <w:i/>
                <w:noProof/>
                <w:color w:val="000000" w:themeColor="text1"/>
                <w:sz w:val="20"/>
              </w:rPr>
              <w:t xml:space="preserve">C. liocephalus </w:t>
            </w:r>
            <w:r>
              <w:rPr>
                <w:noProof/>
                <w:color w:val="000000" w:themeColor="text1"/>
                <w:sz w:val="20"/>
              </w:rPr>
              <w:t>verursachen oder der H</w:t>
            </w:r>
            <w:r>
              <w:rPr>
                <w:noProof/>
                <w:color w:val="000000" w:themeColor="text1"/>
                <w:sz w:val="20"/>
              </w:rPr>
              <w:t xml:space="preserve">andel mit </w:t>
            </w:r>
            <w:r>
              <w:rPr>
                <w:i/>
                <w:noProof/>
                <w:color w:val="000000" w:themeColor="text1"/>
                <w:sz w:val="20"/>
              </w:rPr>
              <w:t xml:space="preserve">C. pethiyagodai </w:t>
            </w:r>
            <w:r>
              <w:rPr>
                <w:noProof/>
                <w:color w:val="000000" w:themeColor="text1"/>
                <w:sz w:val="20"/>
              </w:rPr>
              <w:t xml:space="preserve"> als Handel mit </w:t>
            </w:r>
            <w:r>
              <w:rPr>
                <w:i/>
                <w:noProof/>
                <w:color w:val="000000" w:themeColor="text1"/>
                <w:sz w:val="20"/>
              </w:rPr>
              <w:t>C. liocephalus.</w:t>
            </w:r>
            <w:r>
              <w:rPr>
                <w:noProof/>
                <w:color w:val="000000" w:themeColor="text1"/>
                <w:sz w:val="20"/>
              </w:rPr>
              <w:t xml:space="preserve"> fortgeführt werden.</w:t>
            </w:r>
            <w:r>
              <w:rPr>
                <w:i/>
                <w:noProof/>
                <w:color w:val="000000" w:themeColor="text1"/>
                <w:sz w:val="20"/>
              </w:rPr>
              <w:t xml:space="preserve"> </w:t>
            </w:r>
            <w:r>
              <w:rPr>
                <w:noProof/>
                <w:color w:val="000000" w:themeColor="text1"/>
                <w:sz w:val="20"/>
              </w:rPr>
              <w:t>Außerdem gibt es im Falle einer Aufnahme in Anhang I Probleme mit der individuellen Kennzeichnung der Exemplare aufgrund ihrer geringen Größe und ihrer Fähigkeit zum Farbwechsel.</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Ceratophora </w:t>
            </w:r>
            <w:r>
              <w:rPr>
                <w:noProof/>
                <w:color w:val="000000" w:themeColor="text1"/>
                <w:sz w:val="20"/>
              </w:rPr>
              <w:t>spp.</w:t>
            </w:r>
            <w:r>
              <w:rPr>
                <w:rFonts w:eastAsia="Times New Roman"/>
                <w:noProof/>
                <w:color w:val="000000" w:themeColor="text1"/>
                <w:sz w:val="20"/>
                <w:szCs w:val="20"/>
              </w:rPr>
              <w:br/>
            </w:r>
            <w:r>
              <w:rPr>
                <w:noProof/>
                <w:color w:val="000000" w:themeColor="text1"/>
                <w:sz w:val="20"/>
              </w:rPr>
              <w:t>(Hornagamen)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rPr>
            </w:pPr>
            <w:r>
              <w:rPr>
                <w:noProof/>
                <w:color w:val="000000" w:themeColor="text1"/>
                <w:sz w:val="20"/>
              </w:rPr>
              <w:t xml:space="preserve">Ablehnung der Aufnahme in Anhang I der Gattung, aber Zustimmung zur Aufnahme von </w:t>
            </w:r>
            <w:r>
              <w:rPr>
                <w:i/>
                <w:noProof/>
                <w:color w:val="000000" w:themeColor="text1"/>
                <w:sz w:val="20"/>
              </w:rPr>
              <w:t>C. erdeleni, C. karu,</w:t>
            </w:r>
            <w:r>
              <w:rPr>
                <w:noProof/>
                <w:color w:val="000000" w:themeColor="text1"/>
                <w:sz w:val="20"/>
              </w:rPr>
              <w:t xml:space="preserve"> und </w:t>
            </w:r>
            <w:r>
              <w:rPr>
                <w:i/>
                <w:noProof/>
                <w:color w:val="000000" w:themeColor="text1"/>
                <w:sz w:val="20"/>
              </w:rPr>
              <w:t>C. tennenti</w:t>
            </w:r>
            <w:r>
              <w:rPr>
                <w:noProof/>
                <w:color w:val="000000" w:themeColor="text1"/>
                <w:sz w:val="20"/>
              </w:rPr>
              <w:t xml:space="preserve"> in Anhang I und </w:t>
            </w:r>
            <w:r>
              <w:rPr>
                <w:i/>
                <w:noProof/>
                <w:color w:val="000000" w:themeColor="text1"/>
                <w:sz w:val="20"/>
              </w:rPr>
              <w:t>C. stoddartii</w:t>
            </w:r>
            <w:r>
              <w:rPr>
                <w:noProof/>
                <w:color w:val="000000" w:themeColor="text1"/>
                <w:sz w:val="20"/>
              </w:rPr>
              <w:t xml:space="preserve"> und </w:t>
            </w:r>
            <w:r>
              <w:rPr>
                <w:i/>
                <w:noProof/>
                <w:color w:val="000000" w:themeColor="text1"/>
                <w:sz w:val="20"/>
              </w:rPr>
              <w:t>C. aspera</w:t>
            </w:r>
            <w:r>
              <w:rPr>
                <w:noProof/>
                <w:color w:val="000000" w:themeColor="text1"/>
                <w:sz w:val="20"/>
              </w:rPr>
              <w:t xml:space="preserve"> in Anhang II.</w:t>
            </w:r>
          </w:p>
          <w:p w:rsidR="004118C6" w:rsidRDefault="00D15C59">
            <w:pPr>
              <w:keepLines/>
              <w:spacing w:after="0"/>
              <w:jc w:val="left"/>
              <w:rPr>
                <w:noProof/>
                <w:color w:val="000000" w:themeColor="text1"/>
                <w:sz w:val="20"/>
              </w:rPr>
            </w:pPr>
            <w:r>
              <w:rPr>
                <w:noProof/>
                <w:color w:val="000000" w:themeColor="text1"/>
                <w:sz w:val="20"/>
              </w:rPr>
              <w:t xml:space="preserve">Drei Arten erfüllen die biologischen Kriterien für Anhang I (von fünf Arten der Gattung): </w:t>
            </w:r>
            <w:r>
              <w:rPr>
                <w:i/>
                <w:noProof/>
                <w:color w:val="000000" w:themeColor="text1"/>
                <w:sz w:val="20"/>
              </w:rPr>
              <w:t>C. karu, C. erdeleni</w:t>
            </w:r>
            <w:r>
              <w:rPr>
                <w:noProof/>
                <w:color w:val="000000" w:themeColor="text1"/>
                <w:sz w:val="20"/>
              </w:rPr>
              <w:t xml:space="preserve"> und </w:t>
            </w:r>
            <w:r>
              <w:rPr>
                <w:i/>
                <w:noProof/>
                <w:color w:val="000000" w:themeColor="text1"/>
                <w:sz w:val="20"/>
              </w:rPr>
              <w:t>C. tennentii</w:t>
            </w:r>
            <w:r>
              <w:rPr>
                <w:noProof/>
                <w:color w:val="000000" w:themeColor="text1"/>
                <w:sz w:val="20"/>
              </w:rPr>
              <w:t xml:space="preserve">. Anhang II scheint für die beiden anderen Arten </w:t>
            </w:r>
            <w:r>
              <w:rPr>
                <w:i/>
                <w:noProof/>
                <w:color w:val="000000" w:themeColor="text1"/>
                <w:sz w:val="20"/>
              </w:rPr>
              <w:t>C. aspera</w:t>
            </w:r>
            <w:r>
              <w:rPr>
                <w:noProof/>
                <w:color w:val="000000" w:themeColor="text1"/>
                <w:sz w:val="20"/>
              </w:rPr>
              <w:t xml:space="preserve"> und </w:t>
            </w:r>
            <w:r>
              <w:rPr>
                <w:i/>
                <w:noProof/>
                <w:color w:val="000000" w:themeColor="text1"/>
                <w:sz w:val="20"/>
              </w:rPr>
              <w:t>C. stoddartii</w:t>
            </w:r>
            <w:r>
              <w:rPr>
                <w:noProof/>
                <w:color w:val="000000" w:themeColor="text1"/>
                <w:sz w:val="20"/>
              </w:rPr>
              <w:t xml:space="preserve"> eher angezeigt, da sie häufiger vorkommen, aber mit </w:t>
            </w:r>
            <w:r>
              <w:rPr>
                <w:noProof/>
                <w:color w:val="000000" w:themeColor="text1"/>
                <w:sz w:val="20"/>
              </w:rPr>
              <w:t>ihnen auch mehr Handel betrieben wird; außerdem wird darauf hingewiesen, dass Verwechslungsgefahr kein Kriterium für die Aufnahme in Anhang I ist (Anhang 1 der Resolution Conf. 9.24 (Rev. CoP17)).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Cophotis ceylanica </w:t>
            </w:r>
            <w:r>
              <w:rPr>
                <w:noProof/>
                <w:color w:val="000000" w:themeColor="text1"/>
                <w:sz w:val="20"/>
              </w:rPr>
              <w:t>und </w:t>
            </w:r>
            <w:r>
              <w:rPr>
                <w:i/>
                <w:noProof/>
                <w:color w:val="000000" w:themeColor="text1"/>
                <w:sz w:val="20"/>
              </w:rPr>
              <w:t>Cophotis dumbara</w:t>
            </w:r>
            <w:r>
              <w:rPr>
                <w:rFonts w:eastAsia="Times New Roman"/>
                <w:i/>
                <w:iCs/>
                <w:noProof/>
                <w:color w:val="000000" w:themeColor="text1"/>
                <w:sz w:val="20"/>
                <w:szCs w:val="20"/>
              </w:rPr>
              <w:br/>
            </w:r>
            <w:r>
              <w:rPr>
                <w:noProof/>
                <w:color w:val="000000" w:themeColor="text1"/>
                <w:sz w:val="20"/>
              </w:rPr>
              <w:t>(Taubagamen)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Der Vorschlag scheint die biologischen Kriterien zu erfüllen; sogar eine geringfügige Reduzierung der Anzahl der Exemplare kann erhebliche Auswirkungen auf die übrige Population haben. Dies sind die einzige</w:t>
            </w:r>
            <w:r>
              <w:rPr>
                <w:noProof/>
                <w:color w:val="000000" w:themeColor="text1"/>
                <w:sz w:val="20"/>
              </w:rPr>
              <w:t>n zwei Arten dieser Gattung und in Sri Lanka endemische Arten, die auf der nationalen Roten Liste Sri Lankas (2012) als hochgradig gefährdet geführt werden. Weitere Belege für den jüngsten internationalen Handel mit in freier Wildbahn gefangenen Exemplaren</w:t>
            </w:r>
            <w:r>
              <w:rPr>
                <w:noProof/>
                <w:color w:val="000000" w:themeColor="text1"/>
                <w:sz w:val="20"/>
              </w:rPr>
              <w:t xml:space="preserve"> sprächen für die Aufnahme in Anhang I, anderenfalls könnte die Aufnahme in Anhang II geeigneter sein.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Lyriocephalus scutatus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(Lyrakopfagame)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zur Aufnahme in Anhang II, da die Kriterien für die Aufnahme</w:t>
            </w:r>
            <w:r>
              <w:rPr>
                <w:noProof/>
                <w:color w:val="000000" w:themeColor="text1"/>
                <w:sz w:val="20"/>
              </w:rPr>
              <w:t xml:space="preserve"> in Anhang I nicht erfüllt sind, die Kriterien für die Aufnahme in Anhang II jedoch erfüllt sind.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Goniurosaurus spp.</w:t>
            </w:r>
            <w:r>
              <w:rPr>
                <w:rFonts w:eastAsia="Times New Roman"/>
                <w:i/>
                <w:iCs/>
                <w:noProof/>
                <w:color w:val="000000" w:themeColor="text1"/>
                <w:sz w:val="20"/>
                <w:szCs w:val="20"/>
              </w:rPr>
              <w:br/>
            </w:r>
            <w:r>
              <w:rPr>
                <w:noProof/>
                <w:color w:val="000000" w:themeColor="text1"/>
                <w:sz w:val="20"/>
              </w:rPr>
              <w:t>(Leopardgecko)</w:t>
            </w:r>
            <w:r>
              <w:rPr>
                <w:rFonts w:eastAsia="Times New Roman"/>
                <w:iCs/>
                <w:noProof/>
                <w:color w:val="000000" w:themeColor="text1"/>
                <w:sz w:val="20"/>
                <w:szCs w:val="20"/>
              </w:rPr>
              <w:br/>
            </w:r>
            <w:r>
              <w:rPr>
                <w:noProof/>
                <w:color w:val="000000" w:themeColor="text1"/>
                <w:sz w:val="20"/>
              </w:rPr>
              <w:t>(Populationen von China und Vietnam)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der Populationen von China und Vietnam in Anhang II</w:t>
            </w:r>
          </w:p>
          <w:p w:rsidR="004118C6" w:rsidRDefault="004118C6">
            <w:pPr>
              <w:spacing w:after="0"/>
              <w:jc w:val="left"/>
              <w:rPr>
                <w:rFonts w:eastAsia="Times New Roman"/>
                <w:noProof/>
                <w:color w:val="000000" w:themeColor="text1"/>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 xml:space="preserve">China, </w:t>
            </w:r>
            <w:r>
              <w:rPr>
                <w:rStyle w:val="Bodytext2"/>
                <w:rFonts w:ascii="Times New Roman" w:hAnsi="Times New Roman"/>
                <w:noProof/>
                <w:color w:val="000000" w:themeColor="text1"/>
                <w:sz w:val="20"/>
              </w:rPr>
              <w:t>Europäische Union, 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p w:rsidR="004118C6" w:rsidRDefault="00D15C59">
            <w:pPr>
              <w:spacing w:after="0"/>
              <w:jc w:val="left"/>
              <w:rPr>
                <w:noProof/>
                <w:color w:val="000000" w:themeColor="text1"/>
                <w:sz w:val="20"/>
                <w:szCs w:val="20"/>
              </w:rPr>
            </w:pPr>
            <w:r>
              <w:rPr>
                <w:noProof/>
                <w:color w:val="000000" w:themeColor="text1"/>
                <w:sz w:val="20"/>
              </w:rPr>
              <w:t>Korrektur des Vorschlags für die Aufnahme in die Liste auf der CITES-Website für die CoP18 von „</w:t>
            </w:r>
            <w:r>
              <w:rPr>
                <w:i/>
                <w:noProof/>
                <w:color w:val="000000" w:themeColor="text1"/>
                <w:sz w:val="20"/>
              </w:rPr>
              <w:t>Populationen</w:t>
            </w:r>
            <w:r>
              <w:rPr>
                <w:noProof/>
                <w:color w:val="000000" w:themeColor="text1"/>
                <w:sz w:val="20"/>
              </w:rPr>
              <w:t xml:space="preserve"> von China und Vietnam“ in „chinesische und vietnamesische </w:t>
            </w:r>
            <w:r>
              <w:rPr>
                <w:i/>
                <w:noProof/>
                <w:color w:val="000000" w:themeColor="text1"/>
                <w:sz w:val="20"/>
              </w:rPr>
              <w:t>Arten</w:t>
            </w:r>
            <w:r>
              <w:rPr>
                <w:noProof/>
                <w:color w:val="000000" w:themeColor="text1"/>
                <w:sz w:val="20"/>
              </w:rPr>
              <w:t>“ im Eink</w:t>
            </w:r>
            <w:r>
              <w:rPr>
                <w:noProof/>
                <w:color w:val="000000" w:themeColor="text1"/>
                <w:sz w:val="20"/>
              </w:rPr>
              <w:t>lang mit dem Wortlaut des ursprünglich vorgelegten Vorschlags für die Listungsänderung.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Gekko gecko</w:t>
            </w:r>
            <w:r>
              <w:rPr>
                <w:rFonts w:eastAsia="Times New Roman"/>
                <w:i/>
                <w:iCs/>
                <w:noProof/>
                <w:color w:val="000000" w:themeColor="text1"/>
                <w:sz w:val="20"/>
                <w:szCs w:val="20"/>
              </w:rPr>
              <w:br/>
            </w:r>
            <w:r>
              <w:rPr>
                <w:noProof/>
                <w:color w:val="000000" w:themeColor="text1"/>
                <w:sz w:val="20"/>
              </w:rPr>
              <w:t>(Tokeh)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Style w:val="Bodytext2"/>
                <w:rFonts w:ascii="Times New Roman" w:hAnsi="Times New Roman" w:cs="Times New Roman"/>
                <w:noProof/>
                <w:color w:val="000000" w:themeColor="text1"/>
                <w:sz w:val="20"/>
                <w:szCs w:val="20"/>
              </w:rPr>
            </w:pPr>
            <w:r>
              <w:rPr>
                <w:rStyle w:val="Bodytext2"/>
                <w:rFonts w:ascii="Times New Roman" w:hAnsi="Times New Roman"/>
                <w:noProof/>
                <w:color w:val="000000" w:themeColor="text1"/>
                <w:sz w:val="20"/>
              </w:rPr>
              <w:t>Europäische Union, Indien, Philippinen, Vereinigte Staaten von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 xml:space="preserve">Gemeinsamer Vorschlag unter Beteiligung </w:t>
            </w:r>
            <w:r>
              <w:rPr>
                <w:noProof/>
                <w:color w:val="000000" w:themeColor="text1"/>
                <w:sz w:val="20"/>
              </w:rPr>
              <w:t>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Gonatodes </w:t>
            </w:r>
            <w:r>
              <w:rPr>
                <w:rFonts w:eastAsia="Times New Roman"/>
                <w:i/>
                <w:iCs/>
                <w:noProof/>
                <w:color w:val="000000" w:themeColor="text1"/>
                <w:sz w:val="20"/>
                <w:szCs w:val="20"/>
              </w:rPr>
              <w:br/>
            </w:r>
            <w:r>
              <w:rPr>
                <w:i/>
                <w:noProof/>
                <w:color w:val="000000" w:themeColor="text1"/>
                <w:sz w:val="20"/>
              </w:rPr>
              <w:t>daudini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(Union Island-Zwerggecko)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St. Vincent und die Grenadinen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Die Art erfüllt die biologischen Kriterien für die Aufnahme in Anhang I. Kurz nach ihrer Entdeckung wurde von internationalem Handel mit de</w:t>
            </w:r>
            <w:r>
              <w:rPr>
                <w:noProof/>
                <w:color w:val="000000" w:themeColor="text1"/>
                <w:sz w:val="20"/>
              </w:rPr>
              <w:t xml:space="preserve">r Art berichtet, der auch weiter stattfindet, obwohl der Fang im natürlichen Lebensraum verboten ist.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Paroedura androyensis</w:t>
            </w:r>
            <w:r>
              <w:rPr>
                <w:rFonts w:eastAsia="Times New Roman"/>
                <w:i/>
                <w:iCs/>
                <w:noProof/>
                <w:color w:val="000000" w:themeColor="text1"/>
                <w:sz w:val="20"/>
                <w:szCs w:val="20"/>
              </w:rPr>
              <w:br/>
            </w:r>
            <w:r>
              <w:rPr>
                <w:rStyle w:val="Bodytext2"/>
                <w:noProof/>
                <w:color w:val="000000" w:themeColor="text1"/>
              </w:rPr>
              <w:t>(</w:t>
            </w:r>
            <w:r>
              <w:rPr>
                <w:rStyle w:val="Bodytext2"/>
                <w:rFonts w:ascii="Times New Roman" w:hAnsi="Times New Roman"/>
                <w:noProof/>
                <w:color w:val="000000" w:themeColor="text1"/>
                <w:sz w:val="20"/>
              </w:rPr>
              <w:t>Kleiner Madagaskargecko</w:t>
            </w:r>
            <w:r>
              <w:rPr>
                <w:rStyle w:val="Bodytext2"/>
                <w:noProof/>
                <w:color w:val="000000" w:themeColor="text1"/>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line="212" w:lineRule="exact"/>
              <w:jc w:val="left"/>
              <w:rPr>
                <w:rStyle w:val="Bodytext2"/>
                <w:rFonts w:ascii="Times New Roman" w:hAnsi="Times New Roman" w:cs="Times New Roman"/>
                <w:noProof/>
                <w:color w:val="000000" w:themeColor="text1"/>
                <w:sz w:val="20"/>
                <w:szCs w:val="20"/>
              </w:rPr>
            </w:pPr>
            <w:r>
              <w:rPr>
                <w:noProof/>
                <w:color w:val="000000" w:themeColor="text1"/>
                <w:sz w:val="20"/>
              </w:rPr>
              <w:t>Europäische Union, Madagaskar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Calibri"/>
                <w:noProof/>
                <w:color w:val="000000" w:themeColor="text1"/>
                <w:sz w:val="20"/>
                <w:szCs w:val="20"/>
              </w:rPr>
            </w:pPr>
            <w:r>
              <w:rPr>
                <w:noProof/>
                <w:color w:val="000000" w:themeColor="text1"/>
                <w:sz w:val="20"/>
              </w:rPr>
              <w:t xml:space="preserve">Gemeinsamer Vorschlag unter Beteiligung </w:t>
            </w:r>
            <w:r>
              <w:rPr>
                <w:noProof/>
                <w:color w:val="000000" w:themeColor="text1"/>
                <w:sz w:val="20"/>
              </w:rPr>
              <w:t>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Ctenosaura </w:t>
            </w:r>
            <w:r>
              <w:rPr>
                <w:noProof/>
                <w:color w:val="000000" w:themeColor="text1"/>
                <w:sz w:val="20"/>
              </w:rPr>
              <w:t>spp.</w:t>
            </w:r>
            <w:r>
              <w:rPr>
                <w:rFonts w:eastAsia="Times New Roman"/>
                <w:noProof/>
                <w:color w:val="000000" w:themeColor="text1"/>
                <w:sz w:val="20"/>
                <w:szCs w:val="20"/>
              </w:rPr>
              <w:br/>
            </w:r>
            <w:r>
              <w:rPr>
                <w:noProof/>
                <w:color w:val="000000" w:themeColor="text1"/>
                <w:sz w:val="20"/>
              </w:rPr>
              <w:t>(Schwarzleguane)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line="212" w:lineRule="exact"/>
              <w:jc w:val="left"/>
              <w:rPr>
                <w:rFonts w:eastAsia="Times New Roman"/>
                <w:noProof/>
                <w:color w:val="000000" w:themeColor="text1"/>
                <w:sz w:val="20"/>
                <w:szCs w:val="20"/>
              </w:rPr>
            </w:pPr>
            <w:r>
              <w:rPr>
                <w:rStyle w:val="Bodytext2"/>
                <w:rFonts w:ascii="Times New Roman" w:hAnsi="Times New Roman"/>
                <w:noProof/>
                <w:color w:val="000000" w:themeColor="text1"/>
                <w:sz w:val="20"/>
              </w:rPr>
              <w:t>El Salvador und Mexiko</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Der Vorschlag erfüllt die Kriterien für die Aufnahme in die Liste; mehrere Arten der Gattung könnten in Zukunft für die Aufnahme in Anhang I infrage kommen, </w:t>
            </w:r>
            <w:r>
              <w:rPr>
                <w:noProof/>
                <w:color w:val="000000" w:themeColor="text1"/>
                <w:sz w:val="20"/>
              </w:rPr>
              <w:t>wenn der Handel nicht reguliert wird, da entweder die Populationen klein sind, es nur eingeschränkte Verbreitungsgebiete gibt oder ihre Population zurückgeht oder eine Kombination aus diesen drei Kriterien vorliegt und sie aufgrund intrinsischer oder extri</w:t>
            </w:r>
            <w:r>
              <w:rPr>
                <w:noProof/>
                <w:color w:val="000000" w:themeColor="text1"/>
                <w:sz w:val="20"/>
              </w:rPr>
              <w:t>nsischer Faktoren stark gefährdet sind.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Pseudocerastes urarachnoides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(Spinnenschwanzviper)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Iran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Mehr Informationen erforderlich, um nachzuweisen, dass das </w:t>
            </w:r>
            <w:r>
              <w:rPr>
                <w:i/>
                <w:noProof/>
                <w:color w:val="000000" w:themeColor="text1"/>
                <w:sz w:val="20"/>
              </w:rPr>
              <w:t>Handelskriterium</w:t>
            </w:r>
            <w:r>
              <w:rPr>
                <w:noProof/>
                <w:color w:val="000000" w:themeColor="text1"/>
                <w:sz w:val="20"/>
              </w:rPr>
              <w:t xml:space="preserve"> erfüllt ist. Die im Vorschlag enthaltenen Informationen über den Umfang des Fangs der Art aus der freien Wildbahn und den internationalen Handel mit dieser Art (mit nur sehr wenigen nachgewiesenen Exemplaren im Handel außerhalb ihrer Arealstaaten) sind be</w:t>
            </w:r>
            <w:r>
              <w:rPr>
                <w:noProof/>
                <w:color w:val="000000" w:themeColor="text1"/>
                <w:sz w:val="20"/>
              </w:rPr>
              <w:t>schränkt, und obwohl die Art als „national gefährdet“ eingestuft wird, fehlt es an Daten über die Größe der Population, die Verbreitung oder einen etwaigen Rückgang der Bestände.</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0</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Cuora bourreti</w:t>
            </w:r>
            <w:r>
              <w:rPr>
                <w:rFonts w:eastAsia="Times New Roman"/>
                <w:i/>
                <w:iCs/>
                <w:noProof/>
                <w:color w:val="000000" w:themeColor="text1"/>
                <w:sz w:val="20"/>
                <w:szCs w:val="20"/>
              </w:rPr>
              <w:br/>
            </w:r>
            <w:r>
              <w:rPr>
                <w:noProof/>
                <w:color w:val="000000" w:themeColor="text1"/>
                <w:sz w:val="20"/>
              </w:rPr>
              <w:t>(Bourrets Scharnierschildkröte)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Übertragung von </w:t>
            </w:r>
            <w:r>
              <w:rPr>
                <w:noProof/>
                <w:color w:val="000000" w:themeColor="text1"/>
                <w:sz w:val="20"/>
              </w:rPr>
              <w:t>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zur Übertragung nach Anhang I; eine „vom Aussterben bedrohte“ Art, die mindestens Kriterium C Ziffer i in Anhang 1 der Resolution Conf. 9.24 erfüllt und mit der intensiv gehandelt wird.</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Cuora picturata</w:t>
            </w:r>
            <w:r>
              <w:rPr>
                <w:rFonts w:eastAsia="Times New Roman"/>
                <w:i/>
                <w:iCs/>
                <w:noProof/>
                <w:color w:val="000000" w:themeColor="text1"/>
                <w:sz w:val="20"/>
                <w:szCs w:val="20"/>
              </w:rPr>
              <w:br/>
            </w:r>
            <w:r>
              <w:rPr>
                <w:noProof/>
                <w:color w:val="000000" w:themeColor="text1"/>
                <w:sz w:val="20"/>
              </w:rPr>
              <w:t>(Viet</w:t>
            </w:r>
            <w:r>
              <w:rPr>
                <w:noProof/>
                <w:color w:val="000000" w:themeColor="text1"/>
                <w:sz w:val="20"/>
              </w:rPr>
              <w:t>namesische Scharnierschildkröte)</w:t>
            </w:r>
            <w:r>
              <w:rPr>
                <w:rFonts w:eastAsia="Times New Roman"/>
                <w:i/>
                <w:iCs/>
                <w:noProof/>
                <w:color w:val="000000" w:themeColor="text1"/>
                <w:sz w:val="20"/>
                <w:szCs w:val="20"/>
              </w:rPr>
              <w:br/>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Zustimmung zur Übertragung nach Anhang I – eine „vom Aussterben bedrohte“ Art, die alle biologischen Kriterien der Resolution Conf. 9.24 für die Aufnahme in Anhang I </w:t>
            </w:r>
            <w:r>
              <w:rPr>
                <w:noProof/>
                <w:color w:val="000000" w:themeColor="text1"/>
                <w:sz w:val="20"/>
              </w:rPr>
              <w:t>erfüllt und mit der intensiv gehandelt wird. Der Vorschlag ergibt sich aus einer Empfehlung im Rahmen der regelmäßigen Überprüfung.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Mauremys </w:t>
            </w:r>
            <w:r>
              <w:rPr>
                <w:rFonts w:eastAsia="Times New Roman"/>
                <w:i/>
                <w:iCs/>
                <w:noProof/>
                <w:color w:val="000000" w:themeColor="text1"/>
                <w:sz w:val="20"/>
                <w:szCs w:val="20"/>
              </w:rPr>
              <w:br/>
            </w:r>
            <w:r>
              <w:rPr>
                <w:i/>
                <w:noProof/>
                <w:color w:val="000000" w:themeColor="text1"/>
                <w:sz w:val="20"/>
              </w:rPr>
              <w:t>annamensis</w:t>
            </w:r>
            <w:r>
              <w:rPr>
                <w:rFonts w:eastAsia="Times New Roman"/>
                <w:i/>
                <w:iCs/>
                <w:noProof/>
                <w:color w:val="000000" w:themeColor="text1"/>
                <w:sz w:val="20"/>
                <w:szCs w:val="20"/>
              </w:rPr>
              <w:br/>
            </w:r>
            <w:r>
              <w:rPr>
                <w:noProof/>
                <w:color w:val="000000" w:themeColor="text1"/>
                <w:sz w:val="20"/>
              </w:rPr>
              <w:t>(Annam-Sumpfschildkröte)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Vietnam</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Zustimmung zur </w:t>
            </w:r>
            <w:r>
              <w:rPr>
                <w:noProof/>
                <w:color w:val="000000" w:themeColor="text1"/>
                <w:sz w:val="20"/>
              </w:rPr>
              <w:t>Übertragung nach Anhang I – eine „vom Aussterben bedrohte“ Art, die mindestens Kriterium C Ziffer i in Anhang 1 der Resolution Conf. 9.24 erfüllt und mit der intensiv gehandelt wird. Der Vorschlag ergibt sich aus einer Empfehlung im Rahmen der regelmäßigen</w:t>
            </w:r>
            <w:r>
              <w:rPr>
                <w:noProof/>
                <w:color w:val="000000" w:themeColor="text1"/>
                <w:sz w:val="20"/>
              </w:rPr>
              <w:t xml:space="preserve"> Überprüfung.</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 xml:space="preserve">Geochelone </w:t>
            </w:r>
            <w:r>
              <w:rPr>
                <w:rFonts w:eastAsia="Times New Roman"/>
                <w:i/>
                <w:iCs/>
                <w:noProof/>
                <w:color w:val="000000" w:themeColor="text1"/>
                <w:sz w:val="20"/>
                <w:szCs w:val="20"/>
              </w:rPr>
              <w:br/>
            </w:r>
            <w:r>
              <w:rPr>
                <w:i/>
                <w:noProof/>
                <w:color w:val="000000" w:themeColor="text1"/>
                <w:sz w:val="20"/>
              </w:rPr>
              <w:t>elegans</w:t>
            </w:r>
            <w:r>
              <w:rPr>
                <w:rFonts w:eastAsia="Times New Roman"/>
                <w:i/>
                <w:iCs/>
                <w:noProof/>
                <w:color w:val="000000" w:themeColor="text1"/>
                <w:sz w:val="20"/>
                <w:szCs w:val="20"/>
              </w:rPr>
              <w:br/>
            </w:r>
            <w:r>
              <w:rPr>
                <w:rStyle w:val="Bodytext2"/>
                <w:rFonts w:ascii="Times New Roman" w:hAnsi="Times New Roman"/>
                <w:noProof/>
                <w:color w:val="000000" w:themeColor="text1"/>
                <w:sz w:val="20"/>
              </w:rPr>
              <w:t>(Sternschildkröte)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Bangladesch, Indien, Senegal und Sri Lanka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Die Aufnahme in die Liste wird von den meisten Arealstaaten gemeinsam vorgeschlagen. Dennoch wären mehr Inf</w:t>
            </w:r>
            <w:r>
              <w:rPr>
                <w:noProof/>
                <w:color w:val="000000" w:themeColor="text1"/>
                <w:sz w:val="20"/>
              </w:rPr>
              <w:t>ormationen nützlich, um zu bestätigen, dass die biologischen Kriterien in Anhang 1 der Resolution Conf. 9.24 erfüllt sind. Der illegale Handel ist sehr besorgniserregend, obwohl die Entnahme von und der Handel mit frei lebenden Exemplaren in den Arealstaat</w:t>
            </w:r>
            <w:r>
              <w:rPr>
                <w:noProof/>
                <w:color w:val="000000" w:themeColor="text1"/>
                <w:sz w:val="20"/>
              </w:rPr>
              <w:t>en bereits verboten sind. Die Bedenken im Zusammenhang mit dem Missbrauch des Ursprungscodes C und einer möglichen „Artenwäsche“, indem frei lebende Exemplare als in Gefangenschaft gezüchtet ausgegeben werden, werden im Rahmen von CITES bereits in der Reso</w:t>
            </w:r>
            <w:r>
              <w:rPr>
                <w:noProof/>
                <w:color w:val="000000" w:themeColor="text1"/>
                <w:sz w:val="20"/>
              </w:rPr>
              <w:t xml:space="preserve">lution Conf. 17.7 behandelt.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Malacochersus tornieri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(Spatenschildkröte)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w:t>
            </w:r>
          </w:p>
          <w:p w:rsidR="004118C6" w:rsidRDefault="00D15C59">
            <w:pPr>
              <w:spacing w:after="0"/>
              <w:jc w:val="left"/>
              <w:rPr>
                <w:rFonts w:eastAsia="Times New Roman"/>
                <w:noProof/>
                <w:color w:val="000000" w:themeColor="text1"/>
                <w:sz w:val="20"/>
                <w:szCs w:val="20"/>
              </w:rPr>
            </w:pPr>
            <w:r>
              <w:rPr>
                <w:noProof/>
                <w:color w:val="000000" w:themeColor="text1"/>
                <w:sz w:val="20"/>
              </w:rPr>
              <w:t>Übertragung von Anhang II nach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Kenia,</w:t>
            </w:r>
            <w:r>
              <w:rPr>
                <w:rFonts w:eastAsia="Times New Roman"/>
                <w:noProof/>
                <w:color w:val="000000" w:themeColor="text1"/>
                <w:sz w:val="20"/>
                <w:szCs w:val="20"/>
              </w:rPr>
              <w:br/>
            </w:r>
            <w:r>
              <w:rPr>
                <w:noProof/>
                <w:color w:val="000000" w:themeColor="text1"/>
                <w:sz w:val="20"/>
              </w:rPr>
              <w:t>Vereinigte Staaten von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zum Vorschlag. Bei der jüngsten Bewertung für die Zwecke der Roten Liste (2018) wurde die Art als „vom Aussterben bedroht“ eingestuft. Der Vorschlag scheint in einem angemessen Verhältnis zu den zu erwartenden Risiken für die Art zu stehen, nach</w:t>
            </w:r>
            <w:r>
              <w:rPr>
                <w:noProof/>
                <w:color w:val="000000" w:themeColor="text1"/>
                <w:sz w:val="20"/>
              </w:rPr>
              <w:t xml:space="preserve"> der im Handel eine große Nachfrage besteht und die vom illegalen Handel betroffen ist. Die übermäßige Nutzung ist derzeit den Angaben zufolge das Hauptproblem für die Populationen der Art. Die Art scheint die Kriterien zur Aufnahme in Anhang I zu erfüllen</w:t>
            </w:r>
            <w:r>
              <w:rPr>
                <w:noProof/>
                <w:color w:val="000000" w:themeColor="text1"/>
                <w:sz w:val="20"/>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Hyalinobatrachium </w:t>
            </w:r>
            <w:r>
              <w:rPr>
                <w:noProof/>
                <w:color w:val="000000" w:themeColor="text1"/>
                <w:sz w:val="20"/>
              </w:rPr>
              <w:t xml:space="preserve">spp., </w:t>
            </w:r>
            <w:r>
              <w:rPr>
                <w:i/>
                <w:noProof/>
                <w:color w:val="000000" w:themeColor="text1"/>
                <w:sz w:val="20"/>
              </w:rPr>
              <w:t>Centrolene</w:t>
            </w:r>
            <w:r>
              <w:rPr>
                <w:noProof/>
                <w:color w:val="000000" w:themeColor="text1"/>
                <w:sz w:val="20"/>
              </w:rPr>
              <w:t xml:space="preserve"> spp., </w:t>
            </w:r>
            <w:r>
              <w:rPr>
                <w:i/>
                <w:noProof/>
                <w:color w:val="000000" w:themeColor="text1"/>
                <w:sz w:val="20"/>
              </w:rPr>
              <w:t>Cochranella</w:t>
            </w:r>
            <w:r>
              <w:rPr>
                <w:noProof/>
                <w:color w:val="000000" w:themeColor="text1"/>
                <w:sz w:val="20"/>
              </w:rPr>
              <w:t xml:space="preserve"> spp. und </w:t>
            </w:r>
            <w:r>
              <w:rPr>
                <w:i/>
                <w:noProof/>
                <w:color w:val="000000" w:themeColor="text1"/>
                <w:sz w:val="20"/>
              </w:rPr>
              <w:t>Sachatamia</w:t>
            </w:r>
            <w:r>
              <w:rPr>
                <w:noProof/>
                <w:color w:val="000000" w:themeColor="text1"/>
                <w:sz w:val="20"/>
              </w:rPr>
              <w:t xml:space="preserve"> spp.</w:t>
            </w:r>
            <w:r>
              <w:rPr>
                <w:rFonts w:eastAsia="Times New Roman"/>
                <w:noProof/>
                <w:color w:val="000000" w:themeColor="text1"/>
                <w:sz w:val="20"/>
                <w:szCs w:val="20"/>
              </w:rPr>
              <w:br/>
            </w:r>
            <w:r>
              <w:rPr>
                <w:noProof/>
                <w:color w:val="000000" w:themeColor="text1"/>
                <w:sz w:val="20"/>
              </w:rPr>
              <w:t>(Glasfrösche)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Costa Rica,</w:t>
            </w:r>
            <w:r>
              <w:rPr>
                <w:rFonts w:eastAsia="Times New Roman"/>
                <w:noProof/>
                <w:color w:val="000000" w:themeColor="text1"/>
                <w:sz w:val="20"/>
                <w:szCs w:val="20"/>
              </w:rPr>
              <w:br/>
            </w:r>
            <w:r>
              <w:rPr>
                <w:noProof/>
                <w:color w:val="000000" w:themeColor="text1"/>
                <w:sz w:val="20"/>
              </w:rPr>
              <w:t>El Salvador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Die EU könnte einem enger gefassten Vorschlag zustimmen, wenn die Antragsteller beschließen, ihn auf solche Arten zu beschränken, für die nachgewiesen werden kann, dass sie die Kriterien für die Aufnahme in die Liste erfüllen. Aufgrund fehlender Daten zur </w:t>
            </w:r>
            <w:r>
              <w:rPr>
                <w:noProof/>
                <w:color w:val="000000" w:themeColor="text1"/>
                <w:sz w:val="20"/>
              </w:rPr>
              <w:t>Population und da der gemeldete Handel meist nur mit „nicht gefährdeten“ Arten erfolgt, scheint die Aufnahme aller 104 Arten, die zu vier Gattungen gehören, in Anhang II nicht verhältnismäßig. Es sind weitere Informationen über Arten nötig, mit denen am me</w:t>
            </w:r>
            <w:r>
              <w:rPr>
                <w:noProof/>
                <w:color w:val="000000" w:themeColor="text1"/>
                <w:sz w:val="20"/>
              </w:rPr>
              <w:t xml:space="preserve">isten gehandelt wird.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Echinotriton chinhaiensis </w:t>
            </w:r>
            <w:r>
              <w:rPr>
                <w:noProof/>
                <w:color w:val="000000" w:themeColor="text1"/>
                <w:sz w:val="20"/>
              </w:rPr>
              <w:t>und </w:t>
            </w:r>
            <w:r>
              <w:rPr>
                <w:i/>
                <w:noProof/>
                <w:color w:val="000000" w:themeColor="text1"/>
                <w:sz w:val="20"/>
              </w:rPr>
              <w:t>Echinotriton maxiquadratus</w:t>
            </w:r>
            <w:r>
              <w:rPr>
                <w:rFonts w:eastAsia="Times New Roman"/>
                <w:i/>
                <w:iCs/>
                <w:noProof/>
                <w:color w:val="000000" w:themeColor="text1"/>
                <w:sz w:val="20"/>
                <w:szCs w:val="20"/>
              </w:rPr>
              <w:br/>
            </w:r>
            <w:r>
              <w:rPr>
                <w:noProof/>
                <w:color w:val="000000" w:themeColor="text1"/>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r>
              <w:rPr>
                <w:rFonts w:eastAsia="Times New Roman"/>
                <w:noProof/>
                <w:color w:val="000000" w:themeColor="text1"/>
                <w:sz w:val="20"/>
                <w:szCs w:val="20"/>
              </w:rPr>
              <w:br/>
            </w: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China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Calibri"/>
                <w:noProof/>
                <w:color w:val="000000" w:themeColor="text1"/>
                <w:sz w:val="20"/>
                <w:szCs w:val="20"/>
              </w:rPr>
            </w:pPr>
            <w:r>
              <w:rPr>
                <w:noProof/>
                <w:color w:val="000000" w:themeColor="text1"/>
                <w:sz w:val="20"/>
              </w:rPr>
              <w:t xml:space="preserve">Die Arten erfüllen die biologischen Kriterien für die Aufnahme in Anhang I. Ihr Erhaltungszustand würde von dem internationalen Schutz profitieren. Obwohl das Ausmaß des internationalen Handels gering scheint, könnte </w:t>
            </w:r>
            <w:r>
              <w:rPr>
                <w:i/>
                <w:noProof/>
                <w:color w:val="000000" w:themeColor="text1"/>
                <w:sz w:val="20"/>
              </w:rPr>
              <w:t>jeder</w:t>
            </w:r>
            <w:r>
              <w:rPr>
                <w:noProof/>
                <w:color w:val="000000" w:themeColor="text1"/>
                <w:sz w:val="20"/>
              </w:rPr>
              <w:t xml:space="preserve"> Handel mit frei lebenden Exemplar</w:t>
            </w:r>
            <w:r>
              <w:rPr>
                <w:noProof/>
                <w:color w:val="000000" w:themeColor="text1"/>
                <w:sz w:val="20"/>
              </w:rPr>
              <w:t>en dem Überleben der Populationen abträglich sein, da diese extrem klein sind und weiter abnehmen.</w:t>
            </w:r>
          </w:p>
          <w:p w:rsidR="004118C6" w:rsidRDefault="00D15C59">
            <w:pPr>
              <w:spacing w:after="0"/>
              <w:jc w:val="left"/>
              <w:rPr>
                <w:noProof/>
                <w:color w:val="000000" w:themeColor="text1"/>
                <w:sz w:val="20"/>
                <w:szCs w:val="20"/>
                <w:highlight w:val="yellow"/>
              </w:rPr>
            </w:pPr>
            <w:r>
              <w:rPr>
                <w:i/>
                <w:noProof/>
                <w:color w:val="000000" w:themeColor="text1"/>
                <w:sz w:val="20"/>
              </w:rPr>
              <w:t>Echinotriton</w:t>
            </w:r>
            <w:r>
              <w:rPr>
                <w:noProof/>
                <w:color w:val="000000" w:themeColor="text1"/>
                <w:sz w:val="20"/>
              </w:rPr>
              <w:t xml:space="preserve"> wurde erst im Jahr 1982 von der Gattung </w:t>
            </w:r>
            <w:r>
              <w:rPr>
                <w:i/>
                <w:noProof/>
                <w:color w:val="000000" w:themeColor="text1"/>
                <w:sz w:val="20"/>
              </w:rPr>
              <w:t>Tylototriton</w:t>
            </w:r>
            <w:r>
              <w:rPr>
                <w:noProof/>
                <w:color w:val="000000" w:themeColor="text1"/>
                <w:sz w:val="20"/>
              </w:rPr>
              <w:t xml:space="preserve"> abgegrenzt (Vorschlag Nr. 41 für die Aufnahme in die Liste). Daher ist die Auflistung beide</w:t>
            </w:r>
            <w:r>
              <w:rPr>
                <w:noProof/>
                <w:color w:val="000000" w:themeColor="text1"/>
                <w:sz w:val="20"/>
              </w:rPr>
              <w:t>r Gattungen auch auf der Grundlage des Kriteriums der Verwechslungsgefahr („Look alike“-Kriterium) angezeigt.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Paramesotriton spp.</w:t>
            </w:r>
            <w:r>
              <w:rPr>
                <w:rFonts w:eastAsia="Times New Roman"/>
                <w:i/>
                <w:iCs/>
                <w:noProof/>
                <w:color w:val="000000" w:themeColor="text1"/>
                <w:sz w:val="20"/>
                <w:szCs w:val="20"/>
              </w:rPr>
              <w:br/>
            </w:r>
            <w:r>
              <w:rPr>
                <w:noProof/>
                <w:color w:val="000000" w:themeColor="text1"/>
                <w:sz w:val="20"/>
              </w:rPr>
              <w:t>(Warzenmolche)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China, Europäische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Tylototriton spp.</w:t>
            </w:r>
            <w:r>
              <w:rPr>
                <w:rFonts w:eastAsia="Times New Roman"/>
                <w:i/>
                <w:iCs/>
                <w:noProof/>
                <w:color w:val="000000" w:themeColor="text1"/>
                <w:sz w:val="20"/>
                <w:szCs w:val="20"/>
              </w:rPr>
              <w:br/>
            </w:r>
            <w:r>
              <w:rPr>
                <w:noProof/>
                <w:color w:val="000000" w:themeColor="text1"/>
                <w:sz w:val="20"/>
              </w:rPr>
              <w:t>(Krokodilmolche)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sz w:val="20"/>
              </w:rPr>
              <w:t>China, Europäische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Isurus oxyrinchus </w:t>
            </w:r>
            <w:r>
              <w:rPr>
                <w:noProof/>
                <w:color w:val="000000" w:themeColor="text1"/>
                <w:sz w:val="20"/>
              </w:rPr>
              <w:t>und</w:t>
            </w:r>
            <w:r>
              <w:rPr>
                <w:i/>
                <w:noProof/>
                <w:color w:val="000000" w:themeColor="text1"/>
                <w:sz w:val="20"/>
              </w:rPr>
              <w:t xml:space="preserve"> Isurus paucus</w:t>
            </w:r>
            <w:r>
              <w:rPr>
                <w:rFonts w:eastAsia="Times New Roman"/>
                <w:i/>
                <w:iCs/>
                <w:noProof/>
                <w:color w:val="000000" w:themeColor="text1"/>
                <w:sz w:val="20"/>
                <w:szCs w:val="20"/>
              </w:rPr>
              <w:br/>
            </w:r>
            <w:r>
              <w:rPr>
                <w:noProof/>
                <w:color w:val="000000" w:themeColor="text1"/>
                <w:sz w:val="20"/>
              </w:rPr>
              <w:t>(Makohaie)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Ägypten, Bangladesch, Benin, </w:t>
            </w:r>
            <w:r>
              <w:rPr>
                <w:noProof/>
                <w:color w:val="000000" w:themeColor="text1"/>
                <w:sz w:val="20"/>
              </w:rPr>
              <w:t>Bhutan, Brasilien, Burkina Faso, Cabo Verde, Côte d‘Ivoire, Dominikanische Republik, Europäische Union, Gabun, Gambia, Jordanien, Libanon, Liberia, Malediven, Mali, Mexiko, Nepal, Niger, Nigeria, Palau, Samoa, Senegal, Sri Lanka, Sudan, Togo, Tschad</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 Standpunkt noch unter Berücksichtigung der Ergebnisse der Bewertungen durch die Expertengruppe der FAO, das CITES-Sekretariat und die IUCN festzulegen.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Glaucostegus spp.</w:t>
            </w:r>
            <w:r>
              <w:rPr>
                <w:rFonts w:eastAsia="Times New Roman"/>
                <w:i/>
                <w:iCs/>
                <w:noProof/>
                <w:color w:val="000000" w:themeColor="text1"/>
                <w:sz w:val="20"/>
                <w:szCs w:val="20"/>
              </w:rPr>
              <w:br/>
            </w:r>
            <w:r>
              <w:rPr>
                <w:noProof/>
                <w:color w:val="000000" w:themeColor="text1"/>
                <w:sz w:val="20"/>
              </w:rPr>
              <w:t>(Geigenrochen)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w:t>
            </w:r>
            <w:r>
              <w:rPr>
                <w:noProof/>
                <w:color w:val="000000" w:themeColor="text1"/>
                <w:sz w:val="20"/>
              </w:rPr>
              <w:t xml:space="preserv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Arabische Republik Syrien, Ägypten, Bangladesch, Benin, Bhutan, Brasilien, Burkina Faso, Cabo Verde, Côte d‘Ivoire, Europäische Union, Gabun, Gambia, Malediven, Mali, Mauretanien, Monaco, Nepal, Niger, Nigeria, Palau, Senegal, Sierra Leone, S</w:t>
            </w:r>
            <w:r>
              <w:rPr>
                <w:noProof/>
                <w:color w:val="000000" w:themeColor="text1"/>
                <w:sz w:val="20"/>
              </w:rPr>
              <w:t>ri Lanka, Togo, Tschad, Ukraine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Rhinidae spp.</w:t>
            </w:r>
            <w:r>
              <w:rPr>
                <w:rFonts w:eastAsia="Times New Roman"/>
                <w:i/>
                <w:iCs/>
                <w:noProof/>
                <w:color w:val="000000" w:themeColor="text1"/>
                <w:sz w:val="20"/>
                <w:szCs w:val="20"/>
              </w:rPr>
              <w:br/>
            </w:r>
            <w:r>
              <w:rPr>
                <w:noProof/>
                <w:color w:val="000000" w:themeColor="text1"/>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Arabische Republik Syrien, Ägypten, Äthiopien, Bangladesch, Benin, Bhutan, Brasilien, Burkina Faso, Cabo Verde, Côte </w:t>
            </w:r>
            <w:r>
              <w:rPr>
                <w:noProof/>
                <w:color w:val="000000" w:themeColor="text1"/>
                <w:sz w:val="20"/>
              </w:rPr>
              <w:t>d‘Ivoire, Europäische Union, Fidschi, Gabun, Gambia, Indien, Jordanien, Kenia, Libanon, Malediven, Mali, Mexiko, Monaco, Nepal, Niger, Nigeria, Palau, Philippinen, Saudi-Arabien, Senegal, Seychellen, Sri Lanka, Sudan, Togo, Tschad und Ukraine</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w:t>
            </w:r>
            <w:r>
              <w:rPr>
                <w:noProof/>
                <w:color w:val="000000" w:themeColor="text1"/>
                <w:sz w:val="20"/>
              </w:rPr>
              <w:t>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Holothuria (Microthele) fuscogilva, Holothuria (Microthele) nobilis, Holothuria (Microthele) whitmaei</w:t>
            </w:r>
            <w:r>
              <w:rPr>
                <w:rFonts w:eastAsia="Times New Roman"/>
                <w:i/>
                <w:iCs/>
                <w:noProof/>
                <w:color w:val="000000" w:themeColor="text1"/>
                <w:sz w:val="20"/>
                <w:szCs w:val="20"/>
              </w:rPr>
              <w:br/>
            </w:r>
            <w:r>
              <w:rPr>
                <w:noProof/>
                <w:color w:val="000000" w:themeColor="text1"/>
                <w:sz w:val="20"/>
              </w:rPr>
              <w:t>(Seegurken)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Europäische Union,</w:t>
            </w:r>
            <w:r>
              <w:rPr>
                <w:rFonts w:eastAsia="Times New Roman"/>
                <w:noProof/>
                <w:color w:val="000000" w:themeColor="text1"/>
                <w:sz w:val="20"/>
                <w:szCs w:val="20"/>
              </w:rPr>
              <w:br/>
            </w:r>
            <w:r>
              <w:rPr>
                <w:noProof/>
                <w:color w:val="000000" w:themeColor="text1"/>
                <w:sz w:val="20"/>
              </w:rPr>
              <w:t xml:space="preserve">Kenia, Senegal, Seychellen, Vereinigte Staaten von </w:t>
            </w:r>
            <w:r>
              <w:rPr>
                <w:noProof/>
                <w:color w:val="000000" w:themeColor="text1"/>
                <w:sz w:val="20"/>
              </w:rPr>
              <w:t>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 xml:space="preserve">Poecilotheria </w:t>
            </w:r>
            <w:r>
              <w:rPr>
                <w:noProof/>
                <w:color w:val="000000" w:themeColor="text1"/>
                <w:sz w:val="20"/>
              </w:rPr>
              <w:t>spp.</w:t>
            </w:r>
            <w:r>
              <w:rPr>
                <w:rFonts w:eastAsia="Times New Roman"/>
                <w:noProof/>
                <w:color w:val="000000" w:themeColor="text1"/>
                <w:sz w:val="20"/>
                <w:szCs w:val="20"/>
              </w:rPr>
              <w:br/>
            </w:r>
            <w:r>
              <w:rPr>
                <w:rStyle w:val="Bodytext2"/>
                <w:rFonts w:ascii="Times New Roman" w:hAnsi="Times New Roman"/>
                <w:noProof/>
                <w:color w:val="000000" w:themeColor="text1"/>
                <w:sz w:val="20"/>
              </w:rPr>
              <w:t>(Ornamentvogelspinnen)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Sri Lanka,</w:t>
            </w:r>
            <w:r>
              <w:rPr>
                <w:rFonts w:eastAsia="Times New Roman"/>
                <w:noProof/>
                <w:color w:val="000000" w:themeColor="text1"/>
                <w:sz w:val="20"/>
                <w:szCs w:val="20"/>
              </w:rPr>
              <w:br/>
            </w:r>
            <w:r>
              <w:rPr>
                <w:noProof/>
                <w:color w:val="000000" w:themeColor="text1"/>
                <w:sz w:val="20"/>
              </w:rPr>
              <w:t>Vereinigte Staaten von Amerika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 xml:space="preserve">Tendenziell Zustimmung. Alle Arten scheinen zumindest einige der Kriterien zur </w:t>
            </w:r>
            <w:r>
              <w:rPr>
                <w:noProof/>
                <w:color w:val="000000" w:themeColor="text1"/>
                <w:sz w:val="20"/>
              </w:rPr>
              <w:t>Aufnahme in Anhang II zu erfüllen. Es könnte Schwierigkeiten bei der Umsetzung im Zusammenhang mit der Identifizierung von in Gefangenschaft gezüchteten Exemplaren geben.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118C6" w:rsidRDefault="00D15C59">
            <w:pPr>
              <w:spacing w:after="0"/>
              <w:jc w:val="center"/>
              <w:rPr>
                <w:rFonts w:eastAsia="Times New Roman"/>
                <w:noProof/>
                <w:color w:val="000000" w:themeColor="text1"/>
                <w:sz w:val="20"/>
                <w:szCs w:val="20"/>
              </w:rPr>
            </w:pPr>
            <w:r>
              <w:rPr>
                <w:noProof/>
                <w:color w:val="000000" w:themeColor="text1"/>
                <w:sz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118C6" w:rsidRDefault="00D15C59">
            <w:pPr>
              <w:spacing w:after="0"/>
              <w:jc w:val="left"/>
              <w:rPr>
                <w:rFonts w:eastAsia="Times New Roman"/>
                <w:i/>
                <w:iCs/>
                <w:noProof/>
                <w:color w:val="000000" w:themeColor="text1"/>
                <w:sz w:val="20"/>
                <w:szCs w:val="20"/>
              </w:rPr>
            </w:pPr>
            <w:r>
              <w:rPr>
                <w:i/>
                <w:noProof/>
                <w:color w:val="000000" w:themeColor="text1"/>
                <w:sz w:val="20"/>
              </w:rPr>
              <w:t>Achillides chikae hermeli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Europäische Union,</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Philippinen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 xml:space="preserve">Gemeinsamer </w:t>
            </w:r>
            <w:r>
              <w:rPr>
                <w:noProof/>
                <w:color w:val="000000" w:themeColor="text1"/>
                <w:sz w:val="20"/>
              </w:rPr>
              <w:t>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Parides burchellanus</w:t>
            </w:r>
            <w:r>
              <w:rPr>
                <w:rFonts w:eastAsia="Times New Roman"/>
                <w:i/>
                <w:iCs/>
                <w:noProof/>
                <w:color w:val="000000" w:themeColor="text1"/>
                <w:sz w:val="20"/>
                <w:szCs w:val="20"/>
              </w:rPr>
              <w:br/>
            </w:r>
            <w:r>
              <w:rPr>
                <w:noProof/>
                <w:color w:val="000000" w:themeColor="text1"/>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Brasilien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Zustimmung zum Vorschlag. </w:t>
            </w:r>
            <w:r>
              <w:rPr>
                <w:i/>
                <w:noProof/>
                <w:color w:val="000000" w:themeColor="text1"/>
                <w:sz w:val="20"/>
              </w:rPr>
              <w:t>Diese Art erfüllt die Kriterien zur Aufnahme in Anhang I. Exemplare dieser Art</w:t>
            </w:r>
            <w:r>
              <w:rPr>
                <w:noProof/>
                <w:color w:val="000000" w:themeColor="text1"/>
                <w:sz w:val="20"/>
              </w:rPr>
              <w:t xml:space="preserve"> sind im Handel zu finden und aufgrund der geringen Populationsgröße könnte jeder Handel abträglich sein. </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 xml:space="preserve">Handroanthus </w:t>
            </w:r>
            <w:r>
              <w:rPr>
                <w:noProof/>
                <w:color w:val="000000" w:themeColor="text1"/>
                <w:sz w:val="20"/>
              </w:rPr>
              <w:t>spp</w:t>
            </w:r>
            <w:r>
              <w:rPr>
                <w:i/>
                <w:noProof/>
                <w:color w:val="000000" w:themeColor="text1"/>
                <w:sz w:val="20"/>
              </w:rPr>
              <w:t xml:space="preserve">., </w:t>
            </w:r>
            <w:r>
              <w:rPr>
                <w:rFonts w:eastAsia="Times New Roman"/>
                <w:i/>
                <w:iCs/>
                <w:noProof/>
                <w:color w:val="000000" w:themeColor="text1"/>
                <w:sz w:val="20"/>
                <w:szCs w:val="20"/>
              </w:rPr>
              <w:br/>
            </w:r>
            <w:r>
              <w:rPr>
                <w:i/>
                <w:noProof/>
                <w:color w:val="000000" w:themeColor="text1"/>
                <w:sz w:val="20"/>
              </w:rPr>
              <w:t xml:space="preserve">Tabebuia </w:t>
            </w:r>
            <w:r>
              <w:rPr>
                <w:noProof/>
                <w:color w:val="000000" w:themeColor="text1"/>
                <w:sz w:val="20"/>
              </w:rPr>
              <w:t>spp. und </w:t>
            </w:r>
            <w:r>
              <w:rPr>
                <w:rFonts w:eastAsia="Times New Roman"/>
                <w:noProof/>
                <w:color w:val="000000" w:themeColor="text1"/>
                <w:sz w:val="20"/>
                <w:szCs w:val="20"/>
              </w:rPr>
              <w:br/>
            </w:r>
            <w:r>
              <w:rPr>
                <w:i/>
                <w:noProof/>
                <w:color w:val="000000" w:themeColor="text1"/>
                <w:sz w:val="20"/>
              </w:rPr>
              <w:t xml:space="preserve">Roseodendron </w:t>
            </w:r>
            <w:r>
              <w:rPr>
                <w:noProof/>
                <w:color w:val="000000" w:themeColor="text1"/>
                <w:sz w:val="20"/>
              </w:rPr>
              <w:t>spp.</w:t>
            </w:r>
            <w:r>
              <w:rPr>
                <w:rFonts w:eastAsia="Times New Roman"/>
                <w:noProof/>
                <w:color w:val="000000" w:themeColor="text1"/>
                <w:sz w:val="20"/>
                <w:szCs w:val="20"/>
              </w:rPr>
              <w:br/>
            </w:r>
            <w:r>
              <w:rPr>
                <w:noProof/>
                <w:color w:val="000000" w:themeColor="text1"/>
                <w:sz w:val="20"/>
              </w:rPr>
              <w:t>(Trompetenbaumgewächse)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 mit Anmerkung #6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Brasilien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Zustimmung. Die Kriterien der Resolutionen 9.24 und 11.21 sind erfüllt. Arten der Gattung </w:t>
            </w:r>
            <w:r>
              <w:rPr>
                <w:i/>
                <w:noProof/>
                <w:color w:val="000000" w:themeColor="text1"/>
                <w:sz w:val="20"/>
              </w:rPr>
              <w:t>Handroanthus</w:t>
            </w:r>
            <w:r>
              <w:rPr>
                <w:noProof/>
                <w:color w:val="000000" w:themeColor="text1"/>
                <w:sz w:val="20"/>
              </w:rPr>
              <w:t xml:space="preserve"> sind bekanntermaßen zur Verwendung beim Bauen und im Außenbereich im Handel zu finden. Wissenschaftliche Untersuchungen deuten darauf hin, dass dieser Ha</w:t>
            </w:r>
            <w:r>
              <w:rPr>
                <w:noProof/>
                <w:color w:val="000000" w:themeColor="text1"/>
                <w:sz w:val="20"/>
              </w:rPr>
              <w:t xml:space="preserve">ndel für den Rückgang der Population verantwortlich ist und sich nachteilig auf den Erhaltungszustand der Arten auswirkt. </w:t>
            </w:r>
            <w:r>
              <w:rPr>
                <w:i/>
                <w:noProof/>
                <w:color w:val="000000" w:themeColor="text1"/>
                <w:sz w:val="20"/>
              </w:rPr>
              <w:t>Tabebuia</w:t>
            </w:r>
            <w:r>
              <w:rPr>
                <w:noProof/>
                <w:color w:val="000000" w:themeColor="text1"/>
                <w:sz w:val="20"/>
              </w:rPr>
              <w:t xml:space="preserve"> und </w:t>
            </w:r>
            <w:r>
              <w:rPr>
                <w:i/>
                <w:noProof/>
                <w:color w:val="000000" w:themeColor="text1"/>
                <w:sz w:val="20"/>
              </w:rPr>
              <w:t>Roseodendron</w:t>
            </w:r>
            <w:r>
              <w:rPr>
                <w:noProof/>
                <w:color w:val="000000" w:themeColor="text1"/>
                <w:sz w:val="20"/>
              </w:rPr>
              <w:t xml:space="preserve"> sind unter derselben Handelsbezeichnung und demselben wissenschaftlichen Namen im Handel und es ist schwieri</w:t>
            </w:r>
            <w:r>
              <w:rPr>
                <w:noProof/>
                <w:color w:val="000000" w:themeColor="text1"/>
                <w:sz w:val="20"/>
              </w:rPr>
              <w:t xml:space="preserve">g, ihr Holz von </w:t>
            </w:r>
            <w:r>
              <w:rPr>
                <w:i/>
                <w:noProof/>
                <w:color w:val="000000" w:themeColor="text1"/>
                <w:sz w:val="20"/>
              </w:rPr>
              <w:t>Handroanthus</w:t>
            </w:r>
            <w:r>
              <w:rPr>
                <w:noProof/>
                <w:color w:val="000000" w:themeColor="text1"/>
                <w:sz w:val="20"/>
              </w:rPr>
              <w:t xml:space="preserve"> zu unterscheiden. Aufgrund der Verwechslungsgefahr ist der Vorschlag gerechtfertigt. Die EU ist weltweit ein wichtiger Importeur.</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Widdringtonia whytei</w:t>
            </w:r>
            <w:r>
              <w:rPr>
                <w:rFonts w:eastAsia="Times New Roman"/>
                <w:i/>
                <w:iCs/>
                <w:noProof/>
                <w:color w:val="000000" w:themeColor="text1"/>
                <w:sz w:val="20"/>
                <w:szCs w:val="20"/>
              </w:rPr>
              <w:br/>
            </w:r>
            <w:r>
              <w:rPr>
                <w:rStyle w:val="Bodytext2"/>
                <w:rFonts w:ascii="Times New Roman" w:hAnsi="Times New Roman"/>
                <w:noProof/>
                <w:color w:val="000000" w:themeColor="text1"/>
                <w:sz w:val="20"/>
              </w:rPr>
              <w:t>(Mulanje-Zeder)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Ablehnung, außer </w:t>
            </w:r>
            <w:r>
              <w:rPr>
                <w:noProof/>
                <w:color w:val="000000" w:themeColor="text1"/>
                <w:sz w:val="20"/>
              </w:rPr>
              <w:t>Malawi legt einen Nachweis vor, dass der internationale Handel der Erhaltung der Art abträglich ist. Die Art könnte stattdessen in Anhang III aufgenommen werden.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tabs>
                <w:tab w:val="left" w:pos="263"/>
              </w:tabs>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Dalbergia sissoo</w:t>
            </w:r>
            <w:r>
              <w:rPr>
                <w:rFonts w:eastAsia="Times New Roman"/>
                <w:i/>
                <w:iCs/>
                <w:noProof/>
                <w:color w:val="000000" w:themeColor="text1"/>
                <w:sz w:val="20"/>
                <w:szCs w:val="20"/>
              </w:rPr>
              <w:br/>
            </w:r>
            <w:r>
              <w:rPr>
                <w:noProof/>
                <w:color w:val="000000" w:themeColor="text1"/>
                <w:sz w:val="20"/>
              </w:rPr>
              <w:t>(Indisches Palisander)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- 0</w:t>
            </w:r>
          </w:p>
          <w:p w:rsidR="004118C6" w:rsidRDefault="00D15C59">
            <w:pPr>
              <w:spacing w:after="0"/>
              <w:jc w:val="left"/>
              <w:rPr>
                <w:rFonts w:eastAsia="Times New Roman"/>
                <w:noProof/>
                <w:color w:val="000000" w:themeColor="text1"/>
                <w:sz w:val="20"/>
                <w:szCs w:val="20"/>
              </w:rPr>
            </w:pPr>
            <w:r>
              <w:rPr>
                <w:noProof/>
                <w:color w:val="000000" w:themeColor="text1"/>
                <w:sz w:val="20"/>
              </w:rPr>
              <w:t>Streichung aus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Bangladesch, </w:t>
            </w:r>
            <w:r>
              <w:rPr>
                <w:noProof/>
                <w:color w:val="000000" w:themeColor="text1"/>
                <w:sz w:val="20"/>
              </w:rPr>
              <w:t>Bhutan, Indien und Nepal</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Die Art kommt häufig vor und erfüllt nicht die biologischen Kriterien für Anhang II; höchstwahrscheinlich erfüllt sie jedoch das Kriterium der Verwechslungsgefahr gemäß Resolution 9.24 (Anhang 2 b Kriterium A). Dieser Vorschlag sol</w:t>
            </w:r>
            <w:r>
              <w:rPr>
                <w:noProof/>
                <w:color w:val="000000" w:themeColor="text1"/>
                <w:sz w:val="20"/>
              </w:rPr>
              <w:t>lte auch im Zusammenhang mit den vorgeschlagenen Änderungen der Anmerkung #15 gesehen werden.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Cs/>
                <w:noProof/>
                <w:color w:val="000000" w:themeColor="text1"/>
                <w:sz w:val="20"/>
                <w:szCs w:val="20"/>
              </w:rPr>
            </w:pPr>
            <w:r>
              <w:rPr>
                <w:i/>
                <w:noProof/>
                <w:color w:val="000000" w:themeColor="text1"/>
                <w:sz w:val="20"/>
              </w:rPr>
              <w:t>Dalbergia </w:t>
            </w:r>
            <w:r>
              <w:rPr>
                <w:noProof/>
                <w:color w:val="000000" w:themeColor="text1"/>
                <w:sz w:val="20"/>
              </w:rPr>
              <w:t xml:space="preserve">spp., </w:t>
            </w:r>
            <w:r>
              <w:rPr>
                <w:i/>
                <w:noProof/>
                <w:color w:val="000000" w:themeColor="text1"/>
                <w:sz w:val="20"/>
              </w:rPr>
              <w:t>Guibourtia demeusei</w:t>
            </w:r>
            <w:r>
              <w:rPr>
                <w:noProof/>
                <w:color w:val="000000" w:themeColor="text1"/>
                <w:sz w:val="20"/>
              </w:rPr>
              <w:t xml:space="preserve">, </w:t>
            </w:r>
            <w:r>
              <w:rPr>
                <w:i/>
                <w:noProof/>
                <w:color w:val="000000" w:themeColor="text1"/>
                <w:sz w:val="20"/>
              </w:rPr>
              <w:t>Guibourtia pellegriniana</w:t>
            </w:r>
            <w:r>
              <w:rPr>
                <w:noProof/>
                <w:color w:val="000000" w:themeColor="text1"/>
                <w:sz w:val="20"/>
              </w:rPr>
              <w:t xml:space="preserve">, </w:t>
            </w:r>
            <w:r>
              <w:rPr>
                <w:i/>
                <w:noProof/>
                <w:color w:val="000000" w:themeColor="text1"/>
                <w:sz w:val="20"/>
              </w:rPr>
              <w:t>Guibourtia tessmannii</w:t>
            </w:r>
            <w:r>
              <w:rPr>
                <w:rFonts w:eastAsia="Times New Roman"/>
                <w:i/>
                <w:iCs/>
                <w:noProof/>
                <w:color w:val="000000" w:themeColor="text1"/>
                <w:sz w:val="20"/>
                <w:szCs w:val="20"/>
              </w:rPr>
              <w:br/>
            </w:r>
            <w:r>
              <w:rPr>
                <w:noProof/>
                <w:color w:val="000000" w:themeColor="text1"/>
                <w:sz w:val="20"/>
              </w:rPr>
              <w:t>(Palisanderhölzer und Bubinga)</w:t>
            </w:r>
          </w:p>
          <w:p w:rsidR="004118C6" w:rsidRDefault="00D15C59">
            <w:pPr>
              <w:spacing w:after="0"/>
              <w:jc w:val="left"/>
              <w:rPr>
                <w:rFonts w:eastAsia="Times New Roman"/>
                <w:i/>
                <w:iCs/>
                <w:noProof/>
                <w:color w:val="000000" w:themeColor="text1"/>
                <w:sz w:val="20"/>
                <w:szCs w:val="20"/>
              </w:rPr>
            </w:pPr>
            <w:r>
              <w:rPr>
                <w:noProof/>
                <w:color w:val="000000" w:themeColor="text1"/>
                <w:sz w:val="20"/>
              </w:rPr>
              <w:t xml:space="preserve">Änderung der </w:t>
            </w:r>
            <w:r>
              <w:rPr>
                <w:rFonts w:eastAsia="Times New Roman"/>
                <w:iCs/>
                <w:noProof/>
                <w:color w:val="000000" w:themeColor="text1"/>
                <w:sz w:val="20"/>
                <w:szCs w:val="20"/>
              </w:rPr>
              <w:br/>
            </w:r>
            <w:r>
              <w:rPr>
                <w:noProof/>
                <w:color w:val="000000" w:themeColor="text1"/>
                <w:sz w:val="20"/>
              </w:rPr>
              <w:t>Anmerkung #15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II</w:t>
            </w:r>
          </w:p>
          <w:p w:rsidR="004118C6" w:rsidRDefault="00D15C59">
            <w:pPr>
              <w:spacing w:after="0"/>
              <w:jc w:val="left"/>
              <w:rPr>
                <w:rFonts w:eastAsia="Times New Roman"/>
                <w:noProof/>
                <w:color w:val="000000" w:themeColor="text1"/>
                <w:sz w:val="20"/>
                <w:szCs w:val="20"/>
              </w:rPr>
            </w:pPr>
            <w:r>
              <w:rPr>
                <w:noProof/>
                <w:color w:val="000000" w:themeColor="text1"/>
                <w:sz w:val="20"/>
              </w:rPr>
              <w:t>Anmerkung #15 wie folgt ändern:</w:t>
            </w:r>
          </w:p>
          <w:p w:rsidR="004118C6" w:rsidRDefault="00D15C59">
            <w:pPr>
              <w:spacing w:after="0"/>
              <w:jc w:val="left"/>
              <w:rPr>
                <w:rFonts w:eastAsia="Times New Roman"/>
                <w:noProof/>
                <w:color w:val="000000" w:themeColor="text1"/>
                <w:sz w:val="20"/>
                <w:szCs w:val="20"/>
              </w:rPr>
            </w:pPr>
            <w:r>
              <w:rPr>
                <w:noProof/>
                <w:color w:val="000000" w:themeColor="text1"/>
                <w:sz w:val="20"/>
              </w:rPr>
              <w:t>„Alle Teile und Erzeugnisse, außer:</w:t>
            </w:r>
          </w:p>
          <w:p w:rsidR="004118C6" w:rsidRDefault="00D15C59">
            <w:pPr>
              <w:numPr>
                <w:ilvl w:val="0"/>
                <w:numId w:val="10"/>
              </w:numPr>
              <w:spacing w:before="0" w:after="0"/>
              <w:jc w:val="left"/>
              <w:rPr>
                <w:rFonts w:eastAsia="Times New Roman"/>
                <w:noProof/>
                <w:color w:val="000000" w:themeColor="text1"/>
                <w:sz w:val="20"/>
                <w:szCs w:val="20"/>
              </w:rPr>
            </w:pPr>
            <w:r>
              <w:rPr>
                <w:noProof/>
                <w:color w:val="000000" w:themeColor="text1"/>
                <w:sz w:val="20"/>
              </w:rPr>
              <w:t>Blätter, Blüten, Pollen, Früchte und Samen;</w:t>
            </w:r>
          </w:p>
          <w:p w:rsidR="004118C6" w:rsidRDefault="00D15C59">
            <w:pPr>
              <w:numPr>
                <w:ilvl w:val="0"/>
                <w:numId w:val="10"/>
              </w:numPr>
              <w:spacing w:before="0" w:after="0"/>
              <w:jc w:val="left"/>
              <w:rPr>
                <w:rFonts w:eastAsia="Times New Roman"/>
                <w:noProof/>
                <w:color w:val="000000" w:themeColor="text1"/>
                <w:sz w:val="20"/>
                <w:szCs w:val="20"/>
              </w:rPr>
            </w:pPr>
            <w:r>
              <w:rPr>
                <w:noProof/>
                <w:color w:val="000000" w:themeColor="text1"/>
                <w:sz w:val="20"/>
              </w:rPr>
              <w:t>Fertigerzeugnisse mit einem Höchstgewicht von 500 g Holz der gelisteten Arten pro Erzeugnis;</w:t>
            </w:r>
          </w:p>
          <w:p w:rsidR="004118C6" w:rsidRDefault="00D15C59">
            <w:pPr>
              <w:numPr>
                <w:ilvl w:val="0"/>
                <w:numId w:val="10"/>
              </w:numPr>
              <w:spacing w:before="0" w:after="0"/>
              <w:jc w:val="left"/>
              <w:rPr>
                <w:rFonts w:eastAsia="Times New Roman"/>
                <w:noProof/>
                <w:color w:val="000000" w:themeColor="text1"/>
                <w:sz w:val="20"/>
                <w:szCs w:val="20"/>
              </w:rPr>
            </w:pPr>
            <w:r>
              <w:rPr>
                <w:noProof/>
                <w:color w:val="000000" w:themeColor="text1"/>
                <w:sz w:val="20"/>
              </w:rPr>
              <w:t>fertiggestellte Musikinstrumente, fertiggestellte T</w:t>
            </w:r>
            <w:r>
              <w:rPr>
                <w:noProof/>
                <w:color w:val="000000" w:themeColor="text1"/>
                <w:sz w:val="20"/>
              </w:rPr>
              <w:t>eile für Musikinstrumente sowie fertiggestelltes Zubehör für Musikinstrumente;</w:t>
            </w:r>
          </w:p>
          <w:p w:rsidR="004118C6" w:rsidRDefault="00D15C59">
            <w:pPr>
              <w:numPr>
                <w:ilvl w:val="0"/>
                <w:numId w:val="10"/>
              </w:numPr>
              <w:spacing w:before="0" w:after="0"/>
              <w:jc w:val="left"/>
              <w:rPr>
                <w:rFonts w:eastAsia="Times New Roman"/>
                <w:noProof/>
                <w:color w:val="000000" w:themeColor="text1"/>
                <w:sz w:val="20"/>
                <w:szCs w:val="20"/>
              </w:rPr>
            </w:pPr>
            <w:r>
              <w:rPr>
                <w:noProof/>
                <w:color w:val="000000" w:themeColor="text1"/>
                <w:sz w:val="20"/>
              </w:rPr>
              <w:t xml:space="preserve">unter Anmerkung #4 fallende Teile und Erzeugnisse von </w:t>
            </w:r>
            <w:r>
              <w:rPr>
                <w:i/>
                <w:noProof/>
                <w:color w:val="000000" w:themeColor="text1"/>
                <w:sz w:val="20"/>
              </w:rPr>
              <w:t>Dalbergia cochinchinensis</w:t>
            </w:r>
            <w:r>
              <w:rPr>
                <w:noProof/>
                <w:color w:val="000000" w:themeColor="text1"/>
                <w:sz w:val="20"/>
              </w:rPr>
              <w:t>;</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unter Anmerkung #6 fallende Teile und Erzeugnisse von </w:t>
            </w:r>
            <w:r>
              <w:rPr>
                <w:i/>
                <w:noProof/>
                <w:color w:val="000000" w:themeColor="text1"/>
                <w:sz w:val="20"/>
              </w:rPr>
              <w:t>Dalbergia</w:t>
            </w:r>
            <w:r>
              <w:rPr>
                <w:noProof/>
                <w:color w:val="000000" w:themeColor="text1"/>
                <w:sz w:val="20"/>
              </w:rPr>
              <w:t xml:space="preserve"> spp. mit Ursprung in Mexiko, die</w:t>
            </w:r>
            <w:r>
              <w:rPr>
                <w:noProof/>
                <w:color w:val="000000" w:themeColor="text1"/>
                <w:sz w:val="20"/>
              </w:rPr>
              <w:t xml:space="preserve"> aus Mexiko ausgeführt werden.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rStyle w:val="Bodytext2"/>
                <w:rFonts w:ascii="Times New Roman" w:hAnsi="Times New Roman"/>
                <w:noProof/>
                <w:color w:val="000000" w:themeColor="text1"/>
              </w:rPr>
              <w:t>Kanada,</w:t>
            </w:r>
            <w:r>
              <w:rPr>
                <w:rStyle w:val="Bodytext2"/>
                <w:rFonts w:ascii="Times New Roman" w:hAnsi="Times New Roman" w:cs="Times New Roman"/>
                <w:noProof/>
                <w:color w:val="000000" w:themeColor="text1"/>
              </w:rPr>
              <w:br/>
            </w:r>
            <w:r>
              <w:rPr>
                <w:rStyle w:val="Bodytext2"/>
                <w:rFonts w:ascii="Times New Roman" w:hAnsi="Times New Roman"/>
                <w:noProof/>
                <w:color w:val="000000" w:themeColor="text1"/>
              </w:rPr>
              <w:t>Europäische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w:t>
            </w:r>
          </w:p>
        </w:tc>
      </w:tr>
      <w:tr w:rsidR="004118C6">
        <w:trPr>
          <w:cantSplit/>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i/>
                <w:iCs/>
                <w:noProof/>
                <w:color w:val="000000" w:themeColor="text1"/>
                <w:sz w:val="20"/>
                <w:szCs w:val="20"/>
              </w:rPr>
            </w:pPr>
            <w:r>
              <w:rPr>
                <w:i/>
                <w:noProof/>
                <w:color w:val="000000" w:themeColor="text1"/>
                <w:sz w:val="20"/>
              </w:rPr>
              <w:t>Pericopsis elata</w:t>
            </w:r>
            <w:r>
              <w:rPr>
                <w:rFonts w:eastAsia="Times New Roman"/>
                <w:i/>
                <w:iCs/>
                <w:noProof/>
                <w:color w:val="000000" w:themeColor="text1"/>
                <w:sz w:val="20"/>
                <w:szCs w:val="20"/>
              </w:rPr>
              <w:br/>
            </w:r>
            <w:r>
              <w:rPr>
                <w:noProof/>
                <w:color w:val="000000" w:themeColor="text1"/>
                <w:sz w:val="20"/>
              </w:rPr>
              <w:t>(Afrormosia)</w:t>
            </w:r>
          </w:p>
          <w:p w:rsidR="004118C6" w:rsidRDefault="00D15C59">
            <w:pPr>
              <w:spacing w:after="0"/>
              <w:jc w:val="left"/>
              <w:rPr>
                <w:rFonts w:eastAsia="Times New Roman"/>
                <w:i/>
                <w:iCs/>
                <w:noProof/>
                <w:color w:val="000000" w:themeColor="text1"/>
                <w:sz w:val="20"/>
                <w:szCs w:val="20"/>
              </w:rPr>
            </w:pPr>
            <w:r>
              <w:rPr>
                <w:noProof/>
                <w:color w:val="000000" w:themeColor="text1"/>
                <w:sz w:val="20"/>
              </w:rPr>
              <w:t xml:space="preserve">Änderung der </w:t>
            </w:r>
            <w:r>
              <w:rPr>
                <w:rFonts w:eastAsia="Times New Roman"/>
                <w:iCs/>
                <w:noProof/>
                <w:color w:val="000000" w:themeColor="text1"/>
                <w:sz w:val="20"/>
                <w:szCs w:val="20"/>
              </w:rPr>
              <w:br/>
            </w:r>
            <w:r>
              <w:rPr>
                <w:noProof/>
                <w:color w:val="000000" w:themeColor="text1"/>
                <w:sz w:val="20"/>
              </w:rPr>
              <w:t>Anmerkung #5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 xml:space="preserve">Folgende Ausweitung des Geltungsbereichs der Anmerkung für </w:t>
            </w:r>
            <w:r>
              <w:rPr>
                <w:i/>
                <w:noProof/>
                <w:color w:val="000000" w:themeColor="text1"/>
                <w:sz w:val="20"/>
              </w:rPr>
              <w:t>Pericopsis elata</w:t>
            </w:r>
            <w:r>
              <w:rPr>
                <w:noProof/>
                <w:color w:val="000000" w:themeColor="text1"/>
                <w:sz w:val="20"/>
              </w:rPr>
              <w:t xml:space="preserve"> (derzeit #5), um Sperrholz und verarbeitetes Holz aufzunehmen:</w:t>
            </w:r>
          </w:p>
          <w:p w:rsidR="004118C6" w:rsidRDefault="00D15C59">
            <w:pPr>
              <w:spacing w:after="0"/>
              <w:jc w:val="left"/>
              <w:rPr>
                <w:rFonts w:eastAsia="Times New Roman"/>
                <w:noProof/>
                <w:color w:val="000000" w:themeColor="text1"/>
                <w:sz w:val="20"/>
                <w:szCs w:val="20"/>
              </w:rPr>
            </w:pPr>
            <w:r>
              <w:rPr>
                <w:noProof/>
                <w:color w:val="000000" w:themeColor="text1"/>
                <w:sz w:val="20"/>
              </w:rPr>
              <w:t>„Rundholz, Schnittholz, Furnierblätter, Sperrholz und verarbeitetes Holz</w:t>
            </w:r>
            <w:r>
              <w:rPr>
                <w:noProof/>
                <w:color w:val="000000" w:themeColor="text1"/>
                <w:sz w:val="20"/>
                <w:vertAlign w:val="superscript"/>
              </w:rPr>
              <w:t>1</w:t>
            </w:r>
            <w:r>
              <w:rPr>
                <w:noProof/>
                <w:color w:val="000000" w:themeColor="text1"/>
                <w:sz w:val="20"/>
              </w:rPr>
              <w:t>.“</w:t>
            </w:r>
          </w:p>
          <w:p w:rsidR="004118C6" w:rsidRDefault="00D15C59">
            <w:pPr>
              <w:spacing w:after="0"/>
              <w:jc w:val="left"/>
              <w:rPr>
                <w:rFonts w:eastAsia="Times New Roman"/>
                <w:noProof/>
                <w:color w:val="000000" w:themeColor="text1"/>
                <w:sz w:val="20"/>
                <w:szCs w:val="20"/>
              </w:rPr>
            </w:pPr>
            <w:r>
              <w:rPr>
                <w:noProof/>
                <w:color w:val="000000" w:themeColor="text1"/>
                <w:sz w:val="20"/>
                <w:vertAlign w:val="superscript"/>
              </w:rPr>
              <w:t>1</w:t>
            </w:r>
            <w:r>
              <w:rPr>
                <w:noProof/>
                <w:color w:val="000000" w:themeColor="text1"/>
                <w:sz w:val="20"/>
              </w:rPr>
              <w:t> Wobei verarbeitetes Holz gemäß HS-Code 44.09 definiert ist: Holz (einschließlich Stäbe und Friese für Parkett, nic</w:t>
            </w:r>
            <w:r>
              <w:rPr>
                <w:noProof/>
                <w:color w:val="000000" w:themeColor="text1"/>
                <w:sz w:val="20"/>
              </w:rPr>
              <w:t>ht zusammengesetzt), entlang einer oder mehrerer Kanten, Enden oder Flächen profiliert (gekehlt, genutet, gefedert, gefalzt, abgeschrägt, gefriest, gerundet oder in ähnlicher Weise bearbeitet), auch gehobelt, geschliffen oder an den Enden verbunden.</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Côte d</w:t>
            </w:r>
            <w:r>
              <w:rPr>
                <w:noProof/>
                <w:color w:val="000000" w:themeColor="text1"/>
                <w:sz w:val="20"/>
              </w:rPr>
              <w:t xml:space="preserve">’Ivoire, </w:t>
            </w:r>
            <w:r>
              <w:rPr>
                <w:rFonts w:eastAsia="Times New Roman"/>
                <w:noProof/>
                <w:color w:val="000000" w:themeColor="text1"/>
                <w:sz w:val="20"/>
                <w:szCs w:val="20"/>
              </w:rPr>
              <w:br/>
            </w:r>
            <w:r>
              <w:rPr>
                <w:noProof/>
                <w:color w:val="000000" w:themeColor="text1"/>
                <w:sz w:val="20"/>
              </w:rPr>
              <w:t>Europäische Union</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rPr>
            </w:pPr>
            <w:r>
              <w:rPr>
                <w:noProof/>
                <w:color w:val="000000" w:themeColor="text1"/>
                <w:sz w:val="20"/>
              </w:rPr>
              <w:t>Gemeinsamer Vorschlag unter Beteiligung der EU.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Pterocarpus tinctorius</w:t>
            </w:r>
            <w:r>
              <w:rPr>
                <w:rFonts w:eastAsia="Times New Roman"/>
                <w:i/>
                <w:iCs/>
                <w:noProof/>
                <w:color w:val="000000" w:themeColor="text1"/>
                <w:sz w:val="20"/>
                <w:szCs w:val="20"/>
              </w:rPr>
              <w:br/>
            </w:r>
            <w:r>
              <w:rPr>
                <w:noProof/>
                <w:color w:val="000000" w:themeColor="text1"/>
                <w:sz w:val="20"/>
              </w:rPr>
              <w:t>(Afrikanisches Padouk)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Malawi</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aber Anmerkung vorschlagen (mögliche Änderung der Anmerkung #5). Die Art erfüllt</w:t>
            </w:r>
            <w:r>
              <w:rPr>
                <w:noProof/>
                <w:color w:val="000000" w:themeColor="text1"/>
                <w:sz w:val="20"/>
              </w:rPr>
              <w:t xml:space="preserve"> die biologischen Kriterien für die Aufnahme in Anhang II sowie das Handelskriterium (die Ausbeutung stellt eine erhebliche Gefahr für die Erhaltung der Art dar; der illegale Holzeinschlag zur Deckung der Nachfrage in Asien hat in den letzten Jahren einen </w:t>
            </w:r>
            <w:r>
              <w:rPr>
                <w:noProof/>
                <w:color w:val="000000" w:themeColor="text1"/>
                <w:sz w:val="20"/>
              </w:rPr>
              <w:t>Aufschwung erlebt). Die Aufnahme in Anhang II hätte eine Hebelwirkung für die Bekämpfung des illegalen Handels.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Aloe ferox</w:t>
            </w:r>
            <w:r>
              <w:rPr>
                <w:rFonts w:eastAsia="Times New Roman"/>
                <w:i/>
                <w:iCs/>
                <w:noProof/>
                <w:color w:val="000000" w:themeColor="text1"/>
                <w:sz w:val="20"/>
                <w:szCs w:val="20"/>
              </w:rPr>
              <w:br/>
            </w:r>
            <w:r>
              <w:rPr>
                <w:noProof/>
                <w:color w:val="000000" w:themeColor="text1"/>
                <w:sz w:val="20"/>
              </w:rPr>
              <w:t>(Kap-Aloe)</w:t>
            </w:r>
          </w:p>
          <w:p w:rsidR="004118C6" w:rsidRDefault="00D15C59">
            <w:pPr>
              <w:jc w:val="left"/>
              <w:rPr>
                <w:rFonts w:eastAsia="Times New Roman"/>
                <w:noProof/>
                <w:color w:val="000000" w:themeColor="text1"/>
                <w:sz w:val="20"/>
                <w:szCs w:val="20"/>
              </w:rPr>
            </w:pPr>
            <w:r>
              <w:rPr>
                <w:noProof/>
                <w:color w:val="000000" w:themeColor="text1"/>
                <w:sz w:val="20"/>
              </w:rPr>
              <w:t>Änderung der Anmerkung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II – II</w:t>
            </w:r>
          </w:p>
          <w:p w:rsidR="004118C6" w:rsidRDefault="00D15C59">
            <w:pPr>
              <w:spacing w:after="0"/>
              <w:jc w:val="left"/>
              <w:rPr>
                <w:rFonts w:eastAsia="Times New Roman"/>
                <w:noProof/>
                <w:color w:val="000000" w:themeColor="text1"/>
                <w:sz w:val="20"/>
                <w:szCs w:val="20"/>
              </w:rPr>
            </w:pPr>
            <w:r>
              <w:rPr>
                <w:noProof/>
                <w:color w:val="000000" w:themeColor="text1"/>
                <w:sz w:val="20"/>
              </w:rPr>
              <w:t xml:space="preserve">„Änderung der Anmerkung #4 für </w:t>
            </w:r>
            <w:r>
              <w:rPr>
                <w:i/>
                <w:noProof/>
                <w:color w:val="000000" w:themeColor="text1"/>
                <w:sz w:val="20"/>
              </w:rPr>
              <w:t>Aloe ferox</w:t>
            </w:r>
            <w:r>
              <w:rPr>
                <w:noProof/>
                <w:color w:val="000000" w:themeColor="text1"/>
                <w:sz w:val="20"/>
              </w:rPr>
              <w:t xml:space="preserve"> wie folgt: „Alle Teile und Erzeugnisse, ausgenommen:</w:t>
            </w:r>
            <w:r>
              <w:rPr>
                <w:rFonts w:eastAsia="Times New Roman"/>
                <w:noProof/>
                <w:color w:val="000000" w:themeColor="text1"/>
                <w:sz w:val="20"/>
                <w:szCs w:val="20"/>
              </w:rPr>
              <w:br/>
            </w:r>
            <w:r>
              <w:rPr>
                <w:noProof/>
                <w:color w:val="000000" w:themeColor="text1"/>
                <w:sz w:val="20"/>
              </w:rPr>
              <w:t>[…]</w:t>
            </w:r>
          </w:p>
          <w:p w:rsidR="004118C6" w:rsidRDefault="00D15C59">
            <w:pPr>
              <w:spacing w:before="0" w:after="0"/>
              <w:ind w:left="720" w:hanging="720"/>
              <w:jc w:val="left"/>
              <w:rPr>
                <w:rFonts w:eastAsia="Times New Roman"/>
                <w:noProof/>
                <w:color w:val="000000" w:themeColor="text1"/>
                <w:sz w:val="20"/>
                <w:szCs w:val="20"/>
              </w:rPr>
            </w:pPr>
            <w:r>
              <w:rPr>
                <w:noProof/>
                <w:color w:val="000000" w:themeColor="text1"/>
                <w:sz w:val="20"/>
              </w:rPr>
              <w:t>f)</w:t>
            </w:r>
            <w:r>
              <w:rPr>
                <w:noProof/>
              </w:rPr>
              <w:tab/>
            </w:r>
            <w:r>
              <w:rPr>
                <w:noProof/>
                <w:color w:val="000000" w:themeColor="text1"/>
                <w:sz w:val="20"/>
              </w:rPr>
              <w:t>fertige Produkte</w:t>
            </w:r>
            <w:r>
              <w:rPr>
                <w:noProof/>
                <w:color w:val="000000" w:themeColor="text1"/>
                <w:sz w:val="20"/>
                <w:vertAlign w:val="superscript"/>
              </w:rPr>
              <w:t>1</w:t>
            </w:r>
            <w:r>
              <w:rPr>
                <w:noProof/>
                <w:color w:val="000000" w:themeColor="text1"/>
                <w:sz w:val="20"/>
              </w:rPr>
              <w:t xml:space="preserve"> von </w:t>
            </w:r>
            <w:r>
              <w:rPr>
                <w:i/>
                <w:noProof/>
                <w:color w:val="000000" w:themeColor="text1"/>
                <w:sz w:val="20"/>
                <w:u w:val="single"/>
              </w:rPr>
              <w:t>Aloe ferox</w:t>
            </w:r>
            <w:r>
              <w:rPr>
                <w:noProof/>
                <w:color w:val="000000" w:themeColor="text1"/>
                <w:sz w:val="20"/>
              </w:rPr>
              <w:t xml:space="preserve"> </w:t>
            </w:r>
            <w:r>
              <w:rPr>
                <w:noProof/>
                <w:color w:val="000000" w:themeColor="text1"/>
                <w:sz w:val="20"/>
                <w:u w:val="single"/>
              </w:rPr>
              <w:t>und</w:t>
            </w:r>
            <w:r>
              <w:rPr>
                <w:noProof/>
                <w:color w:val="000000" w:themeColor="text1"/>
                <w:sz w:val="20"/>
              </w:rPr>
              <w:t xml:space="preserve"> </w:t>
            </w:r>
            <w:r>
              <w:rPr>
                <w:i/>
                <w:noProof/>
                <w:color w:val="000000" w:themeColor="text1"/>
                <w:sz w:val="20"/>
              </w:rPr>
              <w:t>Euphorbia antisyphilitica</w:t>
            </w:r>
            <w:r>
              <w:rPr>
                <w:noProof/>
                <w:color w:val="000000" w:themeColor="text1"/>
                <w:sz w:val="20"/>
              </w:rPr>
              <w:t>, verpackt und für den Einzelhandel bereit.</w:t>
            </w:r>
          </w:p>
          <w:p w:rsidR="004118C6" w:rsidRDefault="00D15C59">
            <w:pPr>
              <w:spacing w:after="0"/>
              <w:jc w:val="left"/>
              <w:rPr>
                <w:rFonts w:eastAsia="Times New Roman"/>
                <w:noProof/>
                <w:color w:val="000000" w:themeColor="text1"/>
                <w:sz w:val="20"/>
                <w:szCs w:val="20"/>
              </w:rPr>
            </w:pPr>
            <w:r>
              <w:rPr>
                <w:noProof/>
                <w:color w:val="000000" w:themeColor="text1"/>
                <w:sz w:val="20"/>
                <w:vertAlign w:val="superscript"/>
              </w:rPr>
              <w:t>1 </w:t>
            </w:r>
            <w:r>
              <w:rPr>
                <w:noProof/>
                <w:color w:val="000000" w:themeColor="text1"/>
                <w:sz w:val="20"/>
              </w:rPr>
              <w:t xml:space="preserve">Dieser Begriff, wie er in den CITES-Anhängen verwendet wird, bezieht sich auf einzeln </w:t>
            </w:r>
            <w:r>
              <w:rPr>
                <w:noProof/>
                <w:color w:val="000000" w:themeColor="text1"/>
                <w:sz w:val="20"/>
              </w:rPr>
              <w:t>oder in großen Mengen versandte Produkte, die keiner weiteren Verarbeitung bedürfen, verpackt, etikettiert für den Endverbrauch oder den Einzelhandel in verkaufsfertigem oder endverbrauchsfertigem Zustand.“</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Südafrika</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aber eine oder mehrere Besc</w:t>
            </w:r>
            <w:r>
              <w:rPr>
                <w:noProof/>
                <w:color w:val="000000" w:themeColor="text1"/>
                <w:sz w:val="20"/>
              </w:rPr>
              <w:t>hlussentwürfe vorschlagen, mit denen der Pflanzenausschuss beauftragt wird, die Auswirkungen der vorgeschlagenen Änderung und die Durchführung von Bewirtschaftungsmaßnahmen zu überwachen. Die Kriterien der Resolution 11.21 sind erfüllt.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keepNext/>
              <w:spacing w:after="0"/>
              <w:jc w:val="center"/>
              <w:rPr>
                <w:rFonts w:eastAsia="Times New Roman"/>
                <w:noProof/>
                <w:color w:val="000000" w:themeColor="text1"/>
                <w:sz w:val="20"/>
                <w:szCs w:val="20"/>
              </w:rPr>
            </w:pPr>
            <w:r>
              <w:rPr>
                <w:noProof/>
                <w:color w:val="000000" w:themeColor="text1"/>
                <w:sz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keepNext/>
              <w:spacing w:after="0"/>
              <w:jc w:val="left"/>
              <w:rPr>
                <w:rFonts w:eastAsia="Times New Roman"/>
                <w:noProof/>
                <w:color w:val="000000" w:themeColor="text1"/>
                <w:sz w:val="20"/>
                <w:szCs w:val="20"/>
              </w:rPr>
            </w:pPr>
            <w:r>
              <w:rPr>
                <w:i/>
                <w:noProof/>
                <w:color w:val="000000" w:themeColor="text1"/>
                <w:sz w:val="20"/>
              </w:rPr>
              <w:t xml:space="preserve">Adansonia </w:t>
            </w:r>
            <w:r>
              <w:rPr>
                <w:i/>
                <w:noProof/>
                <w:color w:val="000000" w:themeColor="text1"/>
                <w:sz w:val="20"/>
              </w:rPr>
              <w:t>grandidieri</w:t>
            </w:r>
            <w:r>
              <w:rPr>
                <w:noProof/>
                <w:color w:val="000000" w:themeColor="text1"/>
                <w:sz w:val="20"/>
              </w:rPr>
              <w:t xml:space="preserve"> </w:t>
            </w:r>
            <w:r>
              <w:rPr>
                <w:rFonts w:eastAsia="Times New Roman"/>
                <w:noProof/>
                <w:color w:val="000000" w:themeColor="text1"/>
                <w:sz w:val="20"/>
                <w:szCs w:val="20"/>
              </w:rPr>
              <w:br/>
            </w:r>
            <w:r>
              <w:rPr>
                <w:rStyle w:val="Bodytext2"/>
                <w:rFonts w:ascii="Times New Roman" w:hAnsi="Times New Roman"/>
                <w:noProof/>
                <w:color w:val="000000" w:themeColor="text1"/>
                <w:sz w:val="20"/>
              </w:rPr>
              <w:t xml:space="preserve"> </w:t>
            </w:r>
          </w:p>
          <w:p w:rsidR="004118C6" w:rsidRDefault="00D15C59">
            <w:pPr>
              <w:keepNext/>
              <w:spacing w:after="0"/>
              <w:jc w:val="left"/>
              <w:rPr>
                <w:rFonts w:eastAsia="Times New Roman"/>
                <w:noProof/>
                <w:color w:val="000000" w:themeColor="text1"/>
                <w:sz w:val="20"/>
                <w:szCs w:val="20"/>
              </w:rPr>
            </w:pPr>
            <w:r>
              <w:rPr>
                <w:noProof/>
                <w:color w:val="000000" w:themeColor="text1"/>
                <w:sz w:val="20"/>
              </w:rPr>
              <w:t>Änderung der Anmerkung #16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keepNext/>
              <w:spacing w:after="0"/>
              <w:jc w:val="left"/>
              <w:rPr>
                <w:rFonts w:eastAsia="Times New Roman"/>
                <w:noProof/>
                <w:color w:val="000000" w:themeColor="text1"/>
                <w:sz w:val="20"/>
                <w:szCs w:val="20"/>
              </w:rPr>
            </w:pPr>
            <w:r>
              <w:rPr>
                <w:noProof/>
                <w:color w:val="000000" w:themeColor="text1"/>
                <w:sz w:val="20"/>
              </w:rPr>
              <w:t>II – II</w:t>
            </w:r>
          </w:p>
          <w:p w:rsidR="004118C6" w:rsidRDefault="00D15C59">
            <w:pPr>
              <w:keepNext/>
              <w:spacing w:after="0"/>
              <w:jc w:val="left"/>
              <w:rPr>
                <w:rFonts w:eastAsia="Times New Roman"/>
                <w:noProof/>
                <w:color w:val="000000" w:themeColor="text1"/>
                <w:sz w:val="20"/>
                <w:szCs w:val="20"/>
              </w:rPr>
            </w:pPr>
            <w:r>
              <w:rPr>
                <w:noProof/>
                <w:color w:val="000000" w:themeColor="text1"/>
                <w:sz w:val="20"/>
              </w:rPr>
              <w:t xml:space="preserve">„Samen, Früchte, Öl und lebende Pflanzen“ zur Aufnahme von </w:t>
            </w:r>
            <w:r>
              <w:rPr>
                <w:i/>
                <w:noProof/>
                <w:color w:val="000000" w:themeColor="text1"/>
                <w:sz w:val="20"/>
              </w:rPr>
              <w:t>Adansonia grandidieri</w:t>
            </w:r>
            <w:r>
              <w:rPr>
                <w:noProof/>
                <w:color w:val="000000" w:themeColor="text1"/>
                <w:sz w:val="20"/>
              </w:rPr>
              <w:t xml:space="preserve"> in Anhang II durch Streichung der Bezugnahme auf lebende Pflanzen, mit folgendem Wortlaut: „#16 Samen, Früchte und Öl“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keepNext/>
              <w:spacing w:after="0"/>
              <w:jc w:val="left"/>
              <w:rPr>
                <w:rFonts w:eastAsia="Times New Roman"/>
                <w:noProof/>
                <w:color w:val="000000" w:themeColor="text1"/>
                <w:sz w:val="20"/>
                <w:szCs w:val="20"/>
              </w:rPr>
            </w:pPr>
            <w:r>
              <w:rPr>
                <w:noProof/>
                <w:color w:val="000000" w:themeColor="text1"/>
                <w:sz w:val="20"/>
              </w:rPr>
              <w:t>Schwei</w:t>
            </w:r>
            <w:r>
              <w:rPr>
                <w:noProof/>
                <w:color w:val="000000" w:themeColor="text1"/>
                <w:sz w:val="20"/>
              </w:rPr>
              <w:t>z</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Zustimmung. Die Kriterien der Resolution 11.21 sind erfüllt.</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keepNext/>
              <w:spacing w:after="0"/>
              <w:jc w:val="center"/>
              <w:rPr>
                <w:noProof/>
                <w:color w:val="000000" w:themeColor="text1"/>
                <w:sz w:val="20"/>
                <w:szCs w:val="20"/>
              </w:rPr>
            </w:pPr>
            <w:r>
              <w:rPr>
                <w:noProof/>
                <w:color w:val="000000" w:themeColor="text1"/>
                <w:sz w:val="20"/>
              </w:rPr>
              <w:t>+</w:t>
            </w:r>
          </w:p>
        </w:tc>
      </w:tr>
      <w:tr w:rsidR="004118C6">
        <w:tc>
          <w:tcPr>
            <w:tcW w:w="817"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rFonts w:eastAsia="Times New Roman"/>
                <w:noProof/>
                <w:color w:val="000000" w:themeColor="text1"/>
                <w:sz w:val="20"/>
                <w:szCs w:val="20"/>
              </w:rPr>
            </w:pPr>
            <w:r>
              <w:rPr>
                <w:noProof/>
                <w:color w:val="000000" w:themeColor="text1"/>
                <w:sz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i/>
                <w:noProof/>
                <w:color w:val="000000" w:themeColor="text1"/>
                <w:sz w:val="20"/>
              </w:rPr>
              <w:t>Cedrela </w:t>
            </w:r>
            <w:r>
              <w:rPr>
                <w:noProof/>
                <w:color w:val="000000" w:themeColor="text1"/>
                <w:sz w:val="20"/>
              </w:rPr>
              <w:t>spp.</w:t>
            </w:r>
            <w:r>
              <w:rPr>
                <w:rFonts w:eastAsia="Times New Roman"/>
                <w:noProof/>
                <w:color w:val="000000" w:themeColor="text1"/>
                <w:sz w:val="20"/>
                <w:szCs w:val="20"/>
              </w:rPr>
              <w:br/>
            </w:r>
            <w:r>
              <w:rPr>
                <w:noProof/>
                <w:color w:val="000000" w:themeColor="text1"/>
                <w:sz w:val="20"/>
              </w:rPr>
              <w:t>(Zedrelen)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0 - II</w:t>
            </w:r>
          </w:p>
          <w:p w:rsidR="004118C6" w:rsidRDefault="00D15C59">
            <w:pPr>
              <w:spacing w:after="0"/>
              <w:jc w:val="left"/>
              <w:rPr>
                <w:rFonts w:eastAsia="Times New Roman"/>
                <w:noProof/>
                <w:color w:val="000000" w:themeColor="text1"/>
                <w:sz w:val="20"/>
                <w:szCs w:val="20"/>
              </w:rPr>
            </w:pPr>
            <w:r>
              <w:rPr>
                <w:noProof/>
                <w:color w:val="000000" w:themeColor="text1"/>
                <w:sz w:val="20"/>
              </w:rPr>
              <w:t>Aufnahme in Anhang II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rFonts w:eastAsia="Times New Roman"/>
                <w:noProof/>
                <w:color w:val="000000" w:themeColor="text1"/>
                <w:sz w:val="20"/>
                <w:szCs w:val="20"/>
              </w:rPr>
            </w:pPr>
            <w:r>
              <w:rPr>
                <w:noProof/>
                <w:color w:val="000000" w:themeColor="text1"/>
                <w:sz w:val="20"/>
              </w:rPr>
              <w:t>Ecuador</w:t>
            </w:r>
          </w:p>
        </w:tc>
        <w:tc>
          <w:tcPr>
            <w:tcW w:w="2179"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left"/>
              <w:rPr>
                <w:noProof/>
                <w:color w:val="000000" w:themeColor="text1"/>
                <w:sz w:val="20"/>
                <w:szCs w:val="20"/>
                <w:highlight w:val="yellow"/>
              </w:rPr>
            </w:pPr>
            <w:r>
              <w:rPr>
                <w:noProof/>
                <w:color w:val="000000" w:themeColor="text1"/>
                <w:sz w:val="20"/>
              </w:rPr>
              <w:t xml:space="preserve">Zustimmung, wenn eine Anmerkung in den Vorschlag aufgenommen wird, um die CITES-Kontrollen auf diejenigen Waren zu </w:t>
            </w:r>
            <w:r>
              <w:rPr>
                <w:noProof/>
                <w:color w:val="000000" w:themeColor="text1"/>
                <w:sz w:val="20"/>
              </w:rPr>
              <w:t>beschränken, die erstmals im internationalen Handel aus Arealstaaten ausgeführt werden (zu prüfen und mit Antragstellern zu erörtern, ob z. B. die vorgeschlagene geänderte Anmerkung #5 geeignet wäre), und wenn der Vorschlag auf die Populationen der Neotrop</w:t>
            </w:r>
            <w:r>
              <w:rPr>
                <w:noProof/>
                <w:color w:val="000000" w:themeColor="text1"/>
                <w:sz w:val="20"/>
              </w:rPr>
              <w:t>en beschränkt ist. Das Taxon erfüllt die biologischen Kriterien für die Aufnahme in Anhang II (es gibt eindeutige Beweise für einen Rückgang der Population) sowie das Handelskriterium (einige Arten der Gattung werden auf internationaler Ebene in erhebliche</w:t>
            </w:r>
            <w:r>
              <w:rPr>
                <w:noProof/>
                <w:color w:val="000000" w:themeColor="text1"/>
                <w:sz w:val="20"/>
              </w:rPr>
              <w:t>m Ausmaß gehandelt, wobei die Ausbeutung als Bedrohung für die Erhaltung der Art anerkannt wird). Die EU führt gegenüber anderen Importeuren der Welt nur wenig ein.</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118C6" w:rsidRDefault="00D15C59">
            <w:pPr>
              <w:spacing w:after="0"/>
              <w:jc w:val="center"/>
              <w:rPr>
                <w:noProof/>
                <w:color w:val="000000" w:themeColor="text1"/>
                <w:sz w:val="20"/>
                <w:szCs w:val="20"/>
              </w:rPr>
            </w:pPr>
            <w:r>
              <w:rPr>
                <w:noProof/>
                <w:color w:val="000000" w:themeColor="text1"/>
                <w:sz w:val="20"/>
              </w:rPr>
              <w:t>(+)</w:t>
            </w:r>
          </w:p>
        </w:tc>
      </w:tr>
    </w:tbl>
    <w:p w:rsidR="004118C6" w:rsidRDefault="004118C6">
      <w:pPr>
        <w:rPr>
          <w:noProof/>
          <w:color w:val="000000" w:themeColor="text1"/>
        </w:rPr>
      </w:pPr>
    </w:p>
    <w:p w:rsidR="004118C6" w:rsidRDefault="004118C6">
      <w:pPr>
        <w:rPr>
          <w:noProof/>
        </w:rPr>
        <w:sectPr w:rsidR="004118C6">
          <w:footerReference w:type="default" r:id="rId18"/>
          <w:footerReference w:type="first" r:id="rId19"/>
          <w:pgSz w:w="11907" w:h="16839"/>
          <w:pgMar w:top="1134" w:right="1417" w:bottom="1134" w:left="1417" w:header="709" w:footer="709" w:gutter="0"/>
          <w:pgNumType w:start="1"/>
          <w:cols w:space="720"/>
          <w:docGrid w:linePitch="360"/>
        </w:sectPr>
      </w:pPr>
    </w:p>
    <w:p w:rsidR="004118C6" w:rsidRDefault="00D15C59">
      <w:pPr>
        <w:pStyle w:val="Annexetitre"/>
        <w:rPr>
          <w:rStyle w:val="Marker"/>
          <w:noProof/>
        </w:rPr>
      </w:pPr>
      <w:r>
        <w:rPr>
          <w:noProof/>
        </w:rPr>
        <w:t xml:space="preserve">ANHANG </w:t>
      </w:r>
      <w:r>
        <w:rPr>
          <w:rStyle w:val="Marker"/>
          <w:noProof/>
        </w:rPr>
        <w:t>[...]</w:t>
      </w:r>
    </w:p>
    <w:p w:rsidR="004118C6" w:rsidRDefault="004118C6">
      <w:pPr>
        <w:rPr>
          <w:noProof/>
        </w:rPr>
      </w:pPr>
    </w:p>
    <w:sectPr w:rsidR="004118C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C6" w:rsidRDefault="00D15C59">
      <w:pPr>
        <w:spacing w:before="0" w:after="0"/>
      </w:pPr>
      <w:r>
        <w:separator/>
      </w:r>
    </w:p>
  </w:endnote>
  <w:endnote w:type="continuationSeparator" w:id="0">
    <w:p w:rsidR="004118C6" w:rsidRDefault="00D15C59">
      <w:pPr>
        <w:spacing w:before="0" w:after="0"/>
      </w:pPr>
      <w:r>
        <w:continuationSeparator/>
      </w:r>
    </w:p>
  </w:endnote>
  <w:endnote w:type="continuationNotice" w:id="1">
    <w:p w:rsidR="004118C6" w:rsidRDefault="004118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D15C59">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D15C59">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C6" w:rsidRDefault="00D15C59">
      <w:pPr>
        <w:spacing w:before="0" w:after="0"/>
      </w:pPr>
      <w:r>
        <w:separator/>
      </w:r>
    </w:p>
  </w:footnote>
  <w:footnote w:type="continuationSeparator" w:id="0">
    <w:p w:rsidR="004118C6" w:rsidRDefault="00D15C59">
      <w:pPr>
        <w:spacing w:before="0" w:after="0"/>
      </w:pPr>
      <w:r>
        <w:continuationSeparator/>
      </w:r>
    </w:p>
  </w:footnote>
  <w:footnote w:type="continuationNotice" w:id="1">
    <w:p w:rsidR="004118C6" w:rsidRDefault="004118C6">
      <w:pPr>
        <w:spacing w:before="0" w:after="0"/>
      </w:pPr>
    </w:p>
  </w:footnote>
  <w:footnote w:id="2">
    <w:p w:rsidR="004118C6" w:rsidRDefault="00D15C59">
      <w:pPr>
        <w:pStyle w:val="FootnoteText"/>
        <w:jc w:val="left"/>
      </w:pPr>
      <w:r>
        <w:rPr>
          <w:rStyle w:val="FootnoteReference"/>
        </w:rPr>
        <w:footnoteRef/>
      </w:r>
      <w:r>
        <w:tab/>
      </w:r>
      <w:r>
        <w:t>Sek. = CITES-Sekretariat, SC = Ständiger Ausschuss, AC = Tierausschuss, PC = Pflanzenausschuss. Ländercodes siehe ISO 3166.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C6" w:rsidRDefault="00411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3E6F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9E8F4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026EFA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1B27D2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56A9DC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97ADA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3E915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D3895E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E31087"/>
    <w:multiLevelType w:val="multilevel"/>
    <w:tmpl w:val="8F88C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FB9797E"/>
    <w:multiLevelType w:val="multilevel"/>
    <w:tmpl w:val="49665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C26478"/>
    <w:multiLevelType w:val="multilevel"/>
    <w:tmpl w:val="3C923D5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04D3559"/>
    <w:multiLevelType w:val="multilevel"/>
    <w:tmpl w:val="ACC69D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8"/>
  </w:num>
  <w:num w:numId="11">
    <w:abstractNumId w:val="22"/>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4"/>
  </w:num>
  <w:num w:numId="17">
    <w:abstractNumId w:val="12"/>
  </w:num>
  <w:num w:numId="18">
    <w:abstractNumId w:val="16"/>
  </w:num>
  <w:num w:numId="19">
    <w:abstractNumId w:val="10"/>
  </w:num>
  <w:num w:numId="20">
    <w:abstractNumId w:val="23"/>
  </w:num>
  <w:num w:numId="21">
    <w:abstractNumId w:val="9"/>
  </w:num>
  <w:num w:numId="22">
    <w:abstractNumId w:val="17"/>
  </w:num>
  <w:num w:numId="23">
    <w:abstractNumId w:val="19"/>
  </w:num>
  <w:num w:numId="24">
    <w:abstractNumId w:val="20"/>
  </w:num>
  <w:num w:numId="25">
    <w:abstractNumId w:val="11"/>
  </w:num>
  <w:num w:numId="26">
    <w:abstractNumId w:val="18"/>
  </w:num>
  <w:num w:numId="27">
    <w:abstractNumId w:val="25"/>
  </w:num>
  <w:num w:numId="28">
    <w:abstractNumId w:val="21"/>
  </w:num>
  <w:num w:numId="29">
    <w:abstractNumId w:val="15"/>
  </w:num>
  <w:num w:numId="30">
    <w:abstractNumId w:val="24"/>
  </w:num>
  <w:num w:numId="31">
    <w:abstractNumId w:val="12"/>
  </w:num>
  <w:num w:numId="32">
    <w:abstractNumId w:val="16"/>
  </w:num>
  <w:num w:numId="33">
    <w:abstractNumId w:val="10"/>
  </w:num>
  <w:num w:numId="34">
    <w:abstractNumId w:val="23"/>
  </w:num>
  <w:num w:numId="35">
    <w:abstractNumId w:val="9"/>
  </w:num>
  <w:num w:numId="36">
    <w:abstractNumId w:val="17"/>
  </w:num>
  <w:num w:numId="37">
    <w:abstractNumId w:val="19"/>
  </w:num>
  <w:num w:numId="38">
    <w:abstractNumId w:val="20"/>
  </w:num>
  <w:num w:numId="39">
    <w:abstractNumId w:val="11"/>
  </w:num>
  <w:num w:numId="40">
    <w:abstractNumId w:val="18"/>
  </w:num>
  <w:num w:numId="4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doNotTrackFormatting/>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5 10:05:3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0"/>
    <w:docVar w:name="DQCStatus" w:val="Yellow"/>
    <w:docVar w:name="DQCVersion" w:val="3"/>
    <w:docVar w:name="DQCWithWarnings" w:val="0"/>
    <w:docVar w:name="LW_ACCOMPAGNANT" w:val="des"/>
    <w:docVar w:name="LW_ACCOMPAGNANT.CP" w:val="des"/>
    <w:docVar w:name="LW_ANNEX_NBR_FIRST" w:val="2"/>
    <w:docVar w:name="LW_ANNEX_NBR_LAST" w:val="2"/>
    <w:docVar w:name="LW_ANNEX_UNIQUE" w:val="0"/>
    <w:docVar w:name="LW_CORRIGENDUM" w:val="&lt;UNUSED&gt;"/>
    <w:docVar w:name="LW_COVERPAGE_EXISTS" w:val="True"/>
    <w:docVar w:name="LW_COVERPAGE_GUID" w:val="AB01149B-1874-44B0-9B74-23E0EB71D58D"/>
    <w:docVar w:name="LW_COVERPAGE_TYPE" w:val="1"/>
    <w:docVar w:name="LW_CROSSREFERENCE" w:val="&lt;UNUSED&gt;"/>
    <w:docVar w:name="LW_DocType" w:val="ANNEX"/>
    <w:docVar w:name="LW_EMISSION" w:val="21.3.2019"/>
    <w:docVar w:name="LW_EMISSION_ISODATE" w:val="2019-03-21"/>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über den im Namen der Europäischen Union auf der 18.&lt;LWCR:NBS&gt;Tagung der Konferenz der Vertragsparteien des Übereinkommens über den internationalen Handel mit gefährdeten Arten frei lebender Tiere und Pflanzen (CITES CoP18) zu vertretenden Standpunkt_x000b_"/>
    <w:docVar w:name="LW_OBJETACTEPRINCIPAL.CP" w:val="über den im Namen der Europäischen Union auf der 18. Tagung der Konferenz der Vertragsparteien des Übereinkommens über den internationalen Handel mit gefährdeten Arten frei lebender Tiere und Pflanzen (CITES CoP18) zu vertretenden Standpunkt_x000b_"/>
    <w:docVar w:name="LW_PART_NBR" w:val="1"/>
    <w:docVar w:name="LW_PART_NBR_TOTAL" w:val="1"/>
    <w:docVar w:name="LW_REF.INST.NEW" w:val="COM"/>
    <w:docVar w:name="LW_REF.INST.NEW_ADOPTED" w:val="final"/>
    <w:docVar w:name="LW_REF.INST.NEW_TEXT" w:val="(2019) 1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w:rsids>
    <w:rsidRoot w:val="004118C6"/>
    <w:rsid w:val="004118C6"/>
    <w:rsid w:val="00D1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5418219-ED3A-4F30-81ED-A9F5A684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link w:val="Heading5Char"/>
    <w:uiPriority w:val="9"/>
    <w:qFormat/>
    <w:pPr>
      <w:spacing w:before="240"/>
      <w:jc w:val="left"/>
      <w:outlineLvl w:val="4"/>
    </w:pPr>
    <w:rPr>
      <w:rFonts w:eastAsia="Times New Roman"/>
      <w:b/>
      <w:bCs/>
      <w:sz w:val="20"/>
      <w:szCs w:val="20"/>
    </w:rPr>
  </w:style>
  <w:style w:type="paragraph" w:styleId="Heading6">
    <w:name w:val="heading 6"/>
    <w:basedOn w:val="Normal"/>
    <w:link w:val="Heading6Char"/>
    <w:uiPriority w:val="9"/>
    <w:qFormat/>
    <w:pPr>
      <w:spacing w:before="240"/>
      <w:jc w:val="left"/>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val="de-DE" w:eastAsia="de-DE"/>
    </w:rPr>
  </w:style>
  <w:style w:type="character" w:customStyle="1" w:styleId="Heading6Char">
    <w:name w:val="Heading 6 Char"/>
    <w:basedOn w:val="DefaultParagraphFont"/>
    <w:link w:val="Heading6"/>
    <w:uiPriority w:val="9"/>
    <w:rPr>
      <w:rFonts w:ascii="Times New Roman" w:eastAsia="Times New Roman" w:hAnsi="Times New Roman" w:cs="Times New Roman"/>
      <w:b/>
      <w:bCs/>
      <w:sz w:val="15"/>
      <w:szCs w:val="15"/>
      <w:lang w:val="de-DE" w:eastAsia="de-DE"/>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18"/>
      <w:szCs w:val="18"/>
      <w:shd w:val="clear" w:color="auto" w:fill="F2F2F2"/>
      <w:lang w:eastAsia="de-DE"/>
    </w:rPr>
  </w:style>
  <w:style w:type="paragraph" w:styleId="HTMLPreformatted">
    <w:name w:val="HTML Preformatted"/>
    <w:basedOn w:val="Normal"/>
    <w:link w:val="HTMLPreformattedChar"/>
    <w:uiPriority w:val="99"/>
    <w:semiHidden/>
    <w:unhideWhenUsed/>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left"/>
    </w:pPr>
    <w:rPr>
      <w:rFonts w:ascii="Consolas" w:eastAsia="Times New Roman" w:hAnsi="Consolas" w:cs="Consolas"/>
      <w:sz w:val="18"/>
      <w:szCs w:val="18"/>
    </w:rPr>
  </w:style>
  <w:style w:type="character" w:customStyle="1" w:styleId="HTMLPreformattedChar1">
    <w:name w:val="HTML Preformatted Char1"/>
    <w:basedOn w:val="DefaultParagraphFont"/>
    <w:uiPriority w:val="99"/>
    <w:semiHidden/>
    <w:rPr>
      <w:rFonts w:ascii="Consolas" w:hAnsi="Consolas" w:cs="Consolas"/>
      <w:sz w:val="20"/>
      <w:szCs w:val="20"/>
      <w:lang w:val="de-DE"/>
    </w:rPr>
  </w:style>
  <w:style w:type="paragraph" w:customStyle="1" w:styleId="Annexetitreacte">
    <w:name w:val="Annexe titre (acte)"/>
    <w:basedOn w:val="Normal"/>
    <w:next w:val="Normal"/>
    <w:pPr>
      <w:jc w:val="center"/>
    </w:pPr>
    <w:rPr>
      <w:rFonts w:eastAsia="Times New Roman"/>
      <w:b/>
      <w:szCs w:val="24"/>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
    <w:basedOn w:val="DefaultParagraphFont"/>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odytext20">
    <w:name w:val="Body text (2)_"/>
    <w:basedOn w:val="DefaultParagraphFont"/>
    <w:rPr>
      <w:rFonts w:ascii="Arial" w:eastAsia="Arial" w:hAnsi="Arial" w:cs="Arial"/>
      <w:b w:val="0"/>
      <w:bCs w:val="0"/>
      <w:i w:val="0"/>
      <w:iCs w:val="0"/>
      <w:smallCaps w:val="0"/>
      <w:strike w:val="0"/>
      <w:sz w:val="19"/>
      <w:szCs w:val="19"/>
      <w:u w:val="none"/>
    </w:rPr>
  </w:style>
  <w:style w:type="character" w:customStyle="1" w:styleId="Bodytext2Italic">
    <w:name w:val="Body text (2) + Italic"/>
    <w:basedOn w:val="Bodytext20"/>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943">
      <w:bodyDiv w:val="1"/>
      <w:marLeft w:val="0"/>
      <w:marRight w:val="0"/>
      <w:marTop w:val="0"/>
      <w:marBottom w:val="0"/>
      <w:divBdr>
        <w:top w:val="none" w:sz="0" w:space="0" w:color="auto"/>
        <w:left w:val="none" w:sz="0" w:space="0" w:color="auto"/>
        <w:bottom w:val="none" w:sz="0" w:space="0" w:color="auto"/>
        <w:right w:val="none" w:sz="0" w:space="0" w:color="auto"/>
      </w:divBdr>
    </w:div>
    <w:div w:id="149715907">
      <w:bodyDiv w:val="1"/>
      <w:marLeft w:val="0"/>
      <w:marRight w:val="0"/>
      <w:marTop w:val="0"/>
      <w:marBottom w:val="0"/>
      <w:divBdr>
        <w:top w:val="none" w:sz="0" w:space="0" w:color="auto"/>
        <w:left w:val="none" w:sz="0" w:space="0" w:color="auto"/>
        <w:bottom w:val="none" w:sz="0" w:space="0" w:color="auto"/>
        <w:right w:val="none" w:sz="0" w:space="0" w:color="auto"/>
      </w:divBdr>
    </w:div>
    <w:div w:id="225653621">
      <w:bodyDiv w:val="1"/>
      <w:marLeft w:val="0"/>
      <w:marRight w:val="0"/>
      <w:marTop w:val="0"/>
      <w:marBottom w:val="0"/>
      <w:divBdr>
        <w:top w:val="none" w:sz="0" w:space="0" w:color="auto"/>
        <w:left w:val="none" w:sz="0" w:space="0" w:color="auto"/>
        <w:bottom w:val="none" w:sz="0" w:space="0" w:color="auto"/>
        <w:right w:val="none" w:sz="0" w:space="0" w:color="auto"/>
      </w:divBdr>
    </w:div>
    <w:div w:id="697775398">
      <w:bodyDiv w:val="1"/>
      <w:marLeft w:val="0"/>
      <w:marRight w:val="0"/>
      <w:marTop w:val="0"/>
      <w:marBottom w:val="0"/>
      <w:divBdr>
        <w:top w:val="none" w:sz="0" w:space="0" w:color="auto"/>
        <w:left w:val="none" w:sz="0" w:space="0" w:color="auto"/>
        <w:bottom w:val="none" w:sz="0" w:space="0" w:color="auto"/>
        <w:right w:val="none" w:sz="0" w:space="0" w:color="auto"/>
      </w:divBdr>
    </w:div>
    <w:div w:id="1350912735">
      <w:bodyDiv w:val="1"/>
      <w:marLeft w:val="0"/>
      <w:marRight w:val="0"/>
      <w:marTop w:val="0"/>
      <w:marBottom w:val="0"/>
      <w:divBdr>
        <w:top w:val="none" w:sz="0" w:space="0" w:color="auto"/>
        <w:left w:val="none" w:sz="0" w:space="0" w:color="auto"/>
        <w:bottom w:val="none" w:sz="0" w:space="0" w:color="auto"/>
        <w:right w:val="none" w:sz="0" w:space="0" w:color="auto"/>
      </w:divBdr>
    </w:div>
    <w:div w:id="1524709796">
      <w:bodyDiv w:val="1"/>
      <w:marLeft w:val="0"/>
      <w:marRight w:val="0"/>
      <w:marTop w:val="0"/>
      <w:marBottom w:val="0"/>
      <w:divBdr>
        <w:top w:val="none" w:sz="0" w:space="0" w:color="auto"/>
        <w:left w:val="none" w:sz="0" w:space="0" w:color="auto"/>
        <w:bottom w:val="none" w:sz="0" w:space="0" w:color="auto"/>
        <w:right w:val="none" w:sz="0" w:space="0" w:color="auto"/>
      </w:divBdr>
    </w:div>
    <w:div w:id="1574730257">
      <w:bodyDiv w:val="1"/>
      <w:marLeft w:val="0"/>
      <w:marRight w:val="0"/>
      <w:marTop w:val="0"/>
      <w:marBottom w:val="0"/>
      <w:divBdr>
        <w:top w:val="none" w:sz="0" w:space="0" w:color="auto"/>
        <w:left w:val="none" w:sz="0" w:space="0" w:color="auto"/>
        <w:bottom w:val="none" w:sz="0" w:space="0" w:color="auto"/>
        <w:right w:val="none" w:sz="0" w:space="0" w:color="auto"/>
      </w:divBdr>
    </w:div>
    <w:div w:id="1579246350">
      <w:bodyDiv w:val="1"/>
      <w:marLeft w:val="0"/>
      <w:marRight w:val="0"/>
      <w:marTop w:val="0"/>
      <w:marBottom w:val="0"/>
      <w:divBdr>
        <w:top w:val="none" w:sz="0" w:space="0" w:color="auto"/>
        <w:left w:val="none" w:sz="0" w:space="0" w:color="auto"/>
        <w:bottom w:val="none" w:sz="0" w:space="0" w:color="auto"/>
        <w:right w:val="none" w:sz="0" w:space="0" w:color="auto"/>
      </w:divBdr>
    </w:div>
    <w:div w:id="1856453387">
      <w:bodyDiv w:val="1"/>
      <w:marLeft w:val="0"/>
      <w:marRight w:val="0"/>
      <w:marTop w:val="0"/>
      <w:marBottom w:val="0"/>
      <w:divBdr>
        <w:top w:val="none" w:sz="0" w:space="0" w:color="auto"/>
        <w:left w:val="none" w:sz="0" w:space="0" w:color="auto"/>
        <w:bottom w:val="none" w:sz="0" w:space="0" w:color="auto"/>
        <w:right w:val="none" w:sz="0" w:space="0" w:color="auto"/>
      </w:divBdr>
    </w:div>
    <w:div w:id="2020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ites.org/sites/default/files/eng/cop/18/doc/E-CoP18-050c.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AA856C34D8E478D8680B911FA8A3D" ma:contentTypeVersion="0" ma:contentTypeDescription="Create a new document." ma:contentTypeScope="" ma:versionID="a1b2f863b13fb1eec5060ba3f8e2a580">
  <xsd:schema xmlns:xsd="http://www.w3.org/2001/XMLSchema" xmlns:xs="http://www.w3.org/2001/XMLSchema" xmlns:p="http://schemas.microsoft.com/office/2006/metadata/properties" targetNamespace="http://schemas.microsoft.com/office/2006/metadata/properties" ma:root="true" ma:fieldsID="5d28fc8648fa84460f5661d9ecf385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B779E-884F-4AFD-9F89-21F0A325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4282F-8F85-4365-834C-34152E3D2F2A}">
  <ds:schemaRefs>
    <ds:schemaRef ds:uri="http://schemas.microsoft.com/sharepoint/v3/contenttype/forms"/>
  </ds:schemaRefs>
</ds:datastoreItem>
</file>

<file path=customXml/itemProps3.xml><?xml version="1.0" encoding="utf-8"?>
<ds:datastoreItem xmlns:ds="http://schemas.openxmlformats.org/officeDocument/2006/customXml" ds:itemID="{4B71C283-A767-4224-B3BA-5E9FF9BA68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1</Pages>
  <Words>10564</Words>
  <Characters>67086</Characters>
  <Application>Microsoft Office Word</Application>
  <DocSecurity>0</DocSecurity>
  <Lines>5160</Lines>
  <Paragraphs>1386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Matthias Leonhard (ENV)</dc:creator>
  <cp:keywords/>
  <cp:lastModifiedBy>KITRIMI Efstathia (SG)</cp:lastModifiedBy>
  <cp:revision>9</cp:revision>
  <dcterms:created xsi:type="dcterms:W3CDTF">2019-04-03T13:24:00Z</dcterms:created>
  <dcterms:modified xsi:type="dcterms:W3CDTF">2019-04-05T13:35:00Z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ContentTypeId">
    <vt:lpwstr>0x010100135AA856C34D8E478D8680B911FA8A3D</vt:lpwstr>
  </property>
  <property fmtid="{D5CDD505-2E9C-101B-9397-08002B2CF9AE}" pid="4" name="IsMyDocuments">
    <vt:bool>true</vt:bool>
  </property>
  <property fmtid="{D5CDD505-2E9C-101B-9397-08002B2CF9AE}" pid="5" name="Category">
    <vt:lpwstr>COM/ANNEX</vt:lpwstr>
  </property>
  <property fmtid="{D5CDD505-2E9C-101B-9397-08002B2CF9AE}" pid="6" name="Level of sensitivity">
    <vt:lpwstr>Standard treatment</vt:lpwstr>
  </property>
  <property fmtid="{D5CDD505-2E9C-101B-9397-08002B2CF9AE}" pid="7" name="First annex">
    <vt:lpwstr>2</vt:lpwstr>
  </property>
  <property fmtid="{D5CDD505-2E9C-101B-9397-08002B2CF9AE}" pid="8" name="Last annex">
    <vt:lpwstr>2</vt:lpwstr>
  </property>
  <property fmtid="{D5CDD505-2E9C-101B-9397-08002B2CF9AE}" pid="9" name="Unique annex">
    <vt:lpwstr>0</vt:lpwstr>
  </property>
  <property fmtid="{D5CDD505-2E9C-101B-9397-08002B2CF9AE}" pid="10" name="Part">
    <vt:lpwstr>1</vt:lpwstr>
  </property>
  <property fmtid="{D5CDD505-2E9C-101B-9397-08002B2CF9AE}" pid="11" name="Total parts">
    <vt:lpwstr>1</vt:lpwstr>
  </property>
  <property fmtid="{D5CDD505-2E9C-101B-9397-08002B2CF9AE}" pid="12" name="LWTemplateID">
    <vt:lpwstr>SG-017</vt:lpwstr>
  </property>
  <property fmtid="{D5CDD505-2E9C-101B-9397-08002B2CF9AE}" pid="13" name="DQCStatus">
    <vt:lpwstr>Yellow (DQC version 03)</vt:lpwstr>
  </property>
</Properties>
</file>