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FD02D23-D6B4-4F43-9266-FFB6509A27D8" style="width:449.75pt;height:410.5pt">
            <v:imagedata r:id="rId11" o:title=""/>
          </v:shape>
        </w:pict>
      </w:r>
    </w:p>
    <w:p>
      <w:pPr>
        <w:rPr>
          <w:noProof/>
          <w:color w:val="000000" w:themeColor="text1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  <w:color w:val="000000" w:themeColor="text1"/>
          <w:u w:val="single"/>
        </w:rPr>
      </w:pPr>
      <w:bookmarkStart w:id="0" w:name="_GoBack"/>
      <w:bookmarkEnd w:id="0"/>
      <w:r>
        <w:rPr>
          <w:b/>
          <w:noProof/>
          <w:color w:val="000000" w:themeColor="text1"/>
          <w:u w:val="single"/>
        </w:rPr>
        <w:lastRenderedPageBreak/>
        <w:t>ANNESS II</w:t>
      </w:r>
    </w:p>
    <w:p>
      <w:pPr>
        <w:jc w:val="center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Il-Pożizzjoni tal-Unjoni dwar ċerti proposti sottomessi fit-18-il laqgħa tal-Konferenza tal-Partijiet għall-Konvenzjoni dwar il-Kummerċ Internazzjonali fl-Ispeċijiet ta’ Fawna u Flora Selvaġġi fil-Periklu (CITES), Colombo, is-Sri Lanka, it-23 ta’ Mejju – it-3 ta’ Ġunju 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7"/>
        <w:gridCol w:w="3097"/>
        <w:gridCol w:w="3095"/>
      </w:tblGrid>
      <w:tr>
        <w:tc>
          <w:tcPr>
            <w:tcW w:w="1667" w:type="pct"/>
          </w:tcPr>
          <w:p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“+” jindika pożizzjoni favur</w:t>
            </w:r>
          </w:p>
        </w:tc>
        <w:tc>
          <w:tcPr>
            <w:tcW w:w="1667" w:type="pct"/>
          </w:tcPr>
          <w:p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“–” jindika pożizzjoni kontra</w:t>
            </w:r>
          </w:p>
        </w:tc>
        <w:tc>
          <w:tcPr>
            <w:tcW w:w="1666" w:type="pct"/>
          </w:tcPr>
          <w:p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“0” jindika pożizzjoni miftuħa</w:t>
            </w:r>
          </w:p>
        </w:tc>
      </w:tr>
      <w:tr>
        <w:tc>
          <w:tcPr>
            <w:tcW w:w="5000" w:type="pct"/>
            <w:gridSpan w:val="3"/>
          </w:tcPr>
          <w:p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“(  )” jindika l-ħtieġa għal aktar analiżi</w:t>
            </w:r>
          </w:p>
        </w:tc>
      </w:tr>
    </w:tbl>
    <w:p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>Dokumenti ta’ Ħidma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648"/>
        <w:gridCol w:w="633"/>
        <w:gridCol w:w="126"/>
        <w:gridCol w:w="617"/>
        <w:gridCol w:w="2290"/>
        <w:gridCol w:w="1422"/>
        <w:gridCol w:w="2367"/>
        <w:gridCol w:w="1104"/>
      </w:tblGrid>
      <w:tr>
        <w:trPr>
          <w:cantSplit/>
          <w:tblHeader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</w:tcPr>
          <w:p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Nru</w:t>
            </w:r>
          </w:p>
        </w:tc>
        <w:tc>
          <w:tcPr>
            <w:tcW w:w="3731" w:type="dxa"/>
            <w:gridSpan w:val="4"/>
          </w:tcPr>
          <w:p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Punt tal-aġenda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Proponent</w:t>
            </w:r>
            <w:r>
              <w:rPr>
                <w:rStyle w:val="Heading1Char"/>
                <w:noProof/>
                <w:vertAlign w:val="superscript"/>
              </w:rPr>
              <w:footnoteReference w:id="2"/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Kummenti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</w:tcPr>
          <w:p>
            <w:pPr>
              <w:spacing w:before="0" w:after="0" w:line="240" w:lineRule="atLeast"/>
              <w:rPr>
                <w:rFonts w:eastAsia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Pożizzjoni</w:t>
            </w: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Ċerimonja tal-ftuħ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Kwistjonijiet amministrattivi u finanzjarji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Elezzjoni</w:t>
            </w:r>
            <w:r>
              <w:rPr>
                <w:noProof/>
                <w:color w:val="000000" w:themeColor="text1"/>
                <w:sz w:val="20"/>
              </w:rPr>
              <w:t xml:space="preserve"> tal-President, il-President Sostitut u l-Viċi Presidenti tal-laqgħa u tal-Presidenti tal-Kumitati I u 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Adozzjoni tal-</w:t>
            </w:r>
            <w:r>
              <w:rPr>
                <w:b/>
                <w:noProof/>
                <w:color w:val="000000" w:themeColor="text1"/>
                <w:sz w:val="20"/>
              </w:rPr>
              <w:t>aġenda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Adozzjoni tal-</w:t>
            </w:r>
            <w:r>
              <w:rPr>
                <w:b/>
                <w:noProof/>
                <w:color w:val="000000" w:themeColor="text1"/>
                <w:sz w:val="20"/>
              </w:rPr>
              <w:t>programm ta’ ħidma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Regoli ta’ proċedura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4.1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Regoli ta’ Proċedura għat-18-il laqgħa tal-</w:t>
            </w:r>
            <w:r>
              <w:rPr>
                <w:noProof/>
                <w:color w:val="000000" w:themeColor="text1"/>
                <w:sz w:val="20"/>
                <w:u w:val="single"/>
              </w:rPr>
              <w:t>CoP18</w:t>
            </w:r>
            <w:r>
              <w:rPr>
                <w:noProof/>
                <w:color w:val="000000" w:themeColor="text1"/>
                <w:sz w:val="20"/>
              </w:rPr>
              <w:t xml:space="preserve"> tal-Konferenza tal-Partijiet </w:t>
            </w:r>
            <w:r>
              <w:rPr>
                <w:noProof/>
                <w:color w:val="000000" w:themeColor="text1"/>
                <w:sz w:val="20"/>
                <w:u w:val="single"/>
              </w:rPr>
              <w:t>Dok. 4.1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Ħu nota tad-dok. li fih ir-RoP attwali, li jibqa’ validu sakemm jiġi emendat mill-CoP (ara l-Artikolu 32).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4.2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Rieżami tar-Regoli ta’ Proċedura tal-</w:t>
            </w:r>
            <w:r>
              <w:rPr>
                <w:noProof/>
                <w:color w:val="000000" w:themeColor="text1"/>
                <w:sz w:val="20"/>
                <w:u w:val="single"/>
              </w:rPr>
              <w:t>CoP18. Dok. 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ż-żamma tar-RoP mhux mibdula waqt il-CoP18; kif ukoll appoġġa l-mandat ġdid għall-SC biex jirrevedi l-Artikolu 25 (Proċedura biex jiġu deċiżi emendi għall-Appendiċi) mill-CoP19.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Kumitat tal-</w:t>
            </w:r>
            <w:r>
              <w:rPr>
                <w:b/>
                <w:noProof/>
                <w:color w:val="000000" w:themeColor="text1"/>
                <w:sz w:val="20"/>
              </w:rPr>
              <w:t>Kredenzjali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5.1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L-istabbiliment tal-Kumitat tal-Kredenzjali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5.2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tal-Kumitat tal-Kredenzjali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Ammissjoni tal-</w:t>
            </w:r>
            <w:r>
              <w:rPr>
                <w:b/>
                <w:noProof/>
                <w:color w:val="000000" w:themeColor="text1"/>
                <w:sz w:val="20"/>
              </w:rPr>
              <w:t>osservaturi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Amministrazzjoni, finanzjament u baġit</w:t>
            </w:r>
            <w:r>
              <w:rPr>
                <w:noProof/>
                <w:color w:val="000000" w:themeColor="text1"/>
                <w:sz w:val="20"/>
              </w:rPr>
              <w:t xml:space="preserve"> tas-Segretarjat u tal-laqgħat tal-Konferenza tal-Partijiet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7.1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Amministrazzjoni tas-Segretarjat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7.2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tad-Direttur Eżekuttiv tal-UNEP dwar kwistjonijiet amministrattivi u oħrajn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7.3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Rapporti finanzjarji għall-2016-2019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1: Rapport finanzjarju dwar programm ta’ xogħol bi stima tal-ispejjeż għall-2016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2: Fond Fiduċjarju tas-CITES (CTL) – status tal-kontribuzzjonijiet sal-31 ta’ Diċembru 2016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3: Fond Fiduċjarju Estern tas-CITES (QTL) – status tal-kontribuzzjonijiet sal-31 ta’ Diċembru 2016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4: Rapport finanzjarju dwar programm ta’ xogħol bi stima tal-ispejjeż għall-2017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5: Fond Fiduċjarju tas-CITES (CTL) – status tal-kontribuzzjonijiet sal-31 ta’ Diċembru 2017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6: Fond Fiduċjarju Estern tas-CITES (QTL) – status tal-kontribuzzjonijiet sal-31 ta’ Diċembru 2017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7: Rapport finanzjarju dwar programm ta’ ħidma bi stima tal-ispejjeż għall-2018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8: Fond Fiduċjarju tas-CITES (CTL) – status tal-kontribuzzjonijiet sal-31 ta’ Diċembru 2018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lastRenderedPageBreak/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9: Fond Fiduċjarju tas-CITES (CTL) – status tal-kontribuzzjonijiet sal-31 ta’ Diċembru 2018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10: Fond Fiduċjarju Estern tas-CITES (QTL) – status tal-kontribuzzjonijiet sal-31 ta’ Diċembru 2018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A10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11: Dikjarazzjoni tal-prestazzjoni u l-pożizzjoni finanzjarja għas-sena li ntemmet fil-31 ta’ Diċembru 2017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7.3 A11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12: Rapport finanzjarju dwar programm ta’ xogħol bi stima tal-ispejjeż għall-2019 (sal-31 ta’ Marzu 2019)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13: Fond Fiduċjarju tas-CITES (CTL) – status tal-kontribuzzjonijiet sal-31 ta’ Marzu 2019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14: Fond Fiduċjarju Estern tas-CITES (QTL) – status tal-kontribuzzjonijiet sal-31 ta’ Marzu 2019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7.4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Baġit u programm ta’ ħidma għall-2020-2022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Anness 1: Abbozz ta’ Riżoluzzjoni dwar </w:t>
            </w:r>
            <w:r>
              <w:rPr>
                <w:i/>
                <w:noProof/>
                <w:color w:val="000000" w:themeColor="text1"/>
                <w:sz w:val="20"/>
              </w:rPr>
              <w:t xml:space="preserve">Il-Finanzjament u l-programm ta’ ħidma bi stima għas-Segretarjat għat-tliet snin 2020-2022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7.4 A1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2: Ix-xenarju tal-baġit – l-ebda tkabbir reali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7.4 A2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3: Ix-xenarju tal-baġit – l-ebda tkabbir nominali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7.4 A3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Anness 4: Ix-xenarju tal-baġit – tkabbir gradwali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7.4 A4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7.5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Aċċess għal finanzjament, inkluż finanzjament mill-GEF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7.6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Proġett tad-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delegati sponsorjati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7.6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ż-żamma tal-kriterji tal-għażla attwali; Is-Sek. għandu jesplora l-estensjoni tal-proġett mill-CoP għal-laqgħat tal-Kumitat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Abbozz ta’ riżoluzzjoni dwar l-</w:t>
            </w:r>
            <w:r>
              <w:rPr>
                <w:b/>
                <w:noProof/>
                <w:color w:val="000000" w:themeColor="text1"/>
                <w:sz w:val="20"/>
              </w:rPr>
              <w:t>istrateġija lingwistika</w:t>
            </w:r>
            <w:r>
              <w:rPr>
                <w:noProof/>
                <w:color w:val="000000" w:themeColor="text1"/>
                <w:sz w:val="20"/>
              </w:rPr>
              <w:t xml:space="preserve"> għall-Konvenzjoni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IQ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Mhux ċar għalfejn l-Għarbi għandu jiżdied bħala lingwa uffiċjali tas-CITES u mhux lingwi oħra tan-NU (Ċiniż, Russu). L-implikazzjonijiet baġitarji u aktar dewmien potenzjali fil-produzzjoni tad-dokumenti jmorru kontra l-proposta.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Kwistjonijiet strateġiċi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Rapporti u rakkomandazzjonijiet tal-</w:t>
            </w:r>
            <w:r>
              <w:rPr>
                <w:b/>
                <w:noProof/>
                <w:color w:val="000000" w:themeColor="text1"/>
                <w:sz w:val="20"/>
              </w:rPr>
              <w:t>Kumitat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9.1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Kumitat 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Permanenti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9.1.1.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tal-President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9.1.1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9.1.2.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Elezzjoni tal-membri reġjonali u reġjonali sostituti ġodda (ebda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9.2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Kumitat tal-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Annimali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9.2.1.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tal-President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9.2.2.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Elezzjoni tal-membri reġjonali u reġjonali sostituti ġodda (ebda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9.3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Kumitat tal-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Pjanti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9.3.1.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tal-President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9.3.1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46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9.3.2.</w:t>
            </w:r>
          </w:p>
        </w:tc>
        <w:tc>
          <w:tcPr>
            <w:tcW w:w="23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Elezzjoni tal-membri reġjonali u reġjonali sostituti ġodda (ebda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Viżjoni Strateġika</w:t>
            </w:r>
            <w:r>
              <w:rPr>
                <w:noProof/>
                <w:color w:val="000000" w:themeColor="text1"/>
                <w:sz w:val="20"/>
              </w:rPr>
              <w:t xml:space="preserve"> tas-CITES wara l-2020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ta’ Viżjoni Strateġika riveduta; is-Sek. għandu jqabbel l-għanijiet mad-deċiżjonijiet u r-riżoluzzjonijiet eżistenti; l-SC jingħata l-mandat biex jaħdem fuq l-indikaturi.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Rieżami tal-Konvenzjoni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CO, 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Iqajjem xi kwistjonijiet rilevanti fir-rigward tal-mezzi tal-għajxien u r-rieżami tal-Appendiċi. Madankollu, il-proposta tidher preġudikata fil-forma u fl-ambitu attwali tagħha, kif ukoll mhix ippreparata biżżejjed, abbażi tad-deliberazzjonijiet storiċi mingħajr riflessjoni fil-fond dwar l-isfidi dejjem aktar kumplessi tal-kummerċ u l-konservazzjoni tal-fawna selvaġġa, kif ukoll minħabba l-konsegwenzi potenzjalment serji. Id-destinatarji tal-abbozzi tad-Deċiżjonijiet mhumiex speċifikati. Diskussjoni ulterjuri hija meħtieġa, kif ukoll fir-rigward tal-proposti l-oħra dwar komunitajiet rurali eċċ. (il-punti 17, 18) u fir-rigward tal-ħtiġijiet tar-riżorsi.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(–)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L-iżgurar ta’ implimentazzjoni aħjar għall-</w:t>
            </w:r>
            <w:r>
              <w:rPr>
                <w:b/>
                <w:noProof/>
                <w:color w:val="000000" w:themeColor="text1"/>
                <w:sz w:val="20"/>
              </w:rPr>
              <w:t>elenkar ta’ speċijiet ta’ ħut tal-baħar</w:t>
            </w:r>
            <w:r>
              <w:rPr>
                <w:noProof/>
                <w:color w:val="000000" w:themeColor="text1"/>
                <w:sz w:val="20"/>
              </w:rPr>
              <w:t xml:space="preserve"> fl-Appendiċi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AG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Irrikonoxxi li għad hemm bżonn ta’ appoġġ għal implimentazzjoni aktar effettiva għall-elenkar tal-ispeċijiet tal-baħar. Madankollu, ir-reviżjoni tal-effikaċja tal-elenkar preċedenti għandha tiffoka fuq każijiet partikolari, b’ġustifikazzjoni ċara, u għandha tagħmel użu mill-mekkaniżmi u r-rakkomandazzjonijiet eżistenti minn reviżjonijiet preċedenti aktar milli tistabbilixxi proċess ġdid ad-hoc. Opponi “embargo” fuq l-elenkar ġdid ta’ kwalunkwe grupp ta’ speċijiet; l-importanti huwa jekk il-kriterji għall-elenkar humiex sodisfatti.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Rieżami tar-Riżoluzzjoni Konf. 11.1 (Rev. CoP17) dwar it-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Twaqqif ta’ kumitati</w:t>
            </w:r>
            <w:r>
              <w:rPr>
                <w:noProof/>
                <w:color w:val="000000" w:themeColor="text1"/>
                <w:sz w:val="20"/>
              </w:rPr>
              <w:t xml:space="preserve"> CoP18.Dok. 13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SC/ 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r-Riżoluzzjoni l-ġdida proposta; l-emendi ssuġġeriti mis-Segretarjat jeħtieġu aktar konsiderazzjoni.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Kunflitti ta’ interess</w:t>
            </w:r>
            <w:r>
              <w:rPr>
                <w:noProof/>
                <w:color w:val="000000" w:themeColor="text1"/>
                <w:sz w:val="20"/>
              </w:rPr>
              <w:t xml:space="preserve"> potenzjali fil-Kumitati tal-Annimali u tal-Pjanti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SC70 adotta formola standard ta’ żvelar għal dikjarazzjonijiet ta’ interess; appoġġ għat-tħassir tad-Deċiżjonijiet 16.09 u 16.10.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Kooperazzjoni</w:t>
            </w:r>
            <w:r>
              <w:rPr>
                <w:noProof/>
                <w:color w:val="000000" w:themeColor="text1"/>
                <w:sz w:val="20"/>
              </w:rPr>
              <w:t xml:space="preserve"> mal-organizzazzjonijiet u ma’ ftehimiet ambjentali multilaterali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15.1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Kooperazzjoni ma’ konvenzjonijiet oħra relatati mal-bijodiversità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t-tiġdid tad-Deċiżjonijiet 17.55 u 17.56.</w:t>
            </w:r>
          </w:p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Is-sinerġiji fost l-MEAs tal-bijodiversità għandhom ikomplu jissaħħu u huwa xieraq li l-SC għandu jirrevedi regolarment il-kwistjonijiet identifikati.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15.2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Il-Kummissjoni għall-Konservazzjoni tar-Riżorsi Marittimi Ħajjin tal-Antartika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CCAMLR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għar-Riż. Konf. 12.4 proposta b’mod konġunt mis-Segretarjati tas-CITES u tas-CCAMLR.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15.3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Strateġija Globali għall-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Konservazzjoni tal-Pjanti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ta’ Deċiżjonijiet ġodda biex jissostitwixxu d-Deċiżjonijiet 17.53 u 17.54.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15.4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Il-Pjattaforma Intergovernattiva tal-Politika tax-Xjenza dwar il-Bijodiversità u s-servizzi Ekosistemiċi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IPBES</w:t>
            </w:r>
            <w:r>
              <w:rPr>
                <w:noProof/>
                <w:color w:val="000000" w:themeColor="text1"/>
                <w:sz w:val="20"/>
              </w:rPr>
              <w:t>)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SC/Sek.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l-abbozz ta’ riżoluzzjoni dwar </w:t>
            </w:r>
            <w:r>
              <w:rPr>
                <w:i/>
                <w:noProof/>
                <w:color w:val="000000" w:themeColor="text1"/>
                <w:sz w:val="20"/>
              </w:rPr>
              <w:t>Kooperazjoni mal-Pjattaforma Intergovernattiva tal-Politika tax-Xjenza dwar il-Bijodiversità u s-servizzi Ekosistemiċi</w:t>
            </w:r>
            <w:r>
              <w:rPr>
                <w:noProof/>
                <w:color w:val="000000" w:themeColor="text1"/>
                <w:sz w:val="20"/>
              </w:rPr>
              <w:t xml:space="preserve"> fl-Anness 3 għad-dokument. 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634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15.5</w:t>
            </w:r>
          </w:p>
        </w:tc>
        <w:tc>
          <w:tcPr>
            <w:tcW w:w="3097" w:type="dxa"/>
            <w:gridSpan w:val="3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Il-Konsorzju Internazzjonali dwar il-Ġlieda Kontra l-Kriminalità fil-Ħajja Selvaġġa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ICCWC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s-sejħa lill-Partijiet biex ikomplu jiffinanzjaw l-attivitajiet tal-ICCWC.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15.6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Kooperazzjoni bejn ic-CITES u l-Konvenzjoni dwar 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il-Patrimonju Dinji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15.6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In-Norveġja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ta’ Riżoluzzjoni (li titlob għall-iżvilupp ta’ Memorandum ta’ Ftehim bejn id-WHC u s-CITES) u l-abbozz tad-Deċiżjoni stabbilita fl-Annessi 1 u 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Il-programm tal-ispeċijiet tas-</w:t>
            </w:r>
            <w:r>
              <w:rPr>
                <w:b/>
                <w:noProof/>
                <w:color w:val="000000" w:themeColor="text1"/>
                <w:sz w:val="20"/>
              </w:rPr>
              <w:t>siġar</w:t>
            </w:r>
            <w:r>
              <w:rPr>
                <w:noProof/>
                <w:color w:val="000000" w:themeColor="text1"/>
                <w:sz w:val="20"/>
              </w:rPr>
              <w:t xml:space="preserve"> tas-CITES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fil-1/3.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Il-komunitajiet rurali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ma’ proposti relatati skont il-Punt 18.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17.1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tal-Kumitat Permanenti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17.1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SC/Sek.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Miftuħa biex nikkunsidraw Proposta tas-Segretarjat li temenda r-Riż. Konf. 16.6 dwar il-</w:t>
            </w:r>
            <w:r>
              <w:rPr>
                <w:i/>
                <w:noProof/>
                <w:color w:val="000000" w:themeColor="text1"/>
                <w:sz w:val="20"/>
              </w:rPr>
              <w:t>Mezzi tal-Għajxien</w:t>
            </w:r>
            <w:r>
              <w:rPr>
                <w:noProof/>
                <w:color w:val="000000" w:themeColor="text1"/>
                <w:sz w:val="20"/>
              </w:rPr>
              <w:t xml:space="preserve">.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Il-proposta biex jitħassru d-Deċiżjonijiet tal-CoP17 tista’ tkun prematura; jista’ jkun hemm il-bżonn ta’ ħidma ulterjuri bejn il-varji sessjonijiet (b’mod konġunt flimkien mal-grupp ta’ ħidma dwar l-Għajxien?).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17.2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Emendi proposti għar-Riżoluzzjoni Konf. 4.6 (Rev. CoP17) [</w:t>
            </w:r>
            <w:r>
              <w:rPr>
                <w:i/>
                <w:noProof/>
                <w:color w:val="000000" w:themeColor="text1"/>
                <w:sz w:val="20"/>
              </w:rPr>
              <w:t>Sottomissjoni ta’ abbozzi ta’ riżoluzzjonijiet</w:t>
            </w:r>
            <w:r>
              <w:rPr>
                <w:noProof/>
                <w:color w:val="000000" w:themeColor="text1"/>
                <w:sz w:val="20"/>
              </w:rPr>
              <w:t xml:space="preserve">] u Riżoluzzjoni Konf. 9.24 (Rev. CoP17)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17.2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ssuġġerita għal Riż. 4.6 kif abbozzata tidher li mhux f’lokha, għax ir-riżoluzzjoni hija minflok iffokata fuq formalitajiet u proċeduri għas-sottomissjoni tal-proposti.</w:t>
            </w:r>
          </w:p>
          <w:p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Kwalunkwe emenda għar-Riż. 9.24 għandha tal-inqas tiċċara l-iskop ġeografiku tal-konsultazzjonijiet mal-komunitajiet rurali, jiġifieri kull Parti fit-territorju tagħha stess; jeħtieġu aktar diskussjoni. </w:t>
            </w:r>
          </w:p>
          <w:p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Ikkunsidrati flimkien mad-Dok. 18.3.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(–)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17.3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Mekkaniżmu parteċipattiv għall-komunitajiet rurali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BW, CO, NA, ZW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Opponi t-twaqqif ta’ Kumitat għall-Komunitajiet Rurali permanenti; ikkunsidra modi alternattivi kif il-vuċi tal-komunitajiet rurali tinstema’.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CITES u mezzi ta’ </w:t>
            </w:r>
            <w:r>
              <w:rPr>
                <w:b/>
                <w:noProof/>
                <w:color w:val="000000" w:themeColor="text1"/>
                <w:sz w:val="20"/>
              </w:rPr>
              <w:t>għajxien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ma’ proposti relatati skont il-Punt 17.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18.1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tas-Segretarjat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18.1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t-twaqqif mill-ġdid tal-grupp ta’ ħidma, żvilupp ta’ gwida permezz ta’ konsulenza, għall-konsiderazzjoni mill-CoP19.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18.2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Proposta mill-Perù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18.2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PE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Miftuħa għall-kontinwazzjoni tal-Grupp ta’ Ħidma iżda niddubitaw miż-żieda proposta ta’ xogħol fuq sistema ta’ ċertifikazzjoni possibbli għal “prodotti ta’ speċijiet elenkati fis-CITES prodotti minn komunitajiet rurali konsistenti mad-dispożizzjonijiet tas-CITES” mat-ToR tiegħu.</w:t>
            </w:r>
          </w:p>
          <w:p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B’mod ġenerali miftuħa wkoll għat-twaqqif ta’ “Jum Internazzjonali għall-Mezzi ta’ Għajxien tal-Komunitajiet Rurali” iżda r-Riżoluzzjoni speċifika tista’ ma tkunx meħtieġa għal dak il-għan; jikkunsidraw ukoll l-implikazzjonijiet dwar ir-riżorsi.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18.3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Emendi proposti għar-Riżoluzzjoni Konf. 9.24 (Rev. CoP17)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18.3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Tista’ tkun ikkunsidrata proposta għall-inklużjoni ta’ xi tip ta’ “Analiżi tal-Għajxien” fid-dikjarazzjoni ta’ sostenn għall-elenkar tal-proposti (Riż. Konf. 9.24, Anness 6) iżda ma tidhirx li hi adatta għal deċiżjoni fil-CoP18; it-test propost mhux kollu ċar. </w:t>
            </w:r>
          </w:p>
          <w:p>
            <w:pPr>
              <w:spacing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mad-Dok. 17.2.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(0)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</w:t>
            </w:r>
            <w:r>
              <w:rPr>
                <w:b/>
                <w:noProof/>
                <w:color w:val="000000" w:themeColor="text1"/>
                <w:sz w:val="20"/>
              </w:rPr>
              <w:t>sigurtà tal-ikel</w:t>
            </w:r>
            <w:r>
              <w:rPr>
                <w:noProof/>
                <w:color w:val="000000" w:themeColor="text1"/>
                <w:sz w:val="20"/>
              </w:rPr>
              <w:t xml:space="preserve"> u l-mezzi tal-għajxien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Opponi t-tiġdid tad-deċiżjonijiet, minħabba li l-WG ma mexiex ’il quddiem u kwistjonijiet simili ħafna huma indirizzati taħt “Il-komunitajiet rurali” u “l-Mezzi tal-Għajxien”; appoġġa l-kummenti tas-Segretarjat.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Strateġiji ta’ </w:t>
            </w:r>
            <w:r>
              <w:rPr>
                <w:b/>
                <w:noProof/>
                <w:color w:val="000000" w:themeColor="text1"/>
                <w:sz w:val="20"/>
              </w:rPr>
              <w:t>tnaqqis fid-domanda</w:t>
            </w:r>
            <w:r>
              <w:rPr>
                <w:noProof/>
                <w:color w:val="000000" w:themeColor="text1"/>
                <w:sz w:val="20"/>
              </w:rPr>
              <w:t xml:space="preserve"> għall-ġlieda kontra l-kummerċ illegali fl-ispeċijiet elenkati fis-CITES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tal-abbozzi tad-Deċiżjonijiet fl-Anness 1 u aqbel mat-tħassir tad-Deċiżjonijiet 17.44 sa 17.48.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Tisħiħ tal-Kapaċitajiet</w:t>
            </w:r>
            <w:r>
              <w:rPr>
                <w:noProof/>
                <w:color w:val="000000" w:themeColor="text1"/>
                <w:sz w:val="20"/>
              </w:rPr>
              <w:t xml:space="preserve"> u identifikazzjoni tal-materjali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21.1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Tisħiħ tal-Kapaċitajiet u identifikazzjoni tal-materjali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21.1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AC/PC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ta’ Deċiżjonijiet biex jiġi stabbilit grupp ta’ ħidma AC/PC konġunt dwar materjali ta’ identifikazzjoni; kif ukoll appoġġa l-proposta biex jitħassru d-Deċiżjonijiet skont punt 54.1.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21.2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Attivitajiet ta’ tisħiħ tal-kapaċitajiet kif speċifikati fir-Riżoluzzjonijiet u d-Deċiżjonijiet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21.2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tal-abbozzi tad-Deċiżjonijiet (reviżjoni, titjib tas-sit web tas-CITES, korsijiet onlajn permezz tal-Kulleġġ Virtwali) flimkien mas-Sek. li ppropona bidliet.</w:t>
            </w:r>
          </w:p>
          <w:p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ma’ 21.3, 28, 29.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21.3</w:t>
            </w:r>
          </w:p>
        </w:tc>
        <w:tc>
          <w:tcPr>
            <w:tcW w:w="2971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Qafas biex jiffaċilita l-koordinazzjoni, it-trasparenza u r-responsabbiltà tal-isforzi tas-CITES għat-tisħiħ tal-kapaċitajiet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21.3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US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Inizjattiva siewja iżda l-adozzjoni tal-abbozz tar-Riżoluzzjoni u l-qafas waqt il-CoP18 tidher prematura. Appoġġa l-integrazzjoni tal-elementi relevanti fi 21.2 minflok, kif propost mis-Sek., għall-konsiderazzjoni mill-SC u mill-CoP19.</w:t>
            </w:r>
          </w:p>
          <w:p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mad-dok. 21.2, 28.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Jum Dinji tal-Ispeċijiet Selvaġġi</w:t>
            </w:r>
            <w:r>
              <w:rPr>
                <w:noProof/>
                <w:color w:val="000000" w:themeColor="text1"/>
                <w:sz w:val="20"/>
              </w:rPr>
              <w:t xml:space="preserve"> tan-Nazzjonijiet Uniti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ta’ emendi għar-Riżoluzzjoni Konf. 17.1 bi stedina lill-Partijiet u lill-Istati li mhumiex partijiet biex jaħtru punt fokali wieħed għall-koordinazzjoni taċ-ċelebrazzjoni tal-Jum Dinji tal-Ispeċijiet Selvaġġi fil-pajjiż.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L-involviment taż-</w:t>
            </w:r>
            <w:r>
              <w:rPr>
                <w:b/>
                <w:noProof/>
                <w:color w:val="000000" w:themeColor="text1"/>
                <w:sz w:val="20"/>
              </w:rPr>
              <w:t>żgħażagħ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r-reviżjonijiet issuġġeriti għar-Riżoluzzjoni Konf. 17.5 dwar l-involviment taż-żgħażagħ (Anness 1) u tħassir tad-Deċiżjonijiet 17.26 u 17.27.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Kwistjonijiet ta' interpretazzjoni u implimentazzjoni</w:t>
            </w: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Riżoluzzjonijiet u Deċiżjonijiet Eżistenti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Rieżami tar-</w:t>
            </w:r>
            <w:r>
              <w:rPr>
                <w:b/>
                <w:noProof/>
                <w:color w:val="000000" w:themeColor="text1"/>
                <w:sz w:val="20"/>
              </w:rPr>
              <w:t>Riżoluzzjonijiet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b’mod generali l-emendi għar-Riżoluzzjonijiet Konf. 4.6, </w:t>
            </w:r>
            <w:r>
              <w:rPr>
                <w:i/>
                <w:noProof/>
                <w:color w:val="000000" w:themeColor="text1"/>
                <w:sz w:val="20"/>
              </w:rPr>
              <w:t>Sottomissjoni ta’ dokumenti</w:t>
            </w:r>
            <w:r>
              <w:rPr>
                <w:noProof/>
                <w:color w:val="000000" w:themeColor="text1"/>
                <w:sz w:val="20"/>
              </w:rPr>
              <w:t xml:space="preserve"> (inkluż dwar deċiżjoni ta’ finanzjament ċentralizzat); ir-rieżami jissuġġerixxi l-inkorporazzjoni ta’ Deċ 14.19. Appoġġa l-emendi għar-Riżoluzzjonijiet 12.8 </w:t>
            </w:r>
            <w:r>
              <w:rPr>
                <w:i/>
                <w:noProof/>
                <w:color w:val="000000" w:themeColor="text1"/>
                <w:sz w:val="20"/>
              </w:rPr>
              <w:t>Rieżami tal-Kummerċ ta’ Livell Sinifikanti</w:t>
            </w:r>
            <w:r>
              <w:rPr>
                <w:noProof/>
                <w:color w:val="000000" w:themeColor="text1"/>
                <w:sz w:val="20"/>
              </w:rPr>
              <w:t xml:space="preserve"> (skont SC70) u 14.3, </w:t>
            </w:r>
            <w:r>
              <w:rPr>
                <w:i/>
                <w:noProof/>
                <w:color w:val="000000" w:themeColor="text1"/>
                <w:sz w:val="20"/>
              </w:rPr>
              <w:t>Proċeduri ta’ konformità</w:t>
            </w:r>
            <w:r>
              <w:rPr>
                <w:noProof/>
                <w:color w:val="000000" w:themeColor="text1"/>
                <w:sz w:val="20"/>
              </w:rPr>
              <w:t xml:space="preserve"> (inkl. Riż. 10.10).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Rieżami tad-</w:t>
            </w:r>
            <w:r>
              <w:rPr>
                <w:b/>
                <w:noProof/>
                <w:color w:val="000000" w:themeColor="text1"/>
                <w:sz w:val="20"/>
              </w:rPr>
              <w:t>Deċiżjonijiet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fil-1/3.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Konformità u infurzar ġenerali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Liġijiet nazzjonali</w:t>
            </w:r>
            <w:r>
              <w:rPr>
                <w:noProof/>
                <w:color w:val="000000" w:themeColor="text1"/>
                <w:sz w:val="20"/>
              </w:rPr>
              <w:t xml:space="preserve"> għall-implimentazzjoni tal-Konvenzjoni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ta’ Deċiżjonijiet iżda itlob aktar ċarezza dwar l-iskedi taż-żmien, u ikkunsidra l-proposta ta’ miżuri addizzjonali, għall-Partijiet b’leġiżlazzjoni fil-kategoriji 2 jew 3 biex jissottomettu lis-Segretarjat dettalji dwar il-miżuri għall-implimentazzjoni effettiva tal-Konvenzjoni.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27.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Kwistjonijiet ta’ </w:t>
            </w:r>
            <w:r>
              <w:rPr>
                <w:b/>
                <w:noProof/>
                <w:color w:val="000000" w:themeColor="text1"/>
                <w:sz w:val="20"/>
              </w:rPr>
              <w:t>konformità</w:t>
            </w:r>
            <w:r>
              <w:rPr>
                <w:noProof/>
                <w:color w:val="000000" w:themeColor="text1"/>
                <w:sz w:val="20"/>
              </w:rPr>
              <w:t xml:space="preserve"> tas-CITES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proposti għar-Riż. Konf 11.3 (Rev. CoP17) u l-adozzjoni ta’ abbozzi ta’ Deċiżjonijiet bil-għan li tirrevedi l-politika dwar il-permessi tas-CITES u kwistjonijiet relatati mal-konformità.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Programm ta’ Assistenza</w:t>
            </w:r>
            <w:r>
              <w:rPr>
                <w:noProof/>
                <w:color w:val="000000" w:themeColor="text1"/>
                <w:sz w:val="20"/>
              </w:rPr>
              <w:t xml:space="preserve"> dwar il-Konformità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generali s-sett ta’ Deċiżjonijiet bil-għan li jistabbilixxu Programm ta’ Assistenza dwar il-Konformità bil-ħsieb li jassistu lill-Partijiet b’diffikultajiet li ilhom jeżistu biex jiksbu konformità mal-Konvenzjoni u rakkomandazzjonijiet relatati tal-Kumitat Permanenti. Madanakollu ikkontesta l-implikazzjonijiet tal-baġit relatati mal-ħolqien tal-Programm.</w:t>
            </w:r>
          </w:p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mad-Dok. 21 u mad-dokumenti tal-baġit.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Rieżami tal-Kummerċ ta’ Livell Sinifikanti </w:t>
            </w:r>
            <w:r>
              <w:rPr>
                <w:b/>
                <w:noProof/>
                <w:color w:val="000000" w:themeColor="text1"/>
                <w:sz w:val="20"/>
              </w:rPr>
              <w:t>fil-pajjiżi kollha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29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AC/PC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l-mandat tas-Sek. biex janalizzah u l-Kumitati biex jikkunsidraw l-għażliet u jagħmlu rakkomandazzjonijiet lill-CoP19.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Konformità fir-rigward tal-ebanu tal-</w:t>
            </w:r>
            <w:r>
              <w:rPr>
                <w:b/>
                <w:noProof/>
                <w:color w:val="000000" w:themeColor="text1"/>
                <w:sz w:val="20"/>
              </w:rPr>
              <w:t>Malagasy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Diospyros</w:t>
            </w:r>
            <w:r>
              <w:rPr>
                <w:noProof/>
                <w:color w:val="000000" w:themeColor="text1"/>
                <w:sz w:val="20"/>
              </w:rPr>
              <w:t xml:space="preserve"> spp.) u palisanders u rosewoods (</w:t>
            </w:r>
            <w:r>
              <w:rPr>
                <w:i/>
                <w:noProof/>
                <w:color w:val="000000" w:themeColor="text1"/>
                <w:sz w:val="20"/>
              </w:rPr>
              <w:t xml:space="preserve">Dalbergia </w:t>
            </w:r>
            <w:r>
              <w:rPr>
                <w:noProof/>
                <w:color w:val="000000" w:themeColor="text1"/>
                <w:sz w:val="20"/>
              </w:rPr>
              <w:t>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30.1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ta’ Madagascar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Ħu nota.</w:t>
            </w:r>
          </w:p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mad-Dok. 30.2.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30.2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tal-Kumitat Permanenti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30.2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l-ħtieġa li d-diskussjonijiet kollha ma jiġux iffukati fuq il-pjan ta’ użu propost minn Madagascar, iżda jibqgħu viġilanti. Itlob enfasi qawwija fuq il-ħtieġa għal sforzi ta’ infurzar aktar b’saħħithom biex jiġu ttrattati l-illogjar illegali u ż-żarmar tan-netwerks tat-traffikar. Ipproponi li l-abbozz tad-deċiżjoni 18.BB ikun emendat biex iqis ir-rakkomandazzjonijiet tal-UNODC tal-2017 dwar il-kwistjoni, u jiddaħħal il-kliem ta’ prekawzjoni biex jiżgura li kwalunkwe pjan dwar użu futur ikun sigur biżżejjed.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Swieq domestiċi</w:t>
            </w:r>
            <w:r>
              <w:rPr>
                <w:noProof/>
                <w:color w:val="000000" w:themeColor="text1"/>
                <w:sz w:val="20"/>
              </w:rPr>
              <w:t xml:space="preserve"> għall-eżemplari kkummerċjalizzati illegalment b’mod regolari CoP18 Dok. 31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l-emenda proposta għar-Riżoluzzjoni. Konf 10.10 (Rev. CoP17) u l-abbozzi ta’ Deċiżjonijiet riveduti 17.87-17.88, inkluż dwar kontrolli domestiċi tal-prodotti tal-fawna selvaġġa għajr l-avorju tal-iljunfanti.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Kwistjonijiet ta’ </w:t>
            </w:r>
            <w:r>
              <w:rPr>
                <w:b/>
                <w:noProof/>
                <w:color w:val="000000" w:themeColor="text1"/>
                <w:sz w:val="20"/>
              </w:rPr>
              <w:t>infurzar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 32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tad-Deċiżjonijiet proposti u proposta għall-emenda għar-Riżoluzzjoni Konf 11.3 (Rev.COP17). Qbil għat-tħassir tad-Deċiżjonijiet 17.83 u 17.85.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Ġlieda kontra ċ-</w:t>
            </w:r>
            <w:r>
              <w:rPr>
                <w:b/>
                <w:noProof/>
                <w:color w:val="000000" w:themeColor="text1"/>
                <w:sz w:val="20"/>
              </w:rPr>
              <w:t>ċiberkriminalità</w:t>
            </w:r>
            <w:r>
              <w:rPr>
                <w:noProof/>
                <w:color w:val="000000" w:themeColor="text1"/>
                <w:sz w:val="20"/>
              </w:rPr>
              <w:t xml:space="preserve"> tal-fawna selvaġġa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33.1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tas-Segretarjat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33.1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l-abbozzi tad-Deċiżjonijiet proposti.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33.2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tal-Kumitat Permanenti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33.2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proposti għar-Riżoluzzjoni Konf 11.3 (Rev. COP17) u l-adozzjoni tal-abbozzi tad-Deċiżjonijiet kif modifikati mis-Segretarjat. Qbil għat-tħassir tad-Deċiżjonijiet 17.94 u 17.96.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 għall-infurzar kontra l-kriminalità fuq il-fawna selvaġġa fl-</w:t>
            </w:r>
            <w:r>
              <w:rPr>
                <w:b/>
                <w:noProof/>
                <w:color w:val="000000" w:themeColor="text1"/>
                <w:sz w:val="20"/>
              </w:rPr>
              <w:t>Afrika tal-Punent u l-Afrika Ċentrali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fil-1/3.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Rimi ta’ </w:t>
            </w:r>
            <w:r>
              <w:rPr>
                <w:b/>
                <w:noProof/>
                <w:color w:val="000000" w:themeColor="text1"/>
                <w:sz w:val="20"/>
              </w:rPr>
              <w:t>eżemplari kkonfiskati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 35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t-tħassir tad-Deċiżjonijiet 17.118 u 17.119 u l-adozzjoni tal-abbozzi tad-Deċiżjonijiet proposti. Opponi kwalunkwe żieda li tikkomprometti informazzjoni sensittiva dwar ċentri ta’ salvataġġ, jew li tirriżulta f’obbligi addizzjonali għall-Partijiet. Opponi wkoll il-ħidma mill-ġdid tal-grupp ta’ ħidma tal-SC.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Il-ħażna u l-immaniġġjar ta’ 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b/>
                <w:noProof/>
                <w:color w:val="000000" w:themeColor="text1"/>
                <w:sz w:val="20"/>
              </w:rPr>
              <w:t xml:space="preserve"> dwar il-kummerċ illegali</w:t>
            </w:r>
            <w:r>
              <w:rPr>
                <w:noProof/>
                <w:color w:val="000000" w:themeColor="text1"/>
                <w:sz w:val="20"/>
              </w:rPr>
              <w:t xml:space="preserve"> miġbura permezz tar-rapporti annwali tal-Partijiet dwar il-kummerċ illegali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b’mod ġenerali l-prinċipju ta’ ħażna u ġestjoni aktar sistematiċi ta’ </w:t>
            </w:r>
            <w:r>
              <w:rPr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noProof/>
                <w:color w:val="000000" w:themeColor="text1"/>
                <w:sz w:val="20"/>
              </w:rPr>
              <w:t xml:space="preserve"> dwar kummerċ illegali miġbura permezz ta’ rapporti annwali dwar il-kummerċ illegali. Ikkondividi t-tħassib tas-Segretarjat dwar il-valur miżjud limitat ta’ bażi ta’ </w:t>
            </w:r>
            <w:r>
              <w:rPr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noProof/>
                <w:color w:val="000000" w:themeColor="text1"/>
                <w:sz w:val="20"/>
              </w:rPr>
              <w:t xml:space="preserve"> bħal din jekk il-finanzjament fit-tul mhuwiex garantit u jekk numru limitat biss ta’ Partijiet fil-fatt jirrappurtaw u jipprovdu </w:t>
            </w:r>
            <w:r>
              <w:rPr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noProof/>
                <w:color w:val="000000" w:themeColor="text1"/>
                <w:sz w:val="20"/>
              </w:rPr>
              <w:t>. Ikkunsidra proposta dwar il-lingwa biex iħeġġu lill-Partijiet jissottomettu b’mod aktar sistematiku r-rapporti annwali dwar il-kummerċ illegali.</w:t>
            </w:r>
          </w:p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mad-dokumenti dwar il-baġit.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Il-kundizzjonijiet tax-xogħol tal-</w:t>
            </w:r>
            <w:r>
              <w:rPr>
                <w:b/>
                <w:noProof/>
                <w:color w:val="000000" w:themeColor="text1"/>
                <w:sz w:val="20"/>
              </w:rPr>
              <w:t>gwardjani</w:t>
            </w:r>
            <w:r>
              <w:rPr>
                <w:noProof/>
                <w:color w:val="000000" w:themeColor="text1"/>
                <w:sz w:val="20"/>
              </w:rPr>
              <w:t xml:space="preserve"> tal-fawna selvaġġa u l-implikazzjonijiet tagħhom għall-implimentazzjoni tas-CITES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NP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Ilqa’ r-rapport u irrikonoxxi l-importanza tal-kwistjoni.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Regolament dwar il-kummerċ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38.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Ħatra u rwoli tal-</w:t>
            </w:r>
            <w:r>
              <w:rPr>
                <w:b/>
                <w:noProof/>
                <w:color w:val="000000" w:themeColor="text1"/>
                <w:sz w:val="20"/>
              </w:rPr>
              <w:t>Awtoritajiet Maniġerjali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38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r-Riżoluzzjoni proposta. Skrutinju aktar mill-qrib ta’ xi aspetti tat-test huwa meħtieġ.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Gwida biex isiru </w:t>
            </w:r>
            <w:r>
              <w:rPr>
                <w:b/>
                <w:noProof/>
                <w:color w:val="000000" w:themeColor="text1"/>
                <w:sz w:val="20"/>
              </w:rPr>
              <w:t>sejbiet ta’ akkwist legali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39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l-abbozz tar-riżoluzzjoni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>Ikkunsidra flimkien mad-Dok. 40.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40.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Diliġenza dovuta</w:t>
            </w:r>
            <w:r>
              <w:rPr>
                <w:noProof/>
                <w:color w:val="000000" w:themeColor="text1"/>
                <w:sz w:val="20"/>
              </w:rPr>
              <w:t xml:space="preserve"> mill-Partijiet tas-CITES u l-obbligi tal-pajjiżi importaturi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US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l-ħsieb u l-approċċ. Skrutinju aktar mill-qrib ta’ xi aspetti tal-emendi proposti għar-Riż. Konf 11.3 huwa meħtieġ.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Sistemi elettroniċi</w:t>
            </w:r>
            <w:r>
              <w:rPr>
                <w:noProof/>
                <w:color w:val="000000" w:themeColor="text1"/>
                <w:sz w:val="20"/>
              </w:rPr>
              <w:t xml:space="preserve"> u teknoloġiji tal-informazzjoni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l-abbozzi tad-Deċiżjonijiet proposti, li jissostitwixxu d-Deċiżjonijiet 17.156 sa 17.159 biex jivvalutaw l-utilità u l-fattibilità ta’ </w:t>
            </w:r>
            <w:r>
              <w:rPr>
                <w:i/>
                <w:noProof/>
                <w:color w:val="000000" w:themeColor="text1"/>
                <w:sz w:val="20"/>
              </w:rPr>
              <w:t>Qafas ta’ Implimentazzjoni tal-eCITES</w:t>
            </w:r>
            <w:r>
              <w:rPr>
                <w:noProof/>
                <w:color w:val="000000" w:themeColor="text1"/>
                <w:sz w:val="20"/>
              </w:rPr>
              <w:t xml:space="preserve"> u jġeddu l-mandat tal-grupp ta’ ħidma.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Traċċabbiltà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Sek., President tal-SC, MX u CH bħala Presidenti tal-grupp ta’ ħidma intersessjonali dwar it-traċċabbiltà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Aqbel mad-definizzjoni operattiva tat-traċċabbiltà tas-CITES u appoġġa l-adozzjoni tal-abbozzi tad-deċiżjonijiet fl-Anness 1, inkluż l-emendi proposti mis-Segretarjat.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Kampjuni prodotti minn </w:t>
            </w:r>
            <w:r>
              <w:rPr>
                <w:b/>
                <w:noProof/>
                <w:color w:val="000000" w:themeColor="text1"/>
                <w:sz w:val="20"/>
              </w:rPr>
              <w:t>DNA sintetiku jew ikkultivat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Doc. 43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tad-Deċiżjonijiet kif emendati mis-Sek. u li jissostitwixxu d-Deċiżjonijiet 17.89-17.91, biex ikomplu jivvalutaw l-implikazzjonijiet ta’ kampjuni prodotti permezz tal-bijoteknoloġija li jista’ jkollhom impatt fuq l-interpretazzjoni u l-implimentazzjoni tal-Konvenzjoni. Uħud mid-Deċiżjonijiet jistgħu jeħtieġu rfinar għal kjarifika.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Definizzjoni tat-terminu “</w:t>
            </w:r>
            <w:r>
              <w:rPr>
                <w:b/>
                <w:noProof/>
                <w:color w:val="000000" w:themeColor="text1"/>
                <w:sz w:val="20"/>
              </w:rPr>
              <w:t>destinazzjonijiet xierqa u aċċettabbli</w:t>
            </w:r>
            <w:r>
              <w:rPr>
                <w:noProof/>
                <w:color w:val="000000" w:themeColor="text1"/>
                <w:sz w:val="20"/>
              </w:rPr>
              <w:t>”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44.1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Rapport tal-Kumitat Permanenti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44.1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r-rakkomandazzjonijiet u l-abbozzi tad-deċiżjonijiet relatati mad-definizzjoni tat-terminu “destinazzjonijiet xierqa u aċċettabbli”. Madankollu, xi bidliet fit-test jistgħu jkunu meħtieġa biex tiġi evitata interpretazzjoni ħażina.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44.2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Kummerċ internazzjonali ta’ iljunfanti Afrikani ħajjin: Reviżjoni proposta tar-Riżoluzzjoni Konf. 11.20 (Rev. CoP17) dwar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Definizzjoni tat-terminu “destinazzjonijiet xierqa u aċċettabbli”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BF, JO, LB, LR, NE, NG, SD, SY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Id-dokument jipproponi emendi għar-Riż. Konf. 11.20 b’tali mod li iljunfanti Afrikani ħajjin jiġu trasportati biss għal programmi ta’ konservazzjoni in-situ fil-firxa naturali tagħhom, u b’hekk jiġi eskluż kwalunkwe kummerċ ta’ iljunfanti Afrikani maqbuda fis-selvaġġ għal destinazzjonijiet għall-iskop ta’ użu ristrett ex-situ, anke fejn dan ikun ta’ benefiċċju għal skopijiet ta’ konservazzjoni. Ikkunsidra wkoll fir-rigward tar-reġim attwali ta’ eżemplari elenkati fl-App. 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(–)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Sejbiet </w:t>
            </w:r>
            <w:r>
              <w:rPr>
                <w:b/>
                <w:noProof/>
                <w:color w:val="000000" w:themeColor="text1"/>
                <w:sz w:val="20"/>
              </w:rPr>
              <w:t>mhux ta’ detriment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tad-Deċiżjonijiet proposti bil-għan li jindirizzaw lakuni u l-bżonnijiet tal-Partijiet biex jagħmlu sejbiet mhux ta’ detriment, u appoġġa l-implimentazzjoni tar-Riżoluzzjoni Konf. 16.7 (Rev. CoP17). Appoġġa t-tieni workshop internazzjonali dwar l-NDFs.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Kwoti għal trofej tal-</w:t>
            </w:r>
            <w:r>
              <w:rPr>
                <w:b/>
                <w:noProof/>
                <w:color w:val="000000" w:themeColor="text1"/>
                <w:sz w:val="20"/>
              </w:rPr>
              <w:t>kaċċa għall-leopard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L-ebda dokument ma kien disponibbli fit-13/2.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Titjib tal-kwoti għal trofej tal-</w:t>
            </w:r>
            <w:r>
              <w:rPr>
                <w:b/>
                <w:noProof/>
                <w:color w:val="000000" w:themeColor="text1"/>
                <w:sz w:val="20"/>
              </w:rPr>
              <w:t>kaċċa għall-markhor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PK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ż-żieda tal-kwota għat-trofej tal-kaċċa għall-markhor fil-Pakistan minn 12 għal 20 annimal kull sena, jekk il-Pakistan jipprovdi aktar informazzjoni dwar liema komunitajiet / żoni ġodda se jissieħbu fil-programm għat-trofej tal-kaċċa ibbażat fil-komunità. </w:t>
            </w:r>
          </w:p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mal-proposta għall-elenkar nru 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Trofej tal-</w:t>
            </w:r>
            <w:r>
              <w:rPr>
                <w:b/>
                <w:noProof/>
                <w:color w:val="000000" w:themeColor="text1"/>
                <w:sz w:val="20"/>
              </w:rPr>
              <w:t>kaċċa tar-rinoċeronti</w:t>
            </w:r>
            <w:r>
              <w:rPr>
                <w:noProof/>
                <w:color w:val="000000" w:themeColor="text1"/>
                <w:sz w:val="20"/>
              </w:rPr>
              <w:t xml:space="preserve"> iswed: Kwota ta’ esportazzjoni għall-Afrika t’Isfel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ZA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Żieda proposta tal-kwota mill-kwota ta’ bħalissa ta’ ħames rinoċeronti suwed maskili adulti għal mass. ta’ 0.5 % tal-popolazzjoni totali tal-pajjiż tidher raġonevoli, jekk tradotta f’pubblikazzjoni annwali mill-Afrika t’Isfel ta’ kwota speċifika (numru assolut ta’ kampjuni).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Implikazzjonijiet tat-trasferiment ta’ speċi għall-</w:t>
            </w:r>
            <w:r>
              <w:rPr>
                <w:b/>
                <w:noProof/>
                <w:color w:val="000000" w:themeColor="text1"/>
                <w:sz w:val="20"/>
              </w:rPr>
              <w:t>Appendiċi 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49.1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tas-Segretarjat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49.1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emendi għar-Riż. Konf. 12.3, biex jiġi ċċarat li wara li jsir elenkar ’il fuq ta’ speċi, ir-regoli applikabbli huma dawk validi fil-ħin tal-kummerċ (mhux il-ħsad), kif ukoll għar-Riż. Konf. 13.6. Analizza f’aktar dettall il-proposta biex tinkludi paragrafu ġdid (11) fir-Riż. Konf. 12.3 u l-abbozz tad-Deċiżjoni għall-SC biex jikkunsidra l-ħtieġa ta’ gwida matul il-perjodu ta’ tranżizzjoni, inkluż bejn id-deċiżjoni għall-elenkar u d-dħul fis-seħħ, u biex l-SC jeżamina kundizzjonijiet speċjali għal pjanta annotata inkluż l-ispeċi tal-injam.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49.2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Kummerċ fl-eżemplari tal-“Appendiċi I ta’ qabel”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49.2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CI, NG, SN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Integra fl-emendi proposti fid-dok. 49.1.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Emendi għar-Riżoluzzjoni Konf. 10.13 (Rev. CoP15) dwar 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Implimentazzjoni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tal-Konvenzjoni għall-ispeċijiet tal-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injam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hyperlink r:id="rId18">
              <w:r>
                <w:rPr>
                  <w:noProof/>
                  <w:color w:val="000000" w:themeColor="text1"/>
                  <w:sz w:val="20"/>
                  <w:u w:val="single"/>
                </w:rPr>
                <w:t>CoP18 Dok. 50</w:t>
              </w:r>
            </w:hyperlink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iżda ipproponi li jinkludu referenza għall-ħtieġa li l-NDFs ikunu bbażati fuq fatturi ta’ konverżjoni adegwati, u emendi oħra minuri.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Ħażniet u akkumulazzjoni ta’ ħażniet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l-kontinwazzjoni tax-xogħol intersessjonali b’mandat definit b’mod aktar ċar, eskluż l-immaniġġjar tal-ħażniet.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Introduzzjoni mill-baħar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l-mandat imġedded għas-Sek. biex jimmonitorja l-implimentazzjoni tar-Riż. Konf. 14.6 u jirrapporta dwar in-negozjati tal-BBNJ; l-SC għandu jirrevedi l-informazzjoni.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Kodiċijiet tal-iskopijiet</w:t>
            </w:r>
            <w:r>
              <w:rPr>
                <w:noProof/>
                <w:color w:val="000000" w:themeColor="text1"/>
                <w:sz w:val="20"/>
              </w:rPr>
              <w:t xml:space="preserve"> fuq il-permessi u ċ-ċertifikati tas-CITES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b'mod tentattiv l-abbozzi ta’ emendi għad-Deċiżjoni 14.54 u għar-Riż. Konf. 12.3 (Rev. CoP17) dwar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Permessi u ċertifikati</w:t>
            </w:r>
            <w:r>
              <w:rPr>
                <w:noProof/>
                <w:color w:val="000000" w:themeColor="text1"/>
                <w:sz w:val="20"/>
              </w:rPr>
              <w:t>; ivverifika iktar minn darba fid-dawl tal-kummenti tas-Sek. li ġejjin. Stħarreġ il-ħtieġa għal grupp ta’ ħidma intersessjonali ġdid.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Identifikazzjoni</w:t>
            </w:r>
            <w:r>
              <w:rPr>
                <w:noProof/>
                <w:color w:val="000000" w:themeColor="text1"/>
                <w:sz w:val="20"/>
              </w:rPr>
              <w:t xml:space="preserve"> ta' eżemplari fil-kummerċ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54.1</w:t>
            </w:r>
          </w:p>
        </w:tc>
        <w:tc>
          <w:tcPr>
            <w:tcW w:w="2971" w:type="dxa"/>
            <w:gridSpan w:val="2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Manwal</w:t>
            </w:r>
            <w:r>
              <w:rPr>
                <w:noProof/>
                <w:color w:val="000000" w:themeColor="text1"/>
                <w:sz w:val="20"/>
              </w:rPr>
              <w:t xml:space="preserve"> għall-Identifikazzjoni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54.1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AC, PC,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Appoġġah.</w:t>
            </w:r>
          </w:p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ma’ 21.1.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54.2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Identifikazzjoni ta’ speċijiet ta’ 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siġar</w:t>
            </w:r>
            <w:r>
              <w:rPr>
                <w:noProof/>
                <w:color w:val="000000" w:themeColor="text1"/>
                <w:sz w:val="20"/>
              </w:rPr>
              <w:t xml:space="preserve"> elenkati fis-CITES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54.2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ġdid ta’ Deċiżjonijiet u t-tħassir ta’ deċiżjonijiet preċedenti.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54.3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Identifikazzjoni tal-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isturjun</w:t>
            </w:r>
            <w:r>
              <w:rPr>
                <w:noProof/>
                <w:color w:val="000000" w:themeColor="text1"/>
                <w:sz w:val="20"/>
              </w:rPr>
              <w:t xml:space="preserve"> u l-eżemplari tal-ħut spatula fil-kummerċ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54.3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t-tiġdid tad-Deċiżjonijiet. Ikkunsidra jekk xi Stat Membru tal-UE jistax jimpenja ruħu li jiffinanzja l-istudju li ilu li kellu jsir.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Implimentazzjoni tas-CITES għall-kummerċ fi speċijiet ta’ </w:t>
            </w:r>
            <w:r>
              <w:rPr>
                <w:b/>
                <w:noProof/>
                <w:color w:val="000000" w:themeColor="text1"/>
                <w:sz w:val="20"/>
              </w:rPr>
              <w:t>pjanti mediċinali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Eżenzjonijiet u dispożizzjonijiet speċjali dwar il-kummerċ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Proċedura ssimplifikata</w:t>
            </w:r>
            <w:r>
              <w:rPr>
                <w:noProof/>
                <w:color w:val="000000" w:themeColor="text1"/>
                <w:sz w:val="20"/>
              </w:rPr>
              <w:t xml:space="preserve"> għall-permessi u ċ-ċertifikati 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B’mod ġenerali appoġġa l-emendi proposti għar-Riżoluzzjoni Konf. 11.15 (Rev. CoP12), ir-Riżoluzzjoni Konf. 12.3 (Rev. CoP17) u l-abbozzi tad-Deċiżjonijiet diretti lis-Segretarjat; qis l-osservazzjonijiet tas-Segretarjat u ikkunsidra l-ħtieġa għal aktar emendi.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Implimentazzjoni tal-Konvenzjoni marbuta mal-eżemplari </w:t>
            </w:r>
            <w:r>
              <w:rPr>
                <w:b/>
                <w:noProof/>
                <w:color w:val="000000" w:themeColor="text1"/>
                <w:sz w:val="20"/>
              </w:rPr>
              <w:t>mwielda</w:t>
            </w:r>
            <w:r>
              <w:rPr>
                <w:noProof/>
                <w:color w:val="000000" w:themeColor="text1"/>
                <w:sz w:val="20"/>
              </w:rPr>
              <w:t xml:space="preserve"> u mrobbija </w:t>
            </w:r>
            <w:r>
              <w:rPr>
                <w:b/>
                <w:noProof/>
                <w:color w:val="000000" w:themeColor="text1"/>
                <w:sz w:val="20"/>
              </w:rPr>
              <w:t>fil-magħluq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tas-Deċiżjonijiet kif issuġġerit mill-Kumitat Permanenti u emendat mis-Segretarjat.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L-Implimentazzjoni tar-</w:t>
            </w:r>
            <w:r>
              <w:rPr>
                <w:b/>
                <w:noProof/>
                <w:color w:val="000000" w:themeColor="text1"/>
                <w:sz w:val="20"/>
              </w:rPr>
              <w:t>Riżoluzzjoni Konf</w:t>
            </w:r>
            <w:r>
              <w:rPr>
                <w:noProof/>
                <w:color w:val="000000" w:themeColor="text1"/>
                <w:sz w:val="20"/>
              </w:rPr>
              <w:t xml:space="preserve">. 17.7 dwar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Rieżami tal-kummerċ fl-eżemplari tal-annimali rrapportati bħala prodotti fil-magħluq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tas-Deċiżjonijiet kif issuġġerit mill-Kumitat Permanenti u approvat mis-Segretarjat.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Ikkunsidra flimkien mad-dokumenti dwar il-baġit.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Definizzjoni tat-terminu “</w:t>
            </w:r>
            <w:r>
              <w:rPr>
                <w:b/>
                <w:noProof/>
                <w:color w:val="000000" w:themeColor="text1"/>
                <w:sz w:val="20"/>
              </w:rPr>
              <w:t>propagat b’mod artifiċjali</w:t>
            </w:r>
            <w:r>
              <w:rPr>
                <w:noProof/>
                <w:color w:val="000000" w:themeColor="text1"/>
                <w:sz w:val="20"/>
              </w:rPr>
              <w:t>”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59.1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Gwida</w:t>
            </w:r>
            <w:r>
              <w:rPr>
                <w:noProof/>
                <w:color w:val="000000" w:themeColor="text1"/>
                <w:sz w:val="20"/>
              </w:rPr>
              <w:t xml:space="preserve"> dwar it-terminu “propagat b’mod artifiċjali”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59.1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tad-deċiżjoni. Miftuħa għall-emendi proposti mis-Segretarjat. Issuġġerixxi li l-pubblikazzjoni tal-gwida għandha sseħħ biss wara r-reviżjoni tagħha mill-PC.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59.2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Kodiċi tas-sors</w:t>
            </w:r>
            <w:r>
              <w:rPr>
                <w:noProof/>
                <w:color w:val="000000" w:themeColor="text1"/>
                <w:sz w:val="20"/>
              </w:rPr>
              <w:t xml:space="preserve"> għall-eżemplari tal-pjanti fil-kummerċ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59.2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l-ħolqien tal-kodiċi tas-sors Y permezz ta’ emendi għar-Riżoluzzjoni Konf. 11.11 (Rev. CoP17) u r-Riżoluzzjoni Konf. 12.3 (Rev. CoP17), kif ukoll l-abbozzi tad-Deċiżjonijiet. Emendi addizzjonali proposti mis-Segretarjat jeħtieġu madankollu iktar skrutinju sabiex ma jimminawx il-proposta inizjali tal-SC (b’mod partikolari rigward l-injam ta’ agar u l-ħtieġa għal NDFs).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u w:val="single"/>
              </w:rPr>
              <w:t>Kwistjonijiet speċifiċi skont l-ispeċijiet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Kummerċ illegali fiċ-</w:t>
            </w:r>
            <w:r>
              <w:rPr>
                <w:b/>
                <w:noProof/>
                <w:color w:val="000000" w:themeColor="text1"/>
                <w:sz w:val="20"/>
              </w:rPr>
              <w:t>ċiti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</w:t>
            </w:r>
            <w:r>
              <w:rPr>
                <w:i/>
                <w:noProof/>
                <w:color w:val="000000" w:themeColor="text1"/>
                <w:sz w:val="20"/>
              </w:rPr>
              <w:t>Acinonyx jubatus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tad-Deċiżjoni li jsejjaħ lis-Segretarjat biex jagħmel disponibbli l-verżjoni finali tal-kit tar-riżorsi tal-kummerċ fiċ-ċita tas-CITES, u soġġett għad-disponibbiltà tar-riżorsi. Aqbel dwar it-tħassir tad-deċiżjonijiet 17.124 sa 17.130.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Sturjuni</w:t>
            </w:r>
            <w:r>
              <w:rPr>
                <w:noProof/>
                <w:color w:val="000000" w:themeColor="text1"/>
                <w:sz w:val="20"/>
              </w:rPr>
              <w:t xml:space="preserve"> u ħut spatula (Acipenseriformes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l-mandat imġedded għall-SC biex jeżamina t-tikkettar tal-kavjar. Ikkunsidra jekk hemmx bżonn ta’ gwida aktar ċara dwar il-fokus u l-ambitu biex isir progress.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Abbozzi ta’ deċiżjonijiet dwar il-konservazzjoni tal-</w:t>
            </w:r>
            <w:r>
              <w:rPr>
                <w:b/>
                <w:noProof/>
                <w:color w:val="000000" w:themeColor="text1"/>
                <w:sz w:val="20"/>
              </w:rPr>
              <w:t>amfibji</w:t>
            </w:r>
            <w:r>
              <w:rPr>
                <w:noProof/>
                <w:color w:val="000000" w:themeColor="text1"/>
                <w:sz w:val="20"/>
              </w:rPr>
              <w:t xml:space="preserve"> (Amphibia)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CR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Firxa wiesgħa ta’ abbozzi ta’ Deċiżjonijiet indirizzati lill-Partijiet, lill-Kumitati u lis-Segretarjat, proposti mingħajr dikjarazzjoni ta’ sostenn jew kunsiderazzjoni minn qabel mill-AC, SC. L-informazzjoni meħtieġa mhijiex speċifika għall-amfibji iżda tapplika għat-taxa kollha elenkati fis-CITES. Proposta aktar iffokata b’azzjonijiet konkreti tista’ tiġi kkunsidrata b’mod favorevoli.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Salluri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Anguilla</w:t>
            </w:r>
            <w:r>
              <w:rPr>
                <w:noProof/>
                <w:color w:val="000000" w:themeColor="text1"/>
                <w:sz w:val="20"/>
              </w:rPr>
              <w:t xml:space="preserve"> spp.)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AC, SC, 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ta’ Deċiżjonijiet.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Koralli</w:t>
            </w:r>
            <w:r>
              <w:rPr>
                <w:noProof/>
                <w:color w:val="000000" w:themeColor="text1"/>
                <w:sz w:val="20"/>
              </w:rPr>
              <w:t xml:space="preserve"> prezzjużi (l-ordni Antipatharia u l-familja tal-Coralliidae)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tad-deċiżjoni li tagħti mandat lill-AC u lill-SC biex janalizzaw u jaslu għal konklużjonijiet mill-istħarriġ dwar il-koralli prezzjużi u mill-istudju tal-FAO.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Implimentazzjoni tar-Riżoluzzjoni Konf 16.10 dwar l-</w:t>
            </w:r>
            <w:r>
              <w:rPr>
                <w:i/>
                <w:noProof/>
                <w:color w:val="000000" w:themeColor="text1"/>
                <w:sz w:val="20"/>
              </w:rPr>
              <w:t>Implimentazzjoni tal-Konvenzjoni għal injam tal-agar li tipproduċi l-injam tat-taxa</w:t>
            </w:r>
            <w:r>
              <w:rPr>
                <w:noProof/>
                <w:color w:val="000000" w:themeColor="text1"/>
                <w:sz w:val="20"/>
              </w:rPr>
              <w:t xml:space="preserve"> [</w:t>
            </w:r>
            <w:r>
              <w:rPr>
                <w:i/>
                <w:noProof/>
                <w:color w:val="000000" w:themeColor="text1"/>
                <w:sz w:val="20"/>
              </w:rPr>
              <w:t xml:space="preserve">Aquilaria </w:t>
            </w:r>
            <w:r>
              <w:rPr>
                <w:noProof/>
                <w:color w:val="000000" w:themeColor="text1"/>
                <w:sz w:val="20"/>
              </w:rPr>
              <w:t xml:space="preserve">spp. u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Gyrinops </w:t>
            </w:r>
            <w:r>
              <w:rPr>
                <w:noProof/>
                <w:color w:val="000000" w:themeColor="text1"/>
                <w:sz w:val="20"/>
              </w:rPr>
              <w:t xml:space="preserve">spp.]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ta’ abbozzi ta’ deċiżjonijiet dwar taxa li tipproduċi l-injam tal-agar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</w:rPr>
              <w:t>u t-tħassir ta’ deċiżjonijiet preċedenti.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Kummerċ fil-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Boswellia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</w:rPr>
              <w:t xml:space="preserve">spp. (Burseraceae)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LK, US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ta’ abbozzi tad-deċiżjonijiet.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67.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 xml:space="preserve">Tirda tal-gundalla </w:t>
            </w:r>
            <w:r>
              <w:rPr>
                <w:noProof/>
                <w:color w:val="000000" w:themeColor="text1"/>
                <w:sz w:val="20"/>
              </w:rPr>
              <w:t>(</w:t>
            </w:r>
            <w:r>
              <w:rPr>
                <w:i/>
                <w:noProof/>
                <w:color w:val="000000" w:themeColor="text1"/>
                <w:sz w:val="20"/>
              </w:rPr>
              <w:t>Cheilinus undulatus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67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Aqbel mal-abbozz tad-Deċiżjoni bil-għan li tipprovdi għajnuna lill-pajjiżi esportaturi u importaturi ewlenin biex tindirizza l-isfidi ta’ implimentazzjoni li fadal.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Klieb il-baħar</w:t>
            </w:r>
            <w:r>
              <w:rPr>
                <w:noProof/>
                <w:color w:val="000000" w:themeColor="text1"/>
                <w:sz w:val="20"/>
              </w:rPr>
              <w:t xml:space="preserve"> u raj (Elasmobranchii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68.1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tal-Kumitat tal-Annimali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AC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Ħu nota tar-rapport.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68.2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tas-Segretarjat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mhux disponibbli fil-1/3.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Iljunfanti</w:t>
            </w:r>
            <w:r>
              <w:rPr>
                <w:noProof/>
                <w:color w:val="000000" w:themeColor="text1"/>
                <w:sz w:val="20"/>
              </w:rPr>
              <w:t xml:space="preserve"> (Elephantidae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Implimentazzjoni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</w:rPr>
              <w:t>tar-Riżoluzzjoni Konf. 10.10 (Rev. CoP 17) dwar il-kummerċ f’eżemplari tal-iljunfanti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Sek./ 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Ħażniet u akkumulazzjoni ta’ ħażniet</w:t>
            </w:r>
            <w:r>
              <w:rPr>
                <w:noProof/>
                <w:color w:val="000000" w:themeColor="text1"/>
                <w:sz w:val="20"/>
              </w:rPr>
              <w:t>: appoġġa d-Deċiżjoni biex l-SC jirrevedi l-gwida ppreparata mis-Seg.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Iljunfant Ażjatiku</w:t>
            </w:r>
            <w:r>
              <w:rPr>
                <w:noProof/>
                <w:color w:val="000000" w:themeColor="text1"/>
                <w:sz w:val="20"/>
              </w:rPr>
              <w:t>: miftuħa għall-appoġġ tat-tiġdid tad-Deċiżjonijiet iżda għandu jkun hemm aċċettazzjoni akbar mill-istati ta’ firxa biex dan ikun effettiv.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NIAPs</w:t>
            </w:r>
            <w:r>
              <w:rPr>
                <w:noProof/>
                <w:color w:val="000000" w:themeColor="text1"/>
                <w:sz w:val="20"/>
              </w:rPr>
              <w:t>: appoġġa r-reviżjonijiet proposti għar-Riż. Konf. 10.10, para. 26 g) u l-Anness III (linji gwida dwar il-proċess NIAP) u għar-Riż. Konf. 14.3 dwar il-</w:t>
            </w:r>
            <w:r>
              <w:rPr>
                <w:i/>
                <w:noProof/>
                <w:color w:val="000000" w:themeColor="text1"/>
                <w:sz w:val="20"/>
              </w:rPr>
              <w:t>Konformità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noProof/>
                <w:color w:val="000000" w:themeColor="text1"/>
                <w:sz w:val="20"/>
              </w:rPr>
              <w:t xml:space="preserve"> dok. 24);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ikkunsidra t-talba tas-Sek. għall-ħolqien ta’ kariga ġdida (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sym w:font="Wingdings" w:char="F0E0"/>
            </w:r>
            <w:r>
              <w:rPr>
                <w:noProof/>
                <w:color w:val="000000" w:themeColor="text1"/>
                <w:sz w:val="20"/>
              </w:rPr>
              <w:t xml:space="preserve"> baġit).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Rieżami tal-ETIS:</w:t>
            </w:r>
            <w:r>
              <w:rPr>
                <w:noProof/>
                <w:color w:val="000000" w:themeColor="text1"/>
                <w:sz w:val="20"/>
              </w:rPr>
              <w:t xml:space="preserve"> appoġġa t-ToR kif maqbul fl-SC70.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MIKE</w:t>
            </w:r>
            <w:r>
              <w:rPr>
                <w:noProof/>
                <w:u w:val="single"/>
              </w:rPr>
              <w:t>, sostenibbiltà finanzjarja u operattiva tal-ETIS:</w:t>
            </w:r>
            <w:r>
              <w:rPr>
                <w:noProof/>
                <w:color w:val="000000" w:themeColor="text1"/>
                <w:sz w:val="20"/>
              </w:rPr>
              <w:t xml:space="preserve"> appoġġa l-abbozz tad-Deċiżjoni għas-Sek. biex jiżviluppa proposta (tqum: 30K USD), l-SC għandu jwettaq rieżami.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Swieq domestiċi tal-avorju</w:t>
            </w:r>
            <w:r>
              <w:rPr>
                <w:noProof/>
                <w:color w:val="000000" w:themeColor="text1"/>
                <w:sz w:val="20"/>
              </w:rPr>
              <w:t>: Appoġġa l-emenda proposta għar-Riż. Konf 10.10 kif ippreżentata fid-dok. 31.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dwar il-Monitoraġġ tal-Qtil Illegali tal-Iljunfanti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MIKE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 69.2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Ħu nota tar-rapport.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69.3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dwar is-Sistema ta’ Informazzjoni dwar il-Kummerċ fl-Iljunfanti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ETIS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69.3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Ħu nota tar-rapport; ikkunsidra l-implikazzjonijiet tal-proċess dwar in-NIAP (pajjiżi speċifiċi identifikati mill-ETIS li bħalissa mhumiex taħt l-NIAP).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69.4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noProof/>
                <w:color w:val="000000" w:themeColor="text1"/>
                <w:sz w:val="20"/>
              </w:rPr>
              <w:t>Ħażniet</w:t>
            </w:r>
            <w:r>
              <w:rPr>
                <w:noProof/>
                <w:color w:val="000000" w:themeColor="text1"/>
                <w:sz w:val="20"/>
              </w:rPr>
              <w:t xml:space="preserve"> tal-avorju: reviżjoni proposta tar-Riżoluzzjoni Konf. 10.10 (Rev. CoP17) dwar il-</w:t>
            </w:r>
            <w:r>
              <w:rPr>
                <w:i/>
                <w:noProof/>
                <w:color w:val="000000" w:themeColor="text1"/>
                <w:sz w:val="20"/>
              </w:rPr>
              <w:t xml:space="preserve">Kummerċ f’eżemplari tal-iljunfanti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69.4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BF, TD, CI, GA, JO, KE, LR, NE, NG, SD, SY 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Irrikonoxxi l-importanza li l-gwida tiġi ffinalizzata imma kkontesta l-fattibbiltà u l-idoneità ta’ grupp ta’ ħidma fis-sessjoni għal dak l-iskop. Ikkunsidra s-suġġerimenti alternattivi tas-Segretarjat.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(–)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69.5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Aspetti dwar l-implimentazzjoni tar-Riżoluzzjoni Konf. 10.10 (Rev. CoP17) dwar l-għeluq tas-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swieq domestiċi tal-avorju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BF, CI, ET, GA, KE, LR, NE, NG, SY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Ikkontesta l-konklużjonijiet dwar is-suq tal-avorju tal-UE (para. 28); enfasizza l-isforzi kontinwi tal-UE.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Opponi l-bidliet proposti għar-Riż. Konf. 10.10 u għall-abbozzi tad-Deċiżjonijiet assoċjati bħala sproporzjonati u parzjalment mhux ċari.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–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Il-fekruna tal-baħar bil-xqur (</w:t>
            </w:r>
            <w:r>
              <w:rPr>
                <w:i/>
                <w:noProof/>
                <w:color w:val="000000" w:themeColor="text1"/>
                <w:sz w:val="20"/>
              </w:rPr>
              <w:t>Eretmochelys imbricata</w:t>
            </w:r>
            <w:r>
              <w:rPr>
                <w:noProof/>
                <w:color w:val="000000" w:themeColor="text1"/>
                <w:sz w:val="20"/>
              </w:rPr>
              <w:t xml:space="preserve">) u </w:t>
            </w:r>
            <w:r>
              <w:rPr>
                <w:b/>
                <w:noProof/>
                <w:color w:val="000000" w:themeColor="text1"/>
                <w:sz w:val="20"/>
              </w:rPr>
              <w:t>fkieren tal-baħar</w:t>
            </w:r>
            <w:r>
              <w:rPr>
                <w:noProof/>
                <w:color w:val="000000" w:themeColor="text1"/>
                <w:sz w:val="20"/>
              </w:rPr>
              <w:t xml:space="preserve"> oħrajn (</w:t>
            </w:r>
            <w:r>
              <w:rPr>
                <w:i/>
                <w:noProof/>
                <w:color w:val="000000" w:themeColor="text1"/>
                <w:sz w:val="20"/>
              </w:rPr>
              <w:t>Cheloniidae</w:t>
            </w:r>
            <w:r>
              <w:rPr>
                <w:noProof/>
                <w:color w:val="000000" w:themeColor="text1"/>
                <w:sz w:val="20"/>
              </w:rPr>
              <w:t xml:space="preserve"> u </w:t>
            </w:r>
            <w:r>
              <w:rPr>
                <w:i/>
                <w:noProof/>
                <w:color w:val="000000" w:themeColor="text1"/>
                <w:sz w:val="20"/>
              </w:rPr>
              <w:t>Dermochelyidae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li titkompla l-ħidma permezz ta’ abbozzi ta’ deċiżjonijiet proposti mis-Segretarjat u biex jiġi stabbilit grupp ta’ ħidma intersessjonali dwar il-fkieren tal-baħar.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Qtates kbar Ażjatiċi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Felidae</w:t>
            </w:r>
            <w:r>
              <w:rPr>
                <w:noProof/>
                <w:color w:val="000000" w:themeColor="text1"/>
                <w:sz w:val="20"/>
              </w:rPr>
              <w:t xml:space="preserve">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71.1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tal-Kumitat Permanenti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71.2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Abbozz ta’ deċiżjonijiet dwar qtates kbar Ażjatiċi</w:t>
            </w:r>
            <w:r>
              <w:rPr>
                <w:b/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71.2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l-isforzi biex jiġi mmonitorjat u ġestit aħjar il-kummerċ fil-qtates kbar Ażjatiċi. Madankollu, id-dokument għandu jiġi kkunsidrat ladarba r-rapport tal-Kumitat Permanenti jkun disponibbli, biex jiġu evitati sovrapożizzjonijiet jew inkonsistenzi.</w:t>
            </w:r>
          </w:p>
          <w:p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Qabel l-adozzjoni, l-abbozz tad-Deċiżjoni ssuġġerit ikun jeħtieġ aktar analiżi u emendi sostanzjali. Ir-rabta għal Riż. Konf. 12.5 (Rev. 17) għandha wkoll tkun ikkunsidrata.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Żwiemel tal-baħar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Hippocampus</w:t>
            </w:r>
            <w:r>
              <w:rPr>
                <w:noProof/>
                <w:color w:val="000000" w:themeColor="text1"/>
                <w:sz w:val="20"/>
              </w:rPr>
              <w:t xml:space="preserve"> spp.) fis-CITES – pjan direzzjonali għas-suċċess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MV, MC, LK, US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ta’ Deċiżjonijiet biex tinbeda diskussjoni dwar il-ġestjoni u l-użu sostenibbli tal-ibħra fil-Kumitati tal-Annimali u fil-Kumitat Permanenti.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73.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Ix-</w:t>
            </w:r>
            <w:r>
              <w:rPr>
                <w:b/>
                <w:noProof/>
                <w:color w:val="000000" w:themeColor="text1"/>
                <w:sz w:val="20"/>
              </w:rPr>
              <w:t>xadini</w:t>
            </w:r>
            <w:r>
              <w:rPr>
                <w:noProof/>
                <w:color w:val="000000" w:themeColor="text1"/>
                <w:sz w:val="20"/>
              </w:rPr>
              <w:t xml:space="preserve"> l-kbar (</w:t>
            </w:r>
            <w:r>
              <w:rPr>
                <w:i/>
                <w:noProof/>
                <w:color w:val="000000" w:themeColor="text1"/>
                <w:sz w:val="20"/>
              </w:rPr>
              <w:t>Hominidae</w:t>
            </w:r>
            <w:r>
              <w:rPr>
                <w:noProof/>
                <w:color w:val="000000" w:themeColor="text1"/>
                <w:sz w:val="20"/>
              </w:rPr>
              <w:t xml:space="preserve"> spp.)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Appoġġaw emendi għar-Riżoluzzjoni Konf. 13.4 (Rev. CoP16) dwar il-Konservazzjoni ta’ u l-kummerċ f'xadini kbar kif propost mis-Segretarjat, kif ukoll it-tħassir tad-Deċiżjonijiet 17.232 u 17.233. Il-proposta hija bbażata fuq ir-rapport dwar l-istatus ta’ xadini kbar u l-impatt relattiv tal-kummerċ illegali u pressjonijiet oħra fuq l-istatus tagħhom, li tħejjiet b’kollaborazzjoni bejn is-Segretarjat, l-IUCN, il-GRASP u msieħba oħra, u ġiet ikkunsidrata mill-AC30 u l-SC70. Xi bidliet editorjali jistgħu jkunu mixtieqa.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>Speċijiet tal-injam tar-</w:t>
            </w:r>
            <w:r>
              <w:rPr>
                <w:b/>
                <w:noProof/>
                <w:color w:val="000000" w:themeColor="text1"/>
                <w:sz w:val="20"/>
              </w:rPr>
              <w:t>rosewood</w:t>
            </w:r>
            <w:r>
              <w:rPr>
                <w:noProof/>
                <w:color w:val="000000" w:themeColor="text1"/>
                <w:sz w:val="20"/>
              </w:rPr>
              <w:t xml:space="preserve"> [</w:t>
            </w:r>
            <w:r>
              <w:rPr>
                <w:i/>
                <w:noProof/>
                <w:color w:val="000000" w:themeColor="text1"/>
                <w:sz w:val="20"/>
              </w:rPr>
              <w:t>Leguminosae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Fabaceae</w:t>
            </w:r>
            <w:r>
              <w:rPr>
                <w:noProof/>
                <w:color w:val="000000" w:themeColor="text1"/>
                <w:sz w:val="20"/>
              </w:rPr>
              <w:t xml:space="preserve">)]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tal-abbozzi tad-deċiżjonijiet.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Pangolini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Manis spp.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Sek., biż-żieda tal-proposta tal-SC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ta’ abbozzi ta’ deċiżjonijiet kif irrakkomandat mill-Kumitat Permanenti (SC69), bl-emendi ssuġġeriti mis-Segretarjat, u appoġġa t-tħassir tad-Deċiżjonijiet 17.239 - 17.240.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</w:t>
            </w:r>
            <w:r>
              <w:rPr>
                <w:b/>
                <w:noProof/>
                <w:color w:val="000000" w:themeColor="text1"/>
                <w:sz w:val="20"/>
              </w:rPr>
              <w:t>iljun</w:t>
            </w:r>
            <w:r>
              <w:rPr>
                <w:noProof/>
                <w:color w:val="000000" w:themeColor="text1"/>
                <w:sz w:val="20"/>
              </w:rPr>
              <w:t xml:space="preserve"> tal-Afrika (</w:t>
            </w:r>
            <w:r>
              <w:rPr>
                <w:i/>
                <w:noProof/>
                <w:color w:val="000000" w:themeColor="text1"/>
                <w:sz w:val="20"/>
              </w:rPr>
              <w:t>Panthera leo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76.1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tas-Segretarjat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76.2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Il-konservazzjoni tal-iljuni tal-Afrika u l-kummerċ tagħhom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NG, TG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aktar miżuri biex ikun ikkontrollat il-kummerċ internazzjonali f’partijiet tal-iljun u derivattivi, għalkemm xi elementi tal-abbozz tar-Riżoluzzjoni jista’ jkollhom bżonn tibdil fit-test b’mod sostantiv. Id-dokument jeħtieġ li jiġi kkunsidrat flimkien mad-dokument 76.1 u dok. 96 (it-tnejn li huma għadhom mhumiex disponibbli).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Ġagwar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Panthera onca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77.1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Il-kummerċ fil-ġagwari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CR, MX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s-sett ta’ abbozzi ta’ Deċiżjonijiet li jsejħu għal studju dwar il-kummerċ illegali fil-ġagwari; jista’ jkun xieraq xi editjar, u jistgħu jiżdiedu xi elementi mid-dokument 77.2.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77.2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Kummerċ illegali fil-ġagwari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77.2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PE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ġenerali l-protezzjoni mtejba tal-ġagwari. Madankollu, uħud mill-elementi proposti jistgħu jkunu aktar xierqa fil-forma ta’ Deċiżjonijiet, aktar milli Riżoluzzjoni. Għandu jiġi kkunsidrat jekk il-proposta jew il-partijiet tagħha għandhomx jingħaqdu ma’ dik tal-Kosta Rika (77.1) f’sett wieħed ta’ deċiżjonijiet.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Kummerċ illegali fl-antilop Tibetan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</w:t>
            </w:r>
            <w:r>
              <w:rPr>
                <w:i/>
                <w:noProof/>
                <w:color w:val="000000" w:themeColor="text1"/>
                <w:sz w:val="20"/>
              </w:rPr>
              <w:t>Pantholops hodgsonii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78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tar-rakkomandazzjoni u l-proposta mis-Segretarjat biex jiġi emendat il-paragrafu 2b) tar-Riżoluzzjoni Konf. 11.8 (Rev. CoP17).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Il-ġestjoni tal-kummerċ u l-konservazzjoni tal-</w:t>
            </w:r>
            <w:r>
              <w:rPr>
                <w:b/>
                <w:noProof/>
                <w:color w:val="000000" w:themeColor="text1"/>
                <w:sz w:val="20"/>
              </w:rPr>
              <w:t>għasafar tal-għana</w:t>
            </w:r>
            <w:r>
              <w:rPr>
                <w:noProof/>
                <w:color w:val="000000" w:themeColor="text1"/>
                <w:sz w:val="20"/>
              </w:rPr>
              <w:t xml:space="preserve"> (Passeriformes)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US, LK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B’mod ġenerali appoġġa l-proposta għall-AC biex jikkunsidra l-implikazzjonijiet tal-konservazzjoni għall-kummerċ fl-għasafar tal-għana. Potenzjalment għandu jittejjeb il-fokus u jiġi ċċarat l-ambitu.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Ċirasa tal-Afrika (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Prunus africana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80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l-adozzjoni tal-abbozzi tad-deċiżjonijiet. Skont ir-riżultati tal-Laqgħa Reġjonali għall-Afrika tal-Programm dwar l-Ispeċijiet tas-Siġar tas-CITES skedata f’Marzu 2019, jistgħu jkunu meħtieġa aktar reviżjonijiet għall-abbozzi tad-Deċiżjonijiet.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African grey</w:t>
            </w:r>
            <w:r>
              <w:rPr>
                <w:noProof/>
                <w:color w:val="000000" w:themeColor="text1"/>
                <w:sz w:val="20"/>
              </w:rPr>
              <w:t xml:space="preserve"> parrot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</w:t>
            </w:r>
            <w:r>
              <w:rPr>
                <w:i/>
                <w:noProof/>
                <w:color w:val="000000" w:themeColor="text1"/>
                <w:sz w:val="20"/>
              </w:rPr>
              <w:t>Psittacus erithacus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ZA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Miftuħa biex l-iskadenza għar-reġistrazzjonijiet tal-faċilità tat-tgħammir tiġi mtawwla. Madankollu, hija meħtieġa aktar informazzjoni dwar il-possibbiltà tat-tgħammir mill-ġdid tal-</w:t>
            </w:r>
            <w:r>
              <w:rPr>
                <w:i/>
                <w:noProof/>
                <w:color w:val="000000" w:themeColor="text1"/>
                <w:sz w:val="20"/>
              </w:rPr>
              <w:t>Psittacus erithacus</w:t>
            </w:r>
            <w:r>
              <w:rPr>
                <w:noProof/>
                <w:color w:val="000000" w:themeColor="text1"/>
                <w:sz w:val="20"/>
              </w:rPr>
              <w:t xml:space="preserve"> qabel ma jaqblu li jiżdied il-paragrafu l-ġdid f) għad-Deċiżjoni 17.256. Emendi għat-test jidhru li huma meħtieġa qabel l-adozzjoni.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Ħuta kardinal Banggai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</w:t>
            </w:r>
            <w:r>
              <w:rPr>
                <w:i/>
                <w:noProof/>
                <w:color w:val="000000" w:themeColor="text1"/>
                <w:sz w:val="20"/>
              </w:rPr>
              <w:t>Pterapogon kauderni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s-sett ta’ abbozzi tad-deċiżjonijiet; l-UE lesta tappoġġa lill-Indoneżja fl-implimentazzjoni tad-Deċiżjoni 18.AA.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Rinoċeronti</w:t>
            </w:r>
            <w:r>
              <w:rPr>
                <w:noProof/>
                <w:color w:val="000000" w:themeColor="text1"/>
                <w:sz w:val="20"/>
              </w:rPr>
              <w:t xml:space="preserve"> (Rhinocerotidae spp.)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83.1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Rapport tal-Kumitat Permanenti u tas-Segretarjat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760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83.2</w:t>
            </w:r>
          </w:p>
        </w:tc>
        <w:tc>
          <w:tcPr>
            <w:tcW w:w="2971" w:type="dxa"/>
            <w:gridSpan w:val="2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Reviżjonijiet għar-Riżoluzzjoni Konf. 9.14 (Rev. CoP17) dwar </w:t>
            </w:r>
            <w:r>
              <w:rPr>
                <w:i/>
                <w:noProof/>
                <w:color w:val="000000" w:themeColor="text1"/>
                <w:sz w:val="20"/>
              </w:rPr>
              <w:t>Il-Konservazzjoni u l-kummerċ fir-rinoċeronti Afrikani u Ażjatiċi</w:t>
            </w:r>
            <w:r>
              <w:rPr>
                <w:noProof/>
                <w:color w:val="000000" w:themeColor="text1"/>
                <w:sz w:val="20"/>
              </w:rPr>
              <w:t>, u deċiżjonijiet assoċjati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KE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Emendi proposti għar-Riżoluzzjoni dwar (a) l-għeluq tas-swieq domestiċi; (b) inkluż il-qrun tar-rinoċeronti miżmuma privatament fir-reġistrazzjoni tal-ħażniet u l-qerda tal-ħażniet; (c) rappurtar regolari mill-Partijiet lill-SC. Jenħtieġ aktar skrutinju tal-benefiċċji tal-konservazzjoni, u l-emendi proposti u l-abbozzi tad-Deċiżjonijiet għandhom jiġu analizzati bis-sħiħ ladarba dok. 83.1 ikun disponibbli.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(0)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</w:rPr>
              <w:t xml:space="preserve">Buċeru bl-elmu </w:t>
            </w:r>
            <w:r>
              <w:rPr>
                <w:b/>
                <w:noProof/>
                <w:color w:val="000000" w:themeColor="text1"/>
                <w:sz w:val="20"/>
              </w:rPr>
              <w:t>(Helmeted hornbill)</w:t>
            </w:r>
            <w:r>
              <w:rPr>
                <w:noProof/>
              </w:rPr>
              <w:t xml:space="preserve"> (Rhinoplax vigil) </w:t>
            </w:r>
            <w:r>
              <w:rPr>
                <w:noProof/>
                <w:u w:val="single"/>
              </w:rPr>
              <w:t>CoP18 Dok. 84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tad-Deċiżjonijiet fl-Anness 1, inkluż il-proposti għall-emendi mis-Segretarjati, u tħassir tad-Deċiżjonijiet 17.264, 17.265 u 17.266.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Bronja reġina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Strombus gigas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Antilopi </w:t>
            </w:r>
            <w:r>
              <w:rPr>
                <w:b/>
                <w:noProof/>
                <w:color w:val="000000" w:themeColor="text1"/>
                <w:sz w:val="20"/>
              </w:rPr>
              <w:t>Saiga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 xml:space="preserve">Saiga </w:t>
            </w:r>
            <w:r>
              <w:rPr>
                <w:noProof/>
                <w:color w:val="000000" w:themeColor="text1"/>
                <w:sz w:val="20"/>
              </w:rPr>
              <w:t xml:space="preserve">spp.)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86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d-dokument li huwa bbażat fuq ir-riżultat tad-diskussjonijiet fil-Kumitat Permanenti u għandu fil-mira l-istati tal-firxa tas-saiga sabiex itejjeb il-ġestjoni ta’ ħażniet ta’ partijiet u derivattivi tal-ispeċijiet, itejjeb il-kapaċitajiet tagħhom biex jindirizzaw il-kummerċ illegali, u jtejjeb l-isforzi ta’ konservazzjoni in situ u ex situ; appoġġa l-proposta mis-Segretarjat biex il-Kumitat tal-Annimali jkun involut fl-implimentazzjoni ta’ deċiżjoni waħda. Id-deċiżjonijiet jista’ jkollhom bżonn xi modifiki skont ir-riżultat tal-elenkar ’il fuq tal-ġeneru kollu </w:t>
            </w:r>
            <w:r>
              <w:rPr>
                <w:i/>
                <w:noProof/>
                <w:color w:val="000000" w:themeColor="text1"/>
                <w:sz w:val="20"/>
              </w:rPr>
              <w:t>Saiga</w:t>
            </w:r>
            <w:r>
              <w:rPr>
                <w:noProof/>
                <w:color w:val="000000" w:themeColor="text1"/>
                <w:sz w:val="20"/>
              </w:rPr>
              <w:t xml:space="preserve"> spp. fl-Appendiċi I miftiehem.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Ikkunsidra jekk xi elementi tad-Deċiżjonijiet 17.268, 17.269 u 17.270 għandhomx jinżammu.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Il-konservazzjoni taż-</w:t>
            </w:r>
            <w:r>
              <w:rPr>
                <w:b/>
                <w:noProof/>
                <w:color w:val="000000" w:themeColor="text1"/>
                <w:sz w:val="20"/>
              </w:rPr>
              <w:t>żrinġ tal-ilma Titicaca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Telmatobius culeus</w:t>
            </w:r>
            <w:r>
              <w:rPr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88.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 xml:space="preserve">Fkieren tal-art </w:t>
            </w:r>
            <w:r>
              <w:rPr>
                <w:noProof/>
                <w:color w:val="000000" w:themeColor="text1"/>
                <w:sz w:val="20"/>
              </w:rPr>
              <w:t>u fkieren tal-ilma ħelu (</w:t>
            </w:r>
            <w:r>
              <w:rPr>
                <w:i/>
                <w:noProof/>
                <w:color w:val="000000" w:themeColor="text1"/>
                <w:sz w:val="20"/>
              </w:rPr>
              <w:t>Testudines spp.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88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SC, Sek.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b’mod ġenerali l-abbozz tal-verżjoni riveduta tar-Riżoluzzjoni Konf 11.9 dwar </w:t>
            </w:r>
            <w:r>
              <w:rPr>
                <w:i/>
                <w:noProof/>
                <w:color w:val="000000" w:themeColor="text1"/>
                <w:sz w:val="20"/>
              </w:rPr>
              <w:t>Il-Konservazzjoni ta’ u l-kummerċ fil-fkieren tal-art u l-fkieren tal-ilma ħelu</w:t>
            </w:r>
            <w:r>
              <w:rPr>
                <w:noProof/>
                <w:color w:val="000000" w:themeColor="text1"/>
                <w:sz w:val="20"/>
              </w:rPr>
              <w:t xml:space="preserve"> u l-abbozzi tad-deċiżjonijiet proposti mis-Segretarjat; ikkunsidra l-ħtieġa li x-xogħol futur jiġi ffokat fuq bżonnijiet prattiċi.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Totoaba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Totoaba macdonaldi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89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l-abbozzi tad-Deċiżjonijiet dwar aktar ġbir ta’ informazzjoni mill-Partijiet; miżuri ta’ sensibilizzazzjoni u ta’ infurzar; studju dwar il-vaquita u t-totoaba (deskrizzjoni miftiehma mill-SC) li għandu jitwettaq mis-Sek.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 xml:space="preserve">Denfil geddumu qasir </w:t>
            </w:r>
            <w:r>
              <w:rPr>
                <w:noProof/>
                <w:color w:val="000000" w:themeColor="text1"/>
                <w:sz w:val="20"/>
              </w:rPr>
              <w:t>tal-Baħar l-Iswed (</w:t>
            </w:r>
            <w:r>
              <w:rPr>
                <w:i/>
                <w:noProof/>
                <w:color w:val="000000" w:themeColor="text1"/>
                <w:sz w:val="20"/>
              </w:rPr>
              <w:t>Tursiops truncatus ponticus</w:t>
            </w:r>
            <w:r>
              <w:rPr>
                <w:noProof/>
                <w:color w:val="000000" w:themeColor="text1"/>
                <w:sz w:val="20"/>
              </w:rPr>
              <w:t xml:space="preserve">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90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ta’ Deċiżjoni għas-Segretarjat biex jikkoopera mal-ACCOBAMS.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Il-konservazzjoni tal-</w:t>
            </w:r>
            <w:r>
              <w:rPr>
                <w:b/>
                <w:noProof/>
                <w:color w:val="000000" w:themeColor="text1"/>
                <w:sz w:val="20"/>
              </w:rPr>
              <w:t>vicuña</w:t>
            </w:r>
            <w:r>
              <w:rPr>
                <w:noProof/>
                <w:color w:val="000000" w:themeColor="text1"/>
                <w:sz w:val="20"/>
              </w:rPr>
              <w:t xml:space="preserve"> (</w:t>
            </w:r>
            <w:r>
              <w:rPr>
                <w:i/>
                <w:noProof/>
                <w:color w:val="000000" w:themeColor="text1"/>
                <w:sz w:val="20"/>
              </w:rPr>
              <w:t>Vicugna vicugna</w:t>
            </w:r>
            <w:r>
              <w:rPr>
                <w:noProof/>
                <w:color w:val="000000" w:themeColor="text1"/>
                <w:sz w:val="20"/>
              </w:rPr>
              <w:t>) u l-kummerċ fil-fibra u l-prodotti tagħha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AR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B’mod ġenerali appoġġa l-abbozz ta’ riżoluzzjoni dwar il-konservazzjoni tal</w:t>
            </w:r>
            <w:r>
              <w:rPr>
                <w:b/>
                <w:noProof/>
                <w:color w:val="000000" w:themeColor="text1"/>
                <w:sz w:val="20"/>
              </w:rPr>
              <w:t>-</w:t>
            </w:r>
            <w:r>
              <w:rPr>
                <w:noProof/>
                <w:color w:val="000000" w:themeColor="text1"/>
                <w:sz w:val="20"/>
              </w:rPr>
              <w:t xml:space="preserve">vicuña u l-kummerċ fil-fibra u l-prodotti tagħha; id-dokument ġie ppreparat skont il-Konvenzjoni għall-Konservazzjoni u l-Ġestjoni tal-Vicuña. Hemm bżonn ta’ aktar diskussjoni dwar il-format u l-abbozzar tat-test. </w:t>
            </w:r>
            <w:r>
              <w:rPr>
                <w:i/>
                <w:noProof/>
                <w:color w:val="000000" w:themeColor="text1"/>
                <w:sz w:val="20"/>
              </w:rPr>
              <w:t>Ikkunsidra flimkien mad-Dok. 53.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Speċijiet elenkati fl-</w:t>
            </w:r>
            <w:r>
              <w:rPr>
                <w:b/>
                <w:noProof/>
                <w:color w:val="000000" w:themeColor="text1"/>
                <w:sz w:val="20"/>
              </w:rPr>
              <w:t>Appendiċi-I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Sek., AC, 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t-tħassir tad-Deċiżjonijiet 17.22 u 17.25. Appoġġa l-adozzjoni.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93.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Speċijiet ta’ </w:t>
            </w:r>
            <w:r>
              <w:rPr>
                <w:b/>
                <w:noProof/>
                <w:color w:val="000000" w:themeColor="text1"/>
                <w:sz w:val="20"/>
              </w:rPr>
              <w:t>siġar tat-tropiċi ġodda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93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l-adozzjoni tal-abbozzi tad-deċiżjonijiet.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Ġestjoni tal-konservazzjoni ta’ u kummerċ f’</w:t>
            </w:r>
            <w:r>
              <w:rPr>
                <w:b/>
                <w:noProof/>
                <w:color w:val="000000" w:themeColor="text1"/>
                <w:sz w:val="20"/>
              </w:rPr>
              <w:t>ħut ornamentali tal-baħar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 xml:space="preserve">CoP18 </w:t>
            </w:r>
            <w:r>
              <w:rPr>
                <w:noProof/>
                <w:color w:val="000000" w:themeColor="text1"/>
                <w:sz w:val="20"/>
              </w:rPr>
              <w:t>Dok. 94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CH, US, EU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 għall-abbozzi tad-Deċiżjonijiet (Proposta konġunta mill-UE).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Materjali ta’ gwida, attivitajiet u għodod immirati biex itejbu l-kapaċità tal-Partijiet fir-regolazzjoni tal-kummerċ fil-</w:t>
            </w:r>
            <w:r>
              <w:rPr>
                <w:b/>
                <w:noProof/>
                <w:color w:val="000000" w:themeColor="text1"/>
                <w:sz w:val="20"/>
              </w:rPr>
              <w:t>bushmeat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Inizjattiva dwar il-Karnivori tal-Afrika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għadu mhux disponibbli fl-1/3.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Il-ġestjoni tal-kummerċ fi u l-konservazzjoni tal-</w:t>
            </w:r>
            <w:r>
              <w:rPr>
                <w:b/>
                <w:noProof/>
                <w:color w:val="000000" w:themeColor="text1"/>
                <w:sz w:val="20"/>
              </w:rPr>
              <w:t xml:space="preserve">avultun </w:t>
            </w:r>
            <w:r>
              <w:rPr>
                <w:noProof/>
                <w:color w:val="000000" w:themeColor="text1"/>
                <w:sz w:val="20"/>
              </w:rPr>
              <w:t xml:space="preserve">tal-Afrika tal-Punent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97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BF, NE, SN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s-sett ta’ deċiżjonijiet li jippromwovu sinerġiji mal-Konvenzjoni dwar l-Ispeċijiet Migratorji (CMS). L-indirizzar tal-avvelenament illegali u l-kummerċ ibbażat fuq it-twemmin huwa importanti ħafna, u hemm rabtiet qawwija bejn il-kaċċa tal-iljunfant / ir-rinoċeronti u l-avvenimenti ta’ avvelenament tal-avultuni. Waħda mill-ispeċijiet indirizzati fid-dokument, l-avultun Eġizzjan, tgħammar regolarment fl-UE u fix-xitwa tpassi lejn l-Afrika. 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+</w:t>
            </w:r>
          </w:p>
        </w:tc>
      </w:tr>
      <w:tr>
        <w:trPr>
          <w:cantSplit/>
        </w:trPr>
        <w:tc>
          <w:tcPr>
            <w:tcW w:w="4382" w:type="dxa"/>
            <w:gridSpan w:val="5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u w:val="single"/>
              </w:rPr>
              <w:t>Manutenzjoni tal-Appendiċijiet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98.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Riżervi</w:t>
            </w:r>
            <w:r>
              <w:rPr>
                <w:noProof/>
                <w:color w:val="000000" w:themeColor="text1"/>
                <w:sz w:val="20"/>
              </w:rPr>
              <w:t xml:space="preserve"> dwar emendi għall-Appendiċi I u II </w:t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98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proposti għar-Riż. Konf. 4.25 dwar Riżervi, biex tkun ikkonfermata l-iskadenza ta’ 90 jum għar-riservi għall-elenkar ta’ App. I u II, u biex ikun iċċarat meta l-irtirar ta’ riserva jsir effettiv.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99.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Nomenklatura</w:t>
            </w:r>
            <w:r>
              <w:rPr>
                <w:noProof/>
                <w:color w:val="000000" w:themeColor="text1"/>
                <w:sz w:val="20"/>
              </w:rPr>
              <w:t xml:space="preserve"> standard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99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AC, PC, Sek.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proposti għall-Anness għar-Riż. Konf. 12.11 u abbozzi ta’ Deċiżjonijiet assoċjati.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L-Anness 5: Referenzi Standard Proposti Ġodda għas-CITES għan-Nomenklatura tal-Għasafar (Klassi Avjarja)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99 A5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Ħu nota tar-rapport tal-konsulent dwar referenzi standard għan-nomenklatura tal-għasafar.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L-Anness 6: Bidliet proposti fil-letteratura ppubblikata dwar in-nomenklatura ta’ speċijiet ta’ annimali elenkati fis-CITES li għalihom il-Kumitat tal-Annimali, fiż-żmien tas-sottomissjoni tad-dokument CoP18, għadu ma laħaqx rakkomandazzjoni dwar l-adozzjoni jew ir-rifjut għall-finijiet tas-CITES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99 A6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100.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Inklużjoni ta’ speċijiet fl-</w:t>
            </w:r>
            <w:r>
              <w:rPr>
                <w:b/>
                <w:noProof/>
                <w:color w:val="000000" w:themeColor="text1"/>
                <w:sz w:val="20"/>
              </w:rPr>
              <w:t>Appendiċi III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Dokument mhux disponibbli fil-1/3.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 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101.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Annotazzjonijiet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101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l-emendi proposti għar-Riż. Konf. 11.21 (Rev. CoP17), reviżjoni tal-Paragrafu 7 tat-Taqsima tal-Interpretazzjoni tal-Appendiċi tas-CITES, u abbozzi ta’ deċiżjonijiet li jinsabu fl-Anness 4. Appoġġa l-emendi proposti għad-Deċiżjoni 16.162 (Rev. CoP17) iżda ibqa’ miftuħa għal bidliet potenzjali skont ir-riżultat tal-annotazzjoni #15.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102.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Annotazzjonijiet għall-Appendiċi II dwar l-</w:t>
            </w:r>
            <w:r>
              <w:rPr>
                <w:b/>
                <w:noProof/>
                <w:color w:val="000000" w:themeColor="text1"/>
                <w:sz w:val="20"/>
              </w:rPr>
              <w:t>Orkidej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  <w:u w:val="single"/>
              </w:rPr>
              <w:t>CoP18Dok. 102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l-abbozz tad-definizzjoni tat-terminu “kożmetiċi”, u adotta d-deċiżjonijiet proposti.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103.</w:t>
            </w:r>
          </w:p>
        </w:tc>
        <w:tc>
          <w:tcPr>
            <w:tcW w:w="3731" w:type="dxa"/>
            <w:gridSpan w:val="4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Gwida għall-</w:t>
            </w:r>
            <w:r>
              <w:rPr>
                <w:b/>
                <w:noProof/>
                <w:color w:val="000000" w:themeColor="text1"/>
                <w:sz w:val="20"/>
              </w:rPr>
              <w:t>pubblikazzjoni</w:t>
            </w:r>
            <w:r>
              <w:rPr>
                <w:noProof/>
                <w:color w:val="000000" w:themeColor="text1"/>
                <w:sz w:val="20"/>
              </w:rPr>
              <w:t xml:space="preserve"> tal-Appendiċi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103</w:t>
            </w:r>
          </w:p>
        </w:tc>
        <w:tc>
          <w:tcPr>
            <w:tcW w:w="1423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CA</w:t>
            </w:r>
          </w:p>
        </w:tc>
        <w:tc>
          <w:tcPr>
            <w:tcW w:w="241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Ikkunsidra l-ħtieġa għall-gwida proposta dwar l-annotazzjonijiet, ukoll fid-dawl tal-kummenti futuri tas-Sek.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0" w:type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104.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Reviżjoni tar-Riżoluzzjoni Konf. 10.9 dwar </w:t>
            </w:r>
            <w:r>
              <w:rPr>
                <w:i/>
                <w:noProof/>
                <w:color w:val="000000" w:themeColor="text1"/>
                <w:sz w:val="20"/>
              </w:rPr>
              <w:t>Il-Konsiderazzjoni tal-proposti għat-trasferiment tal-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popolazzjonijiet tal-iljunfanti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Afrikani </w:t>
            </w:r>
            <w:r>
              <w:rPr>
                <w:b/>
                <w:i/>
                <w:noProof/>
                <w:color w:val="000000" w:themeColor="text1"/>
                <w:sz w:val="20"/>
              </w:rPr>
              <w:t>mill-Appendiċi I għall-Appendiċi II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  <w:u w:val="single"/>
              </w:rPr>
              <w:t>CoP18 Dok. 104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SC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t-tħassir propost tar-Riżoluzzjoni u t-tħassir tad-Deċiżjoni assoċjata.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  <w:trHeight w:val="326"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keepNext/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Proposti biex jiġu emendati l-Appendiċi</w:t>
            </w:r>
          </w:p>
        </w:tc>
      </w:tr>
      <w:tr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105.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Proposti għal emendar tal-Appendiċi I u II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</w:t>
            </w: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/>
              <w:jc w:val="left"/>
              <w:rPr>
                <w:rFonts w:eastAsia="Times New Roman"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Proposti għall-elenkar huma indirizzati fil-Parti 2 ta’ dan id-dokument, hawn taħt.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keepNext/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9207" w:type="dxa"/>
            <w:gridSpan w:val="8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>
            <w:pPr>
              <w:keepNext/>
              <w:spacing w:before="0" w:after="0"/>
              <w:jc w:val="left"/>
              <w:rPr>
                <w:rFonts w:eastAsia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Konklużjoni tal-laqgħa</w:t>
            </w:r>
          </w:p>
        </w:tc>
      </w:tr>
      <w:tr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106.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Determinazzjoni tal-ħin u l-post tal-laqgħa regolari li jmiss tal-Konferenza tal-Partijiet (l-ebda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651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107.</w:t>
            </w:r>
          </w:p>
        </w:tc>
        <w:tc>
          <w:tcPr>
            <w:tcW w:w="3731" w:type="dxa"/>
            <w:gridSpan w:val="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Rimarki tal-aħħar (Osservaturi, Partijiet, Segretarju Ġenerali tas-CITES, Gvern Ospitanti) (l-ebda dokument)</w:t>
            </w:r>
          </w:p>
        </w:tc>
        <w:tc>
          <w:tcPr>
            <w:tcW w:w="1423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>
            <w:pPr>
              <w:spacing w:before="0" w:after="0" w:line="240" w:lineRule="atLeas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 Ebda dokument</w:t>
            </w:r>
          </w:p>
        </w:tc>
        <w:tc>
          <w:tcPr>
            <w:tcW w:w="992" w:type="dx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>
            <w:pPr>
              <w:spacing w:before="0" w:after="0" w:line="240" w:lineRule="atLeast"/>
              <w:jc w:val="center"/>
              <w:rPr>
                <w:rFonts w:eastAsia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>
      <w:pPr>
        <w:rPr>
          <w:noProof/>
          <w:color w:val="000000" w:themeColor="text1"/>
          <w:szCs w:val="24"/>
        </w:rPr>
      </w:pPr>
      <w:r>
        <w:rPr>
          <w:noProof/>
        </w:rPr>
        <w:br w:type="page"/>
      </w:r>
    </w:p>
    <w:p>
      <w:pPr>
        <w:pStyle w:val="Heading1"/>
        <w:rPr>
          <w:noProof/>
        </w:rPr>
      </w:pPr>
      <w:r>
        <w:rPr>
          <w:noProof/>
        </w:rPr>
        <w:t>Proposti għall-Elenkar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985"/>
        <w:gridCol w:w="1702"/>
        <w:gridCol w:w="2179"/>
        <w:gridCol w:w="905"/>
      </w:tblGrid>
      <w:tr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Nru.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Unità tassonomika / Dettalji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Il-proposta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Proponent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Kummenti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</w:rPr>
              <w:t>Pożizzjoni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Capra falconeri heptneri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(Heptner's markhor)</w:t>
            </w:r>
            <w:r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(popolazzjoni tat-Taġikistan)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tat-Taġikistan hija trasferita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It-Taġikistan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tidher li qed tiżdied u l-ġestjoni tal-kaċċa skont id-dispożizzjonijiet tas-CITES għall-ispeċijiet tal-Appendiċi I ġġeneraw dħul li jmur lura għand il-komunitajiet u għall-konservazzjoni. Madankollu, il-proposta ma fihiex evidenza b’saħħitha biżżejjed biex tindika li l-miżuri ta’ prekawzjoni fl-Anness 4 tar-Riż. Konf. 9.24 ġew issodisfati; elenkar ’l isfel iwassal għal żieda fil-volum ta’ kummerċ mingħajr garanziji li d-dħul jiġi ritornat għall-konservazzjoni. L-IUCN irrakkomandat li jitkompla u li l-ġestjoni attwali tissaħħaħ.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Saiga tatarica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(Saiga tal-isteppi)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Il-Mongolja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 xml:space="preserve">L-Istati Uniti tal-Amerka 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Tinħtieġ aktar analiżi u kjarifika tal-kwistjonijiet tassonomiċi, inkluż dwar jekk nomenklatura differenti min-nomenklatura standard adottata mill-CoP tas-CITES tistax tintuża fil-lista tal-proposti (ara Riż. 9.24 Anness 6, taqsima C-1.4.). Il-proposta tikkunsidra s-Saiga riċenti kollha bħala speċi waħda, f'konformità mal-Lista l-Ħamra tal-IUCN. Madankollu, ir-referenza tassonomika tas-CITES valida bħalissa tissepara l-popolazzjonijiet Mongoljani bħala </w:t>
            </w:r>
            <w:r>
              <w:rPr>
                <w:i/>
                <w:noProof/>
                <w:color w:val="000000" w:themeColor="text1"/>
                <w:sz w:val="20"/>
              </w:rPr>
              <w:t>S. borealis</w:t>
            </w:r>
            <w:r>
              <w:rPr>
                <w:noProof/>
                <w:color w:val="000000" w:themeColor="text1"/>
                <w:sz w:val="20"/>
              </w:rPr>
              <w:t>. Jidher għalhekk li l-popolazzjoni tal-Mongolja tal-</w:t>
            </w:r>
            <w:r>
              <w:rPr>
                <w:i/>
                <w:noProof/>
                <w:color w:val="000000" w:themeColor="text1"/>
                <w:sz w:val="20"/>
              </w:rPr>
              <w:t>S. borealis</w:t>
            </w:r>
            <w:r>
              <w:rPr>
                <w:noProof/>
                <w:color w:val="000000" w:themeColor="text1"/>
                <w:sz w:val="20"/>
              </w:rPr>
              <w:t xml:space="preserve">, mhijiex koperta mill-proposta. F’sitwazzjoni bħal din, il-proposta għandha tkun opposta biex jiġi evitat kull impatt negattiv għall-elenkar ta’ </w:t>
            </w:r>
            <w:r>
              <w:rPr>
                <w:i/>
                <w:noProof/>
                <w:color w:val="000000" w:themeColor="text1"/>
                <w:sz w:val="20"/>
              </w:rPr>
              <w:t>S. tatarica</w:t>
            </w:r>
            <w:r>
              <w:rPr>
                <w:noProof/>
                <w:color w:val="000000" w:themeColor="text1"/>
                <w:sz w:val="20"/>
              </w:rPr>
              <w:t xml:space="preserve"> fl-Appendiċi I fil-popolazzjoni ta’ </w:t>
            </w:r>
            <w:r>
              <w:rPr>
                <w:i/>
                <w:noProof/>
                <w:color w:val="000000" w:themeColor="text1"/>
                <w:sz w:val="20"/>
              </w:rPr>
              <w:t>S. borealis.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F’każ li kjarifika tan-nomenklatura tippermetti l-elenkar tal-ġeneru sħiħ fil-CoP18, l-UE għandha tikkunsidra li tappoġġa din il-proposta, jew proposta emendata li tirriżulta f’elenkar tal-popolazzjoni tal-Mongolja tal-</w:t>
            </w:r>
            <w:r>
              <w:rPr>
                <w:i/>
                <w:noProof/>
                <w:color w:val="000000" w:themeColor="text1"/>
                <w:sz w:val="20"/>
              </w:rPr>
              <w:t>S. Borealis</w:t>
            </w:r>
            <w:r>
              <w:rPr>
                <w:noProof/>
                <w:color w:val="000000" w:themeColor="text1"/>
                <w:sz w:val="20"/>
              </w:rPr>
              <w:t>. fl-Appendiċi 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(–)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Vicugna vicugna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(vicuña)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(popolazzjoni tal-Provinċja ta’ Salta)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tal-Provinċja ta’ Salta (l-Arġentina) hija trasferita mill-App. I għall-App. II bl-annotazzjoni bin-numru 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L-Arġentina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Mill-2006, id-daqs tal-popolazzjoni baqa’ jiżdied b’mod konsiderevoli, il-monitoraġġ tal-popolazzjoni jidher li huwa tajjeb u 41% (14.000 km²) tal-ħabitat huwa protett. L-unika forma ta’ utilizzazzjoni ppjanata hija t-tqaxxir ta’ eżemplari selvaġġi.</w:t>
            </w:r>
          </w:p>
          <w:p>
            <w:pPr>
              <w:spacing w:after="0"/>
              <w:jc w:val="left"/>
              <w:rPr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Dan għandu jiġi kkunsidrat flimkien mad-dokument ta’ ħidma nru 91.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Vicugna vicugna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(vicuña)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(popolazzjoni taċ-Ċilì)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L-isem tal-popolazzjoni taċ-Ċilì għandu jinbidel minn “popolazzjoni tar-Reġjun Primera” għal “popolazzjonijiet tar-reġjun ta’ Tarapacá u tar-reġjun ta’ Arica u Parinacota”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Iċ-Ċilì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Appoġġaha – il-proposta ma fiha l-ebda bidla sostantiva għall-elenkar u taġġusta biss isem ġeografiku.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Giraffa camelopardalis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(ġiraffa)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  <w:p>
            <w:pPr>
              <w:pStyle w:val="Defaul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Ir-Repubblika Ċentru-Afrikana, iċ-Chad, il-Kenya, il-Mali, in-Niġer and is-Senegal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Hemm bżonn ta’ aktar evidenza biex jintwera li l-kummerċ internazzjonali jikkontribwixxi b’mod sinifikanti għat-tnaqqis ta’ kwalunkwe popolazzjoni u li l-kriterji għall-inklużjoni fl-Appendiċi II huma sodisfatti. It-triq ’il quddiem ippreferuta hija l-adozzjoni ta’ sett ta’ deċiżjonijiet li jitolbu għal studju estern u għall-kunsiderazzjoni mill-Kumitat tal-Annimali u l-Kumitat Permanenti.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Aonyx cinereus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(lontra bi dwiefer żgħar)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L-Indja, in-Nepal u l-Filippini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Hemm bżonn ta’ konferma ulterjuri dwar jekk il-kriterji għall-elenkar fl-Appendiċi I ġewx issodisfati. Skont l-IUCN, il-kummerċ tal-annimali domestiċi fuq l-internet jikkontribwixxi għat-tnaqqis rapidu riċenti tal-ispeċi.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Lutrogale perspicillata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(lontra tal-pil lixx)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minn 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Il-Bangladesh, l-Indja u n-Nepal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Jeħtieġ li jkun ikkonfermat jekk l-ispeċi tissodisfax il-kriterji bijoloġiċi għall-elenkar fl-Appendiċi I. Hemm livelli baxxi ta’ kummerċ internazzjonali legali, iżda l-elenkar ’il fuq jista’ jgħin biex jipproteġi l-ispeċi billi l-volum tal-kummerċ illegali huwa importanti.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Ceratotherium simum simum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(rinoċeronti abjad tan-Nofsinhar)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(il-popolazzjoni tal-Eswatini)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L-annotazzjoni eżistenti għall-popolazzjoni tal-Eswatini għandha titneħħa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L-Eswatini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Opponiha. Il-popolazzjoni tkompli tissodisfa l-kriterji għall-elenkar tal-App. II, iżda t-tneħħija tal-annotazzjoni kif proposta ma tissodisfax is-salvagwardji ta’ prekawzjoni stabbiliti fil-Para A. 2. a) fl-Anness 4 tar-Riż. Konf. 9.24. It-tkomplija tal-kummerċ tal-qrun tar-rinoċeronti tibgħat sinjal ħażin f’dan il-mument, minħabba l-livell għoli ta’ kaċċa illegali u kummerċ illegali. Din iddgħajjef ukoll l-azzjoni għat-tnaqqis tad-domanda minn ħafna Partijiet għal din l-ispeċi.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Ceratotherium simum simum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(Rinoċeronti abjad tan-Nofsinhar)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(il-popolazzjoni tan-Namibja)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Trasferiment tal-popolazzjoni ta’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Ceratotherium simum simum </w:t>
            </w:r>
            <w:r>
              <w:rPr>
                <w:noProof/>
                <w:color w:val="000000" w:themeColor="text1"/>
                <w:sz w:val="20"/>
              </w:rPr>
              <w:t>tan-Namibja mill-Appendiċi I għall-Appendiċi II bl-annotazzjoni li ġejja: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“Għall-għan waħdieni li jippermetti l-kummerċ internazzjonali f’:</w:t>
            </w:r>
          </w:p>
          <w:p>
            <w:pPr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annimali ħajjin għal destinazzjonijiet xierqa u aċċettabbli; u</w:t>
            </w:r>
          </w:p>
          <w:p>
            <w:pPr>
              <w:numPr>
                <w:ilvl w:val="0"/>
                <w:numId w:val="9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trofej tal-kaċċa.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L-eżemplari l-oħrajn kollha għandhom jitqiesu li huma eżemplari tal-ispeċi elenkati fl-Appendiċi I u l-kummerċ fihom għandu jiġi rregolat skont dan.”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In-Namibja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tan-Namibja tinsab fi stat ta’ saħħa tajjeb; tidher li m’għadhiex tissodisfa l-kriterji tal-Appendiċi I u li tissodisfa l-miżuri ta’ prekawzjoni għall-elenkar ’l isfel fl-App. II; l-annotazzjoni tidher li hija limitata ħafna u hija l-istess bħal dik diġà stabbilita għall-Afrika t’Isfel u għal Swaziland. Konservazzjoni b’suċċess tal-ispeċi fin-Namibja għandha tiġi rikonoxxuta.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Riskji potenzjali assoċjati mal-proposta għandhom jiġu rieżaminati aktar.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Italic"/>
                <w:rFonts w:ascii="Times New Roman" w:hAnsi="Times New Roman"/>
                <w:noProof/>
                <w:color w:val="000000" w:themeColor="text1"/>
                <w:sz w:val="20"/>
              </w:rPr>
              <w:t xml:space="preserve">Loxodonta </w:t>
            </w:r>
            <w:r>
              <w:rPr>
                <w:rStyle w:val="Bodytext2Italic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Italic"/>
                <w:rFonts w:ascii="Times New Roman" w:hAnsi="Times New Roman"/>
                <w:noProof/>
                <w:color w:val="000000" w:themeColor="text1"/>
                <w:sz w:val="20"/>
              </w:rPr>
              <w:t xml:space="preserve">africana 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(iljunfant Afrikan)</w:t>
            </w:r>
          </w:p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tabs>
                <w:tab w:val="left" w:pos="256"/>
              </w:tabs>
              <w:spacing w:line="226" w:lineRule="exact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Il-popolazzjoni taż-Żambja hija trasferita mill-Appendiċi I għall-Appendiċi II soġġetta għal: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98"/>
              </w:tabs>
              <w:spacing w:before="0" w:after="0" w:line="226" w:lineRule="exact"/>
              <w:ind w:left="316" w:hanging="316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Kummerċ f’avorju mhux maħdum irreġistrat (sinniet twal bil-ponta u biċċiet) għal għanijiet kummerċjali biss lill-imsieħba kummerċjali approvati mis-CITES li ma jerġgħux jagħmlu esportazzjoni mill-ġdid.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98"/>
              </w:tabs>
              <w:spacing w:before="0" w:after="0" w:line="226" w:lineRule="exact"/>
              <w:ind w:left="316" w:hanging="316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Kummerċ fi trofej tal-kaċċa għal għanijiet mhux kummerċjali;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89"/>
              </w:tabs>
              <w:spacing w:before="0" w:after="0" w:line="230" w:lineRule="exact"/>
              <w:ind w:left="316" w:hanging="316"/>
              <w:jc w:val="left"/>
              <w:rPr>
                <w:rStyle w:val="Bodytext2"/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Kummerċ fil-ġilda u prodotti magħmulin mill-ġilda.</w:t>
            </w:r>
          </w:p>
          <w:p>
            <w:pPr>
              <w:widowControl w:val="0"/>
              <w:numPr>
                <w:ilvl w:val="0"/>
                <w:numId w:val="12"/>
              </w:numPr>
              <w:tabs>
                <w:tab w:val="left" w:pos="256"/>
                <w:tab w:val="left" w:pos="389"/>
              </w:tabs>
              <w:spacing w:before="0" w:after="0" w:line="230" w:lineRule="exact"/>
              <w:ind w:left="316" w:hanging="31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L-eżemplari l-oħrajn kollha għandhom jitqiesu li huma eżemplari tal-ispeċi inklużi fl-Appendiċi I u l-kummerċ fihom għandu jiġi rregolat skont dan.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Iż-Żambja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L-annotazzjoni ssuġġerita miż-Żambja terġa’ tiftaħ il-kummerċ internazzjonali tal-avorju u ma tistax tkun appoġġata kif ippreżentata bħalissa. 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Loxodonta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 xml:space="preserve">africana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(iljunfant Afrikan)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(il-popolazzjonijiet tal-Botswana, tan-Namibja, tal-Afrika t’Isfel u taż-Żimbabwe)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għall-annotazzjoni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0"/>
              </w:tabs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għall-annotazzjoni 2:</w:t>
            </w:r>
          </w:p>
          <w:p>
            <w:pPr>
              <w:tabs>
                <w:tab w:val="left" w:pos="176"/>
              </w:tabs>
              <w:spacing w:after="0"/>
              <w:ind w:left="176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Għall-għan waħdieni li jippermetti:</w:t>
            </w:r>
          </w:p>
          <w:p>
            <w:pPr>
              <w:tabs>
                <w:tab w:val="left" w:pos="176"/>
              </w:tabs>
              <w:spacing w:before="0" w:after="0"/>
              <w:ind w:left="176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[…]</w:t>
            </w:r>
          </w:p>
          <w:p>
            <w:pPr>
              <w:tabs>
                <w:tab w:val="left" w:pos="176"/>
              </w:tabs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g.</w:t>
            </w:r>
            <w:r>
              <w:rPr>
                <w:noProof/>
              </w:rPr>
              <w:tab/>
            </w:r>
            <w:r>
              <w:rPr>
                <w:noProof/>
                <w:color w:val="000000" w:themeColor="text1"/>
                <w:sz w:val="20"/>
              </w:rPr>
              <w:t xml:space="preserve">kummerċ f’avorju mhux maħdum irreġistrat (għall-Botswana, in-Namibja, l-Afrika t’Isfel u ż-Żimbabwe, sinniet twal bil-ponta u biċċiet sħaħ) soġġetti għal li ġej: </w:t>
            </w:r>
          </w:p>
          <w:p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stokkijiet proprjetà tal-gvern irreġistrati biss, li joriġinaw fl-Istat (minbarra avorju konfiskat jew avorju ta’ oriġini mhux magħrufa);</w:t>
            </w:r>
          </w:p>
          <w:p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għal imsieħba kummerċjali biss li, b’konsultazzjoni mal-Kumitat Permanenti, ġew ivverifikati mill-Kumitat Permanenti, li għandhom leġiżlazzjoni nazzjonali suffiċjenti u kontrolli kummerċjali domestiċi sabiex jiżguraw li l-avorju impurtat mhux se jiġi esportat mill-ġdid u se jiġi ġestit skont ir-rekwiżiti kollha tar-Riżoluzzjoni Konf. 10.10 (Rev. CoP17) fir-rigward ta’ manifattura u kummerċ domestiku;</w:t>
            </w:r>
          </w:p>
          <w:p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mhux qabel mas-Segretarjat ikun ivverifika l-pajjiżi prospettivi tal-importazzjoni u l-istokkijiet proprjetà tal-gvern irreġistrati;</w:t>
            </w:r>
          </w:p>
          <w:p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strike/>
                <w:noProof/>
                <w:color w:val="000000" w:themeColor="text1"/>
                <w:sz w:val="20"/>
              </w:rPr>
              <w:t>avorju mhux maħdum skont il-bejgħ kundizzjonali ta’ stokkijiet tal-avorju tal-gvern irreġistrati maqbula f’CoP12 li huma 20,000 kg (il-Botswana), 10,000 kg (in-Namibja), u 30,000 kg (l-Afrika t’Isfel);</w:t>
            </w:r>
          </w:p>
          <w:p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strike/>
                <w:noProof/>
                <w:color w:val="000000" w:themeColor="text1"/>
                <w:sz w:val="20"/>
              </w:rPr>
              <w:t>flimkien mal-kwantitajiet maqbula f’CoP12, l-avorju tal-gvern mill-Botswana, in-Namibja, l-Afrika t’Isfel u ż-Żimbabwe irreġistrat sal-31 ta’ Jannar 2007 u vverifikat mis-Segretarjat jista’ jiġi kkumerċjalizzat u ttrasportat, mal-avorju fil-paragrafu (g)(iv) hawn fuq f’bejgħ uniku għal kull destinazzjoni taħt superviżjoni stretta tas-Segretarjat;</w:t>
            </w:r>
          </w:p>
          <w:p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before="0" w:after="0"/>
              <w:ind w:left="318" w:hanging="142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ir-rikavat mill-kummerċ jintuża esklussivament għall-konservazzjoni tal-iljunfanti u għal programmi komunitarji ta’ konservazzjoni u żvilupp fi ħdan jew maġenb iż-żona fejn jimirħu l-iljunfanti; u</w:t>
            </w:r>
          </w:p>
          <w:p>
            <w:pPr>
              <w:numPr>
                <w:ilvl w:val="1"/>
                <w:numId w:val="11"/>
              </w:numPr>
              <w:tabs>
                <w:tab w:val="left" w:pos="176"/>
              </w:tabs>
              <w:spacing w:before="0" w:after="0"/>
              <w:ind w:left="352" w:hanging="176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strike/>
                <w:noProof/>
                <w:color w:val="000000" w:themeColor="text1"/>
                <w:sz w:val="20"/>
              </w:rPr>
              <w:t>il-kwantitajiet addizzjonali speċifikati fil-paragrafu g) v) hawn fuq għandhom jiġu kkummerċjalizzati biss wara li l-Kumitat Permanenti jkun qabel li ġew issodisfati l-kundizzjonijiet imsemmija fuq; u</w:t>
            </w:r>
          </w:p>
          <w:p>
            <w:pPr>
              <w:tabs>
                <w:tab w:val="left" w:pos="176"/>
              </w:tabs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h.</w:t>
            </w:r>
            <w:r>
              <w:rPr>
                <w:noProof/>
              </w:rPr>
              <w:tab/>
            </w:r>
            <w:r>
              <w:rPr>
                <w:strike/>
                <w:noProof/>
                <w:color w:val="000000" w:themeColor="text1"/>
                <w:sz w:val="20"/>
              </w:rPr>
              <w:t>l-ebda proposta ulterjuri li tippermetti l-kummerċ fl-avorju tal-iljunfanti minn popolazzjonijiet diġà fl-Anness B m’għandha titressaq lill-Konferenza tal-Partijiet għall-perjodu minn CoP14 u li jispiċċa disa’ snin mid-data tal-bejgħ uniku tal-avorju li għandu jseħħ skont id-dispożizzjonijiet fil-paragrafu g) i), g) ii), g) iii), g) vi) u g) vii). Barra minn hekk, dawn il-proposti ulterjuri għandhom jiġu ttrattati skont id-Deċiżjonijiet 16.55 u 14.78 (Rev. CoP16).</w:t>
            </w:r>
          </w:p>
          <w:p>
            <w:pPr>
              <w:tabs>
                <w:tab w:val="left" w:pos="0"/>
              </w:tabs>
              <w:ind w:firstLine="23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[…]”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Il-Botswana, in-Namibja u ż-Żimbabwe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Il-bidla mitluba se tirriżulta fil-ftuħ tal-kummerċ internazzjonali tal-avorju, u għalhekk ma tissodisfax il-miżuri ta’ prekawzjoni skont l-Anness 4 għar-Riż. Konf. 9.24 u hija prematura.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817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Loxodonta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>africana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(iljunfant Afrikan)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(il-popolazzjonijiet tal-Botswana, tan-Namibja, tal-Afrika t’Isfel u taż-Żimbabwe)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It-trasferiment tal-popolazzjonijiet tal-Botswana, tan-Namibja, tal-Afrika t’Isfel u taż-Żimbabwe mill-App. II għall-App. I</w:t>
            </w:r>
          </w:p>
        </w:tc>
        <w:tc>
          <w:tcPr>
            <w:tcW w:w="1702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Il-Burkina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 xml:space="preserve">Faso, il-Kosta tal-Avorju, il-Gabon, il-Kenja. </w:t>
            </w:r>
            <w:r>
              <w:rPr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Il-Liberja, in-Niġer, in-Niġerja, is-Sudan, ir-Repubblika Għarbija Sirjana u t-Togo</w:t>
            </w:r>
          </w:p>
        </w:tc>
        <w:tc>
          <w:tcPr>
            <w:tcW w:w="2179" w:type="dxa"/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Dawn l-erba’ popolazzjonijiet ma jissodisfawx il-kriterji tal-App. I u l-istati tal-firxa in kwistjoni ma jaqblux mal-elenkar ’il fuq. </w:t>
            </w:r>
          </w:p>
        </w:tc>
        <w:tc>
          <w:tcPr>
            <w:tcW w:w="905" w:type="dxa"/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Mammuthus primigenius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(mammut sufi)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Iżrael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L-iskop tas-CITES huwa li tipproteġi l-ispeċi minn sfruttament żejjed u estinzjoni. Kwistjonijiet li huma simili ma jidhirx li huma argument validu biżżejjed għall-elenkar tal-mammoth. Ma ġietx ipprovduta evidenza għall-identifikazzjoni ħażina u l-ħasil fuq skala kbira, u s-snien tal-avorju tal-iljunfant u tal-mammoth juru karatteristiċi uniċi li huma faċli biex ikunu distinti minn xi ħadd li mhux espert. Elenkar fuq App. II ma jkunx proporzjonat mal-iskala tar-riskju ppreżentat (potenzjalment jiġġenera ħafna permessi mingħajr, jew benefiċċju ta’ konservazzjoni limitat).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–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Leporillus conditor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(far perit)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It-trasferiment għall-Appendiċi II irrakkomandat mill-Kumitat ta-Annimali tas-CITES. L-ispeċi ma tinstabx fil-kummerċ internazzjonali.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Pseudomys fieldi praeconis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(ġurdien ta’ Shark Bay)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It-trasferiment għall-Appendiċi II irrakkomandat mill-Kumitat ta-Annimali tas-CITES. L-ispeċi ma tinstabx fil-kummerċ internazzjonali.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Xeromys myoides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(far tal-ilma falz)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It-trasferiment għall-Appendiċi II irrakkomandat mill-Kumitat ta-Annimali tas-CITES. L-ispeċi ma tinstabx fil-kummerċ internazzjonali.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Zyzomys pedunculatus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(far tal-blat tal-Awstralja Ċentrali)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It-trasferiment għall-Appendiċi II irrakkomandat mill-Kumitat ta-Annimali tas-CITES. L-ispeċi ma tinstabx fil-kummerċ internazzjonali.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Syrmaticus reevesii</w:t>
            </w:r>
          </w:p>
          <w:p>
            <w:p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(faġan ta’ Reeves)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CN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taċ-Ċina biss tissodisfa l-kriterji tal-elenkar għall-inklużjoni fl-Appendiċi II. Miftuħa biex nappoġġaw proposta iktar limitata li tipprovdi li l-piż amministrattiv marbut mal-ġestjoni tal-kummerċ ta’ kampjuni minn popolazzjonijiet introdotti jibqa’ proporzjonat. Dan jista’ jinkiseb billi l-elenkar fl-Appendiċi II jiġi limitat għall-popolazzjoni taċ-Ċina, jew billi jiġu elenkati l-ispeċi miċ-Ċina fl-Appendiċi 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(0)</w:t>
            </w:r>
          </w:p>
        </w:tc>
      </w:tr>
      <w:tr>
        <w:tc>
          <w:tcPr>
            <w:tcW w:w="817" w:type="dxa"/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Balearica pavonina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(għarnuq rasu sewda)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Il-Burkina Faso, il-Kosta tal-Avorju u s-Senegal</w:t>
            </w:r>
          </w:p>
        </w:tc>
        <w:tc>
          <w:tcPr>
            <w:tcW w:w="2179" w:type="dxa"/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Mhux ċar jekk il-kriterji għall-elenkar humiex issodisfati, u jekk l-elenkar ’il fuq jgħinx fil-ġlieda kontra l-kummerċ illegali. Analiżi dwar impatt potenzjali fuq il-kummerċ fil-</w:t>
            </w:r>
            <w:r>
              <w:rPr>
                <w:i/>
                <w:noProof/>
                <w:color w:val="000000" w:themeColor="text1"/>
                <w:sz w:val="20"/>
              </w:rPr>
              <w:t>Balearica regulorum</w:t>
            </w:r>
            <w:r>
              <w:rPr>
                <w:noProof/>
                <w:color w:val="000000" w:themeColor="text1"/>
                <w:sz w:val="20"/>
              </w:rPr>
              <w:t xml:space="preserve"> (li huwa aktar fil-periklu) hija meħtieġa (Appendiċi II) (Il-Lista l-Ħamra tal-IUCN)  – Żewġ stati tal-firxa bħalissa huma soġġetti għal sospensjoni tal-kummerċ skont il-proċess ta’ Rieżami tal-Kummerċ ta’ Livell Sinifikanti (RST). L-Istati tal-firxa l-oħra tneħħew mill-proċess minħabba li ma kinux ta’ tħassib. L-AC ma ġiex ikkonsultat kif meħtieġ fl-Anness 6, punt 10 tar-Riż. Konf. 9.24 fejn proposti għat-trasferiment tal-ispeċi tal-App. II għall-App. I huma soġġetti għal RST. Jista’ jkun aħjar li wieħed jistenna r-riżultat tal-RST qabel ma jkun applikat l-elenkar ’il fuq.</w:t>
            </w:r>
          </w:p>
        </w:tc>
        <w:tc>
          <w:tcPr>
            <w:tcW w:w="905" w:type="dxa"/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Dasyornis broadbenti litoralis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(rufous bristlebird tal-Punent)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Il-proposta tirriżulta minn Rieżami Perjodiku tas-CITES u tikkonċerna speċi li mhix fil-kummerċ (meqjusa bħala estinta, l-aħħar osservazzjoni saret fl-1906).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Dasyornis longirostris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(Dasijornu munqaru twil)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Trasferit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L-Awstralja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Il-proposta tirriżulta minn Rieżami Perjodiku tas-CITES u tikkonċerna speċi li mhix fil-kummerċ.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Crocodylus acutus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(kukkudrill Amerikan)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(popolazzjoni tal-Messiku)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Il-popolazzjoni tat-Messiku hija trasferita mill-App. I għall-App.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Il-Messiku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t-trasferiment mill App. I għall-App. II jekk il-Messiku jistipula kwota 0 għall-eżemplari mis-selvaġġ (kodiċi tas-sors W)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Calotes nigrilabris </w:t>
            </w:r>
            <w:r>
              <w:rPr>
                <w:noProof/>
                <w:color w:val="000000" w:themeColor="text1"/>
                <w:sz w:val="20"/>
              </w:rPr>
              <w:t>u </w:t>
            </w:r>
            <w:r>
              <w:rPr>
                <w:i/>
                <w:noProof/>
                <w:color w:val="000000" w:themeColor="text1"/>
                <w:sz w:val="20"/>
              </w:rPr>
              <w:t>Calotes pethiyagodai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(gremxul tal-ġonna)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Is-Sri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Jidher li l-kriterji </w:t>
            </w:r>
            <w:r>
              <w:rPr>
                <w:i/>
                <w:noProof/>
                <w:color w:val="000000" w:themeColor="text1"/>
                <w:sz w:val="20"/>
              </w:rPr>
              <w:t>bijoloġiċi</w:t>
            </w:r>
            <w:r>
              <w:rPr>
                <w:noProof/>
                <w:color w:val="000000" w:themeColor="text1"/>
                <w:sz w:val="20"/>
              </w:rPr>
              <w:t xml:space="preserve"> għall-elenkar fl-Appendiċi tas-CITES ġew milħuqa iżda m’hemmx evidenza biżżejjed biex turi li l-livelli attwali jew antiċipati tal-</w:t>
            </w:r>
            <w:r>
              <w:rPr>
                <w:i/>
                <w:noProof/>
                <w:color w:val="000000" w:themeColor="text1"/>
                <w:sz w:val="20"/>
              </w:rPr>
              <w:t>kummerċ</w:t>
            </w:r>
            <w:r>
              <w:rPr>
                <w:noProof/>
                <w:color w:val="000000" w:themeColor="text1"/>
                <w:sz w:val="20"/>
              </w:rPr>
              <w:t xml:space="preserve"> huma ta’ detriment għas-sopravivenza tagħhom fis-selvaġġ. 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Wara l-qasma tassonomika ta’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Calotes liocephalus </w:t>
            </w:r>
            <w:r>
              <w:rPr>
                <w:noProof/>
                <w:color w:val="000000" w:themeColor="text1"/>
                <w:sz w:val="20"/>
              </w:rPr>
              <w:t xml:space="preserve">u </w:t>
            </w:r>
            <w:r>
              <w:rPr>
                <w:i/>
                <w:noProof/>
                <w:color w:val="000000" w:themeColor="text1"/>
                <w:sz w:val="20"/>
              </w:rPr>
              <w:t>C. Pethiyagodai</w:t>
            </w:r>
            <w:r>
              <w:rPr>
                <w:noProof/>
                <w:color w:val="000000" w:themeColor="text1"/>
                <w:sz w:val="20"/>
              </w:rPr>
              <w:t xml:space="preserve"> l-istatus nazzjonali inbidel għal “Periklu Kritiku” għal </w:t>
            </w:r>
            <w:r>
              <w:rPr>
                <w:i/>
                <w:noProof/>
                <w:color w:val="000000" w:themeColor="text1"/>
                <w:sz w:val="20"/>
              </w:rPr>
              <w:t>C. liocephalus</w:t>
            </w:r>
            <w:r>
              <w:rPr>
                <w:noProof/>
                <w:color w:val="000000" w:themeColor="text1"/>
                <w:sz w:val="20"/>
              </w:rPr>
              <w:t xml:space="preserve">, li mhuwiex propost għall-elenkar, għalkemm huwa saħansitra aktar fil-periklu minn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C. pethivagodai. </w:t>
            </w:r>
            <w:r>
              <w:rPr>
                <w:noProof/>
                <w:color w:val="000000" w:themeColor="text1"/>
                <w:sz w:val="20"/>
              </w:rPr>
              <w:t xml:space="preserve">Billi ż-żewġ speċijiet ġew ikkunsidrati bħala speċi waħda fil-passat u bħala tali ma tantx jistgħu jiġu ddifferenzjati, l-elenkar ta’ </w:t>
            </w:r>
            <w:r>
              <w:rPr>
                <w:i/>
                <w:noProof/>
                <w:color w:val="000000" w:themeColor="text1"/>
                <w:sz w:val="20"/>
              </w:rPr>
              <w:t>C</w:t>
            </w:r>
            <w:r>
              <w:rPr>
                <w:noProof/>
                <w:color w:val="000000" w:themeColor="text1"/>
                <w:sz w:val="20"/>
              </w:rPr>
              <w:t xml:space="preserve">. </w:t>
            </w:r>
            <w:r>
              <w:rPr>
                <w:i/>
                <w:noProof/>
                <w:color w:val="000000" w:themeColor="text1"/>
                <w:sz w:val="20"/>
              </w:rPr>
              <w:t>pethiyagodai</w:t>
            </w:r>
            <w:r>
              <w:rPr>
                <w:noProof/>
                <w:color w:val="000000" w:themeColor="text1"/>
                <w:sz w:val="20"/>
              </w:rPr>
              <w:t xml:space="preserve"> fl-Appendiċi I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</w:t>
            </w:r>
            <w:r>
              <w:rPr>
                <w:noProof/>
                <w:color w:val="000000" w:themeColor="text1"/>
                <w:sz w:val="20"/>
              </w:rPr>
              <w:t xml:space="preserve">jista’ jikkawża problemi ta’ konservazzjoni għal </w:t>
            </w:r>
            <w:r>
              <w:rPr>
                <w:i/>
                <w:noProof/>
                <w:color w:val="000000" w:themeColor="text1"/>
                <w:sz w:val="20"/>
              </w:rPr>
              <w:t>C. liocephalu</w:t>
            </w:r>
            <w:r>
              <w:rPr>
                <w:noProof/>
                <w:color w:val="000000" w:themeColor="text1"/>
                <w:sz w:val="20"/>
              </w:rPr>
              <w:t xml:space="preserve"> jew il-kummerċ f’</w:t>
            </w:r>
            <w:r>
              <w:rPr>
                <w:i/>
                <w:noProof/>
                <w:color w:val="000000" w:themeColor="text1"/>
                <w:sz w:val="20"/>
              </w:rPr>
              <w:t>C</w:t>
            </w:r>
            <w:r>
              <w:rPr>
                <w:noProof/>
                <w:color w:val="000000" w:themeColor="text1"/>
                <w:sz w:val="20"/>
              </w:rPr>
              <w:t xml:space="preserve">.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pethiyagodai </w:t>
            </w:r>
            <w:r>
              <w:rPr>
                <w:noProof/>
                <w:color w:val="000000" w:themeColor="text1"/>
                <w:sz w:val="20"/>
              </w:rPr>
              <w:t xml:space="preserve">jista’ jitkompla bħala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C. liocephalus. </w:t>
            </w:r>
            <w:r>
              <w:rPr>
                <w:noProof/>
                <w:color w:val="000000" w:themeColor="text1"/>
                <w:sz w:val="20"/>
              </w:rPr>
              <w:t>Hemm ukoll kwistjonijiet dwar immarkar individwali tal-eżemplari jekk elenkati fl-Appendiċi I, minħabba d-daqs żgħir tagħhom u l-bidla fil-kulur.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Ceratophora </w:t>
            </w:r>
            <w:r>
              <w:rPr>
                <w:noProof/>
                <w:color w:val="000000" w:themeColor="text1"/>
                <w:sz w:val="20"/>
              </w:rPr>
              <w:t>spp.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(gremxul muqran)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Is-Sri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Opponi l-elenkar tal-ġeneru fl-Appendiċi I, iżda aqbel li jinkludu </w:t>
            </w:r>
            <w:r>
              <w:rPr>
                <w:i/>
                <w:noProof/>
                <w:color w:val="000000" w:themeColor="text1"/>
                <w:sz w:val="20"/>
              </w:rPr>
              <w:t>C. erdeleni, C. karu,</w:t>
            </w:r>
            <w:r>
              <w:rPr>
                <w:noProof/>
                <w:color w:val="000000" w:themeColor="text1"/>
                <w:sz w:val="20"/>
              </w:rPr>
              <w:t xml:space="preserve"> u </w:t>
            </w:r>
            <w:r>
              <w:rPr>
                <w:i/>
                <w:noProof/>
                <w:color w:val="000000" w:themeColor="text1"/>
                <w:sz w:val="20"/>
              </w:rPr>
              <w:t>C. tennenti</w:t>
            </w:r>
            <w:r>
              <w:rPr>
                <w:noProof/>
                <w:color w:val="000000" w:themeColor="text1"/>
                <w:sz w:val="20"/>
              </w:rPr>
              <w:t xml:space="preserve"> fl-Appendiċi I u </w:t>
            </w:r>
            <w:r>
              <w:rPr>
                <w:i/>
                <w:noProof/>
                <w:color w:val="000000" w:themeColor="text1"/>
                <w:sz w:val="20"/>
              </w:rPr>
              <w:t>C. stoddartii</w:t>
            </w:r>
            <w:r>
              <w:rPr>
                <w:noProof/>
                <w:color w:val="000000" w:themeColor="text1"/>
                <w:sz w:val="20"/>
              </w:rPr>
              <w:t xml:space="preserve"> u </w:t>
            </w:r>
            <w:r>
              <w:rPr>
                <w:i/>
                <w:noProof/>
                <w:color w:val="000000" w:themeColor="text1"/>
                <w:sz w:val="20"/>
              </w:rPr>
              <w:t>C. Asper</w:t>
            </w:r>
            <w:r>
              <w:rPr>
                <w:noProof/>
                <w:color w:val="000000" w:themeColor="text1"/>
                <w:sz w:val="20"/>
              </w:rPr>
              <w:t xml:space="preserve"> fl-Appendiċi II.</w:t>
            </w:r>
          </w:p>
          <w:p>
            <w:pPr>
              <w:keepLines/>
              <w:spacing w:after="0"/>
              <w:jc w:val="left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Kriterji bijoloġiċi għall-Appendiċi I huma ssodisfati minn tliet speċi (minn ħames speċi fil-ġeneru): </w:t>
            </w:r>
            <w:r>
              <w:rPr>
                <w:i/>
                <w:noProof/>
                <w:color w:val="000000" w:themeColor="text1"/>
                <w:sz w:val="20"/>
              </w:rPr>
              <w:t>C. karu, C. erdelen</w:t>
            </w:r>
            <w:r>
              <w:rPr>
                <w:noProof/>
                <w:color w:val="000000" w:themeColor="text1"/>
                <w:sz w:val="20"/>
              </w:rPr>
              <w:t xml:space="preserve">i u </w:t>
            </w:r>
            <w:r>
              <w:rPr>
                <w:i/>
                <w:noProof/>
                <w:color w:val="000000" w:themeColor="text1"/>
                <w:sz w:val="20"/>
              </w:rPr>
              <w:t>C. tennentii</w:t>
            </w:r>
            <w:r>
              <w:rPr>
                <w:noProof/>
                <w:color w:val="000000" w:themeColor="text1"/>
                <w:sz w:val="20"/>
              </w:rPr>
              <w:t xml:space="preserve">. L-Appendiċi II jidher iktar iġġustifikat għaż-żewġ speċi l-oħra </w:t>
            </w:r>
            <w:r>
              <w:rPr>
                <w:i/>
                <w:noProof/>
                <w:color w:val="000000" w:themeColor="text1"/>
                <w:sz w:val="20"/>
              </w:rPr>
              <w:t>C. aspera &amp; C. stoddartii</w:t>
            </w:r>
            <w:r>
              <w:rPr>
                <w:noProof/>
                <w:color w:val="000000" w:themeColor="text1"/>
                <w:sz w:val="20"/>
              </w:rPr>
              <w:t xml:space="preserve"> li huma aktar komuni, iżda wkoll iktar ikkummerċjalizzati; ta’ min wieħed jinnota wkoll li m’hemm l-ebda kriterju dwar “dehra simili” għall-elenkar fl-Appendiċi I (Anness 1 tar-Riż. Konf. 9.24 (Rev. CoP17)).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Cophotis ceylanica </w:t>
            </w:r>
            <w:r>
              <w:rPr>
                <w:noProof/>
                <w:color w:val="000000" w:themeColor="text1"/>
                <w:sz w:val="20"/>
              </w:rPr>
              <w:t>u </w:t>
            </w:r>
            <w:r>
              <w:rPr>
                <w:i/>
                <w:noProof/>
                <w:color w:val="000000" w:themeColor="text1"/>
                <w:sz w:val="20"/>
              </w:rPr>
              <w:t>Cophotis dumbara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 xml:space="preserve">(gremxul nanu)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Is-Sri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Il-proposta tidher li tissodisfa l-kriterji bijoloġiċi; offtakes, anke f’ammonti żgħar jista’ jkollhom impatt sinifikanti fuq il-bqija tal-popolazzjonijiet. Dawn huma l-uniċi żewġ speċi f’dan il-ġeneru, u t-tnejn huma endemiċi għas-Sri Lanka u huma elenkati bħala f’periklu kbir ħafna fil-Lista l-Ħamra Nazzjonali tas-Sri Lanka (2012). Aktar evidenza ta’ kummerċ internazzjonali riċenti f’eżemplari ta’ fawna maqbuda fis-selvaġġ tappoġġa l-elenkar fl-Appendiċi I, iżda l-elenkar fl-Appendiċi II jista’ jkun aħjar.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Lyriocephalus scutatus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(gremxula mneħirha mħatteb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Is-Sri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l-elenkar fl-Appendiċi II minħabba li l-kriterji għall-elenkar tal-Appendiċi I ma jiġux issodisfati iżda dawk tal-App. II jiġu ssodisfati.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(–)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Goniurosaurus spp.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(“leopard gecko”)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(popolazzjonijiet taċ-Ċina u tal-Vjetnam)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Inkludi l-ispeċi taċ-Ċina u tal-Vjetnam fl-App 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Iċ-Ċina, l-Unjoni Ewropea, il-Vjetnam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Itlob korrezzjoni tal-preżentazzjoni tal-proposta ta’ elenkar fuq is-sit web tas-CITES CoP18 minn “</w:t>
            </w:r>
            <w:r>
              <w:rPr>
                <w:i/>
                <w:noProof/>
                <w:color w:val="000000" w:themeColor="text1"/>
                <w:sz w:val="20"/>
              </w:rPr>
              <w:t>popolazzjonijiet</w:t>
            </w:r>
            <w:r>
              <w:rPr>
                <w:noProof/>
                <w:color w:val="000000" w:themeColor="text1"/>
                <w:sz w:val="20"/>
              </w:rPr>
              <w:t xml:space="preserve"> taċ-Ċina u l-Vjetnam” għal “</w:t>
            </w:r>
            <w:r>
              <w:rPr>
                <w:i/>
                <w:noProof/>
                <w:color w:val="000000" w:themeColor="text1"/>
                <w:sz w:val="20"/>
              </w:rPr>
              <w:t>speċi</w:t>
            </w:r>
            <w:r>
              <w:rPr>
                <w:noProof/>
                <w:color w:val="000000" w:themeColor="text1"/>
                <w:sz w:val="20"/>
              </w:rPr>
              <w:t xml:space="preserve"> taċ-Ċina u l-Vjetnam”, f’konformità mat-test tal-proposta ta’ elenkar kif ippreżentat oriġinarjament.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Gekko gecko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(wiżgħa Tokay)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L-Unjoni Ewropea, l-Indja, il-Filippini, l-Istati Uniti tal-Amerka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Gonatodes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>daudini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(wiżgħa bi dwiefer tal-Grenadini)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Saint Vincent u l-Grenadini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L-ispeċi tissodisfa l-kriterji bijoloġiċi għall-elenkar fl-Appendiċi I. Il-kummerċ internazzjonali rrappurtat ftit wara l-iskoperta tal-ispeċi għadu għaddej, għalkemm il-ġbir tagħhom fil-ħabitat naturali mhuwiex permess.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Paroedura androyensis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noProof/>
                <w:color w:val="000000" w:themeColor="text1"/>
              </w:rPr>
              <w:t>(</w:t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wiżgħa tal-art ta’ Grandidier ta’ Madagascar</w:t>
            </w:r>
            <w:r>
              <w:rPr>
                <w:rStyle w:val="Bodytext2"/>
                <w:noProof/>
                <w:color w:val="000000" w:themeColor="text1"/>
              </w:rPr>
              <w:t>)</w:t>
            </w:r>
            <w:r>
              <w:rPr>
                <w:noProof/>
              </w:rPr>
              <w:t xml:space="preserve"> (“Grandidier's Madagascar ground gecko”)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12" w:lineRule="exact"/>
              <w:jc w:val="left"/>
              <w:rPr>
                <w:rStyle w:val="Bodytext2"/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L-Unjoni Ewropea, Madagascar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Ctenosaura </w:t>
            </w:r>
            <w:r>
              <w:rPr>
                <w:noProof/>
                <w:color w:val="000000" w:themeColor="text1"/>
                <w:sz w:val="20"/>
              </w:rPr>
              <w:t>spp.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(igwana denbha mxewwek)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12" w:lineRule="exact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El Salvador u l-Messiku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Il-proposta tissodisfa l-kriterji għall-elenkar; diversi speċijiet tal-ġeneru jistgħu jsiru eliġibbli għall-inklużjoni fl-Appendiċi I fil-futur jekk il-kummerċ ma jkunx regolat billi għandhom jew popolazzjonijiet żgħar, żoni ristretti ta’ distribuzzjoni u esperjenzaw tnaqqis fil-popolazzjoni, jew taħlita ta’ dawn it-tliet kriterji, u huma vulnerabbli ħafna jew għal fatturi intrinsiċi jew estrinsiċi.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Pseudocerastes urarachnoides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(“spider-tailed horned viper”)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L-Iran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Iktar informazzjoni hija meħtieġa biex turi li l-kriterju dwar il-</w:t>
            </w:r>
            <w:r>
              <w:rPr>
                <w:i/>
                <w:noProof/>
                <w:color w:val="000000" w:themeColor="text1"/>
                <w:sz w:val="20"/>
              </w:rPr>
              <w:t>kummerċ</w:t>
            </w:r>
            <w:r>
              <w:rPr>
                <w:noProof/>
                <w:color w:val="000000" w:themeColor="text1"/>
                <w:sz w:val="20"/>
              </w:rPr>
              <w:t xml:space="preserve"> ġie ssodisfat. Hemm informazzjoni limitata disponibbli fil-proposta dwar il-firxa tal-ġbir mis-selvaġġ u l-kummerċ internazzjonali tal-ispeċi (b’evidenza ta’ numru żgħir biss ta’ li jidhru fil-kummerċ barra mill-firxa tal-Istat tal-ispeċi), u għalkemm l-ispeċi hija kklassifikata bħala “fil-periklu fuq livell nazzjonali”, hemm nuqqas ta’ </w:t>
            </w:r>
            <w:r>
              <w:rPr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noProof/>
                <w:color w:val="000000" w:themeColor="text1"/>
                <w:sz w:val="20"/>
              </w:rPr>
              <w:t xml:space="preserve"> biex tindika d-daqs tal-popolazzjoni, id-distribuzzjoni, jew jekk l-ispeċi hux qiegħda tonqos.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Cuora bourreti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(“Bourret’s box turtle”)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Il-Vjetnam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t-trasferiment għall-App. I; speċi “f’periklu kritiku” li tissodisfa mill-inqas il-kriterju C.i) fl-Anness 1 tar-Riż. Konf. 9.24 u hija kkumerċjalizzata b’mod qawwi.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Cuora picturata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noProof/>
                <w:color w:val="000000" w:themeColor="text1"/>
              </w:rPr>
              <w:t>(</w:t>
            </w:r>
            <w:r>
              <w:rPr>
                <w:noProof/>
              </w:rPr>
              <w:t>“</w:t>
            </w:r>
            <w:r>
              <w:rPr>
                <w:noProof/>
                <w:color w:val="000000" w:themeColor="text1"/>
                <w:sz w:val="20"/>
              </w:rPr>
              <w:t>Vietnamese box turtle”)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Il-Vjetnam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t-trasferiment għall-App. I; speċi “f’periklu kritiku” li tissodisfa l-kriterji bijoloġiċi kollha tar-Riż. Konf. 9.24 għall-Appendiċi I u hija kkumerċjalizzata b’mod qawwi. Il-proposta hija riżultat ta’ rakkomandazzjoni tar-Rieżami Perjodiku.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Mauremys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>annamensis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(fekruna tal-ħawt Annam)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Il-Vjetnam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t-trasferiment għall-App. I; speċi “f’periklu kritiku” li tissodisfa mill-inqas il-kriterju C.i) fl-Anness 1 tar-Riż. Konf. 9.24 u hija kkumerċjalizzata b’mod qawwi. Il-proposta hija riżultat ta’ rakkomandazzjoni tar-Rieżami Perjodiku.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Geochelone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>elegans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(fekruna stilla Indjana)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Il-Bangladesh, l-Indja, is-Senegal u s-Sri Lanka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L-elenkar huwa propost b’mod konġunt mill-maġġoranza tal-istati tal-firxa. Madankollu, aktar informazzjoni tkun utli biex tikkonferma li l-kriterji bijoloġiċi fl-Anness 1 tar-Riż. Konf. 9.24 jiġu ssodisfati. Il-kummerċ illegali huwa ta’ tħassib kbir, għalkemm il-ħsad u l-kummerċ ta’ eżemplari selvaġġi huma diġà pprojbiti fl-Istati fil-firxa. It-tħassib dwar l-użu ħażin tal-kodiċi tas-sors C u l-ħasil potenzjali ta’ eżemplari selvaġġi permezz ta’ operazzjonijiet ta tgħammir fil-magħluq diġà qed jiġu indirizzati mis-CITES skont ir-Riżoluzzjoni Konf. 17.7.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Malacochersus tornieri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(fekruna ċatta)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–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Trasferita mill-App. II għall-App.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Il-Kenja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L-Istati Uniti tal-Amerka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l-proposta. L-iktar Valutazzjoni tal-Lista l-Ħamra riċenti (2018) ivvalutat l-ispeċi bħala f’“ Perikolu Kritiku". Il-proposta tidher li hija proporzjonata mar-riskji antiċipati għall-ispeċi, li hija f’domanda konsiderevoli mis-settur tal-kummerċ u milquta minn kummerċ illegali. L-isfruttament żejjed huwa rrappurtat bħala fattur ewlieni li bħalissa jaffettwa l-popolazzjonijiet tal-ispeċi. L-ispeċi tidher li tissodisfa l-kriterji għall-elenkar tal-Appendiċi I. 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Hyalinobatrachium </w:t>
            </w:r>
            <w:r>
              <w:rPr>
                <w:noProof/>
                <w:color w:val="000000" w:themeColor="text1"/>
                <w:sz w:val="20"/>
              </w:rPr>
              <w:t xml:space="preserve">spp., </w:t>
            </w:r>
            <w:r>
              <w:rPr>
                <w:i/>
                <w:noProof/>
                <w:color w:val="000000" w:themeColor="text1"/>
                <w:sz w:val="20"/>
              </w:rPr>
              <w:t>Centrolene</w:t>
            </w:r>
            <w:r>
              <w:rPr>
                <w:noProof/>
                <w:color w:val="000000" w:themeColor="text1"/>
                <w:sz w:val="20"/>
              </w:rPr>
              <w:t xml:space="preserve"> spp., </w:t>
            </w:r>
            <w:r>
              <w:rPr>
                <w:i/>
                <w:noProof/>
                <w:color w:val="000000" w:themeColor="text1"/>
                <w:sz w:val="20"/>
              </w:rPr>
              <w:t>Cochranella</w:t>
            </w:r>
            <w:r>
              <w:rPr>
                <w:noProof/>
                <w:color w:val="000000" w:themeColor="text1"/>
                <w:sz w:val="20"/>
              </w:rPr>
              <w:t xml:space="preserve"> spp., u </w:t>
            </w:r>
            <w:r>
              <w:rPr>
                <w:i/>
                <w:noProof/>
                <w:color w:val="000000" w:themeColor="text1"/>
                <w:sz w:val="20"/>
              </w:rPr>
              <w:t>Sachatamia</w:t>
            </w:r>
            <w:r>
              <w:rPr>
                <w:noProof/>
                <w:color w:val="000000" w:themeColor="text1"/>
                <w:sz w:val="20"/>
              </w:rPr>
              <w:t xml:space="preserve"> spp.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(żrinġijiet tal-ħġieġ)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Il-Costa Rica,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El Salvador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L-UE tista’ tappoġġa proposta iktar limitata jekk il-proponenti jiddeċiedu li jillimitawha għal dawk l-ispeċi li għalihom jista’ jintwera li jissodisfaw il-kriterji għall-elenkar. Madankollu, minħabba nuqqas ta’ </w:t>
            </w:r>
            <w:r>
              <w:rPr>
                <w:i/>
                <w:noProof/>
                <w:color w:val="000000" w:themeColor="text1"/>
                <w:sz w:val="20"/>
              </w:rPr>
              <w:t>data</w:t>
            </w:r>
            <w:r>
              <w:rPr>
                <w:noProof/>
                <w:color w:val="000000" w:themeColor="text1"/>
                <w:sz w:val="20"/>
              </w:rPr>
              <w:t xml:space="preserve"> dwar il-popolazzjoni, u minħabba li l-kummerċ irrappurtat iseħħ l-aktar fi speċi ta’ "Inqas Tħassib", l-inklużjoni fl-App. II tal-104 speċi kollha li jappartjenu għal erba’ ġeneri ma tidhirx proporzjonata. Tenħtieġ aktar informazzjoni dwar dawk l-ispeċi li għalihom il-kummerċ huwa l-aktar prevalenti.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(–)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Echinotriton chinhaiensis </w:t>
            </w:r>
            <w:r>
              <w:rPr>
                <w:noProof/>
                <w:color w:val="000000" w:themeColor="text1"/>
                <w:sz w:val="20"/>
              </w:rPr>
              <w:t>u </w:t>
            </w:r>
            <w:r>
              <w:rPr>
                <w:i/>
                <w:noProof/>
                <w:color w:val="000000" w:themeColor="text1"/>
                <w:sz w:val="20"/>
              </w:rPr>
              <w:t>Echinotriton maxiquadratus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(“spiny newts”)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Iċ-Ċina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Calibri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L-ispeċijiet jissodisfaw il-kriterji bijoloġiċi għall-elenkar fl-Appendiċi I.</w:t>
            </w:r>
            <w:r>
              <w:rPr>
                <w:rFonts w:ascii="Calibri" w:hAnsi="Calibri"/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  <w:sz w:val="20"/>
              </w:rPr>
              <w:t>Il-konservazzjoni tagħhom tibbenefika mill-protezzjoni internazzjonali. Anki jekk il-livelli tal-kummerċ internazzjonali jidhru baxxi, kwalunkwe kummerċ ta’ eżemplari selvaġġ jista’ jkun ta’ detriment għas-sopravivenza tal-popolazzjonijiet, billi l-popolazzjonijiet huma żgħar ħafna u qed jonqsu.</w:t>
            </w:r>
          </w:p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Echinotriton</w:t>
            </w:r>
            <w:r>
              <w:rPr>
                <w:noProof/>
              </w:rPr>
              <w:t xml:space="preserve"> ġie maqsum minn </w:t>
            </w:r>
            <w:r>
              <w:rPr>
                <w:i/>
                <w:noProof/>
              </w:rPr>
              <w:t>Tylototriton</w:t>
            </w:r>
            <w:r>
              <w:rPr>
                <w:noProof/>
              </w:rPr>
              <w:t xml:space="preserve"> (proposta għall-elenkar nru 41) biss fl-1982.</w:t>
            </w:r>
            <w:r>
              <w:rPr>
                <w:noProof/>
                <w:color w:val="000000" w:themeColor="text1"/>
                <w:sz w:val="20"/>
              </w:rPr>
              <w:t xml:space="preserve"> Għalhekk, l-elenkar taż-żewġ ġeneri huwa wkoll xieraq fuq il-bażi tal-kriterju li jidhru simili.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Paramesotriton spp.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(gremxul tal-ilma bil-felul)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Iċ-Ċina, l-Unjoni Ewropea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Tylototriton spp.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(gremxul tal-ilma li jixbah il-kukkudrilli)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Iċ-Ċina, l-Unjoni Ewropea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Isurus oxyrinchus </w:t>
            </w:r>
            <w:r>
              <w:rPr>
                <w:noProof/>
                <w:color w:val="000000" w:themeColor="text1"/>
                <w:sz w:val="20"/>
              </w:rPr>
              <w:t>u</w:t>
            </w:r>
            <w:r>
              <w:rPr>
                <w:i/>
                <w:noProof/>
                <w:color w:val="000000" w:themeColor="text1"/>
                <w:sz w:val="20"/>
              </w:rPr>
              <w:t xml:space="preserve"> Isurus paucus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(pixxitondi)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Il-Bangladesh, il-Benin, il-Bhutan, il-Brażil, il-Burkina Faso, Cape Verde, iċ-Chad, il-Kosta tal-Avorju, ir-Repubblika Dominikana, l-Eġittu, l-Unjoni Ewropea, il-Gabon, il-Gambja, il-Ġordan, il-Libanu, il-Liberja, il-Maldivi, il-Mali, il-Messiku, in-Nepal, in-Niġer, in-Niġerja, Palau, Samoa, is-Senegal, is-Sri Lanka, is-Sudan, it-Togo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 Il-pożizzjoni għandha tiġi ffinalizzata billi jitqiesu r-riżultati tal-valutazzjonijiet mill-Bord Konsultattiv Espert tal-FAO, mis-Segretarjat tas-CITES u mill-IUCN.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Glaucostegus spp.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(“guitarfishes”)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Il-Bangladesh, il-Benin, il-Bhutan, il-Brażil, il-Burkina Faso, Cape Verde, iċ-Chad, il-Kosta tal-Avorju, l-Eġittu, l-Unjoni Ewropea, il-Gabon, il-Gambja, il-Maldivi, il-Mali, il-Mauritania, Monaco, in-Nepal, in-Niġer, in-Niġerja, Palau, is-Senegal, Sierra Leone, is-Sri Lanka, ir-Repubblika Għarbija Sirjana, it-Togo, l-Ukrajna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Rhinidae spp.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“wedgefishes”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Il-Bangladesh, il-Benin, il-Bhutan, il-Brażil, il-Burkina Faso, Cape Verde, iċ-Chad, il-Kosta tal-Avorju, l-Eġittu, l-Etjopja, l-Unjoni Ewropea, Fiġi, il-Gabon, il-Gambja, l-Indja, il-Ġordan, il-Kenja, il-Libanu, il-Maldivi, il-Mali, il-Messiku, Monaco, in-Nepal, in-Niġer, in-Niġerja, Palau, il-Filippini, l-Arabja Sawdija, is-Senegal, is-Seychelles, is-Sri Lanka, is-Sudan, ir-Repubblika Għarbija Sirjana, it-Togo, l-Ukrajna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Holothuria (Microthele) fuscogilva, Holothuria (Microthele) nobilis, Holothuria (Microthele) whitmaei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(bużżi)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L-Unjoni Ewropea,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il-Kenja, is-Senegal, is-Seychelles, l-Istati Uniti tal-Amerka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Poecilotheria </w:t>
            </w:r>
            <w:r>
              <w:rPr>
                <w:noProof/>
                <w:color w:val="000000" w:themeColor="text1"/>
                <w:sz w:val="20"/>
              </w:rPr>
              <w:t>spp.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(brimb ornamentali)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Is-Sri Lanka,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L-Istati Uniti tal-Amerka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b’mod tentattiv. L-ispeċijiet kollha jidhru li jissodisfaw tal-inqas uħud mill-kriterji għall-elenkar tal-Appendiċi II. Jista’ jkun hemm diffikultajiet fl-implimentazzjoni fir-rigward tal-identifikazzjoni ta’ eżemplari mrobbija fil-magħluq.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Achillides chikae hermeli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(“Mindoro peacock swallowtail”)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t>L-Unjoni Ewropea,</w:t>
            </w:r>
            <w:r>
              <w:rPr>
                <w:rStyle w:val="Bodytext2"/>
                <w:rFonts w:ascii="Times New Roman" w:hAnsi="Times New Roman" w:cs="Times New Roman"/>
                <w:noProof/>
                <w:color w:val="000000" w:themeColor="text1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t>Il-Filippini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Parides burchellanus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(“riverside swallowtail”)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Il-Brażil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 l-proposta. </w:t>
            </w:r>
            <w:r>
              <w:rPr>
                <w:i/>
                <w:noProof/>
                <w:color w:val="000000" w:themeColor="text1"/>
                <w:sz w:val="20"/>
              </w:rPr>
              <w:t>L-ispeċi tissodisfa l-kriterji għall-elenkar tal-Appendiċi I. L-ispeċi</w:t>
            </w:r>
            <w:r>
              <w:rPr>
                <w:noProof/>
                <w:color w:val="000000" w:themeColor="text1"/>
                <w:sz w:val="20"/>
              </w:rPr>
              <w:t xml:space="preserve"> timmanifesta f’numri tal-kummerċ u minħabba d-daqs żgħir tal-popolazzjoni, kwalunkwe kummerċ jista’ jkun ta’ detriment.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 xml:space="preserve">Handroanthus </w:t>
            </w:r>
            <w:r>
              <w:rPr>
                <w:noProof/>
                <w:color w:val="000000" w:themeColor="text1"/>
                <w:sz w:val="20"/>
              </w:rPr>
              <w:t>spp</w:t>
            </w:r>
            <w:r>
              <w:rPr>
                <w:i/>
                <w:noProof/>
                <w:color w:val="000000" w:themeColor="text1"/>
                <w:sz w:val="20"/>
              </w:rPr>
              <w:t xml:space="preserve">., 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 xml:space="preserve">Tabebuia </w:t>
            </w:r>
            <w:r>
              <w:rPr>
                <w:noProof/>
                <w:color w:val="000000" w:themeColor="text1"/>
                <w:sz w:val="20"/>
              </w:rPr>
              <w:t>spp. u 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i/>
                <w:noProof/>
                <w:color w:val="000000" w:themeColor="text1"/>
                <w:sz w:val="20"/>
              </w:rPr>
              <w:t xml:space="preserve">Roseodendron </w:t>
            </w:r>
            <w:r>
              <w:rPr>
                <w:noProof/>
                <w:color w:val="000000" w:themeColor="text1"/>
                <w:sz w:val="20"/>
              </w:rPr>
              <w:t>spp.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(“trumpet trees”)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Għandhom jiġu inklużi fl-App. I bin-notazzjoni #6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Il-Brażil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Appoġġa. Il-kriterji fir-Riżoluzzjonijiet 9.24 u 11.21 intlaħqu. Speċijiet tal-ġeneru </w:t>
            </w:r>
            <w:r>
              <w:rPr>
                <w:i/>
                <w:noProof/>
                <w:color w:val="000000" w:themeColor="text1"/>
                <w:sz w:val="20"/>
              </w:rPr>
              <w:t>Handroanthus</w:t>
            </w:r>
            <w:r>
              <w:rPr>
                <w:noProof/>
                <w:color w:val="000000" w:themeColor="text1"/>
                <w:sz w:val="20"/>
              </w:rPr>
              <w:t xml:space="preserve"> huma magħrufa li huma fil-kummerċ għall-kostruzzjoni u għall-użu fuq barra. Reviżjonijiet xjentifiċi jissuġġerixxu li dan il-kummerċ huwa responsabbli għat-tnaqqis fil-popolazzjoni u għandu impatt detrimentali fuq l-istat tal-ispeċi. </w:t>
            </w:r>
            <w:r>
              <w:rPr>
                <w:i/>
                <w:noProof/>
                <w:color w:val="000000" w:themeColor="text1"/>
                <w:sz w:val="20"/>
              </w:rPr>
              <w:t>Tabebuia</w:t>
            </w:r>
            <w:r>
              <w:rPr>
                <w:noProof/>
                <w:color w:val="000000" w:themeColor="text1"/>
                <w:sz w:val="20"/>
              </w:rPr>
              <w:t xml:space="preserve"> u </w:t>
            </w:r>
            <w:r>
              <w:rPr>
                <w:i/>
                <w:noProof/>
                <w:color w:val="000000" w:themeColor="text1"/>
                <w:sz w:val="20"/>
              </w:rPr>
              <w:t xml:space="preserve">Roseodendron </w:t>
            </w:r>
            <w:r>
              <w:rPr>
                <w:noProof/>
                <w:color w:val="000000" w:themeColor="text1"/>
                <w:sz w:val="20"/>
              </w:rPr>
              <w:t xml:space="preserve">jinsabu fil-kummerċ bl-istess isem kummerċjali u xjentifiku, u huwa diffiċli li l-injam jiġi distint minn </w:t>
            </w:r>
            <w:r>
              <w:rPr>
                <w:i/>
                <w:noProof/>
                <w:color w:val="000000" w:themeColor="text1"/>
                <w:sz w:val="20"/>
              </w:rPr>
              <w:t>Handroanthus</w:t>
            </w:r>
            <w:r>
              <w:rPr>
                <w:noProof/>
                <w:color w:val="000000" w:themeColor="text1"/>
                <w:sz w:val="20"/>
              </w:rPr>
              <w:t>. L-ambitu tal-proposta huwa ġġustifikat sew minn raġunijiet simili. L-UE hija importatur ta’ livell sinifikanti madwar id-dinja.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Widdringtonia whytei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(“Mulanje Cedar”)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–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Il-Malawi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Opponi sakemm il-Malawi ma jippreżentax evidenza ta’ kummerċ internazzjonali ta’ ħsara għall-konservazzjoni tal-ispeċi. L-ispeċi tista’ minflok tibbenefika minn elenkar fl-Appendiċi 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63"/>
              </w:tabs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(–)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Dalbergia sissoo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noProof/>
                <w:color w:val="000000" w:themeColor="text1"/>
              </w:rPr>
              <w:t>(</w:t>
            </w:r>
            <w:r>
              <w:rPr>
                <w:noProof/>
                <w:color w:val="000000" w:themeColor="text1"/>
                <w:sz w:val="20"/>
              </w:rPr>
              <w:t>rosewood tat-Tramuntana tal-Indja)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– 0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Ħassar mill-App.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Il-Bangladesh, il-Bhutan, l-Indja u n-Nepal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L-ispeċi hija komuni u ma tissodisfax il-kriterji bijoloġiċi għall-App II, iżda huwa probabbli ħafna li xorta tissodisfa l-kriterju ta’ Riż 9.24 (kriterju A tal-Anness 2 b). Din il-proposta għandha titqies ukoll flimkien mal-emendi proposti għall-annotazzjoni #15.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(–)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Dalbergia </w:t>
            </w:r>
            <w:r>
              <w:rPr>
                <w:noProof/>
                <w:color w:val="000000" w:themeColor="text1"/>
                <w:sz w:val="20"/>
              </w:rPr>
              <w:t xml:space="preserve">spp., </w:t>
            </w:r>
            <w:r>
              <w:rPr>
                <w:i/>
                <w:noProof/>
                <w:color w:val="000000" w:themeColor="text1"/>
                <w:sz w:val="20"/>
              </w:rPr>
              <w:t>Guibourtia demeusei</w:t>
            </w:r>
            <w:r>
              <w:rPr>
                <w:noProof/>
                <w:color w:val="000000" w:themeColor="text1"/>
                <w:sz w:val="20"/>
              </w:rPr>
              <w:t xml:space="preserve">, </w:t>
            </w:r>
            <w:r>
              <w:rPr>
                <w:i/>
                <w:noProof/>
                <w:color w:val="000000" w:themeColor="text1"/>
                <w:sz w:val="20"/>
              </w:rPr>
              <w:t>Guibourtia pellegriniana</w:t>
            </w:r>
            <w:r>
              <w:rPr>
                <w:noProof/>
                <w:color w:val="000000" w:themeColor="text1"/>
                <w:sz w:val="20"/>
              </w:rPr>
              <w:t xml:space="preserve">, </w:t>
            </w:r>
            <w:r>
              <w:rPr>
                <w:i/>
                <w:noProof/>
                <w:color w:val="000000" w:themeColor="text1"/>
                <w:sz w:val="20"/>
              </w:rPr>
              <w:t>Guibourtia tessmannii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(rosewoods, palisanders u bubingas)</w:t>
            </w:r>
          </w:p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Annotazzjoni #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l-annotazzjoni #15 kif ġej: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“Il-partijiet u d-derivattivi kollha, ħlief għal:</w:t>
            </w:r>
          </w:p>
          <w:p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weraq, fjuri, għabra tad-dakra, frott, u żrieragħ;</w:t>
            </w:r>
          </w:p>
          <w:p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prodotti lesti sa piż massimu ta’ injam tal-ispeċi elenkati ta’ 500g għal kull oġġett;</w:t>
            </w:r>
          </w:p>
          <w:p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strumenti mużikali lesti, partijiet tal-istrumenti mużikali lesti u aċċessorji tal-istrumenti mużikali lesti;</w:t>
            </w:r>
          </w:p>
          <w:p>
            <w:pPr>
              <w:numPr>
                <w:ilvl w:val="0"/>
                <w:numId w:val="10"/>
              </w:numPr>
              <w:spacing w:before="0"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partijiet u derivati ta’ </w:t>
            </w:r>
            <w:r>
              <w:rPr>
                <w:i/>
                <w:noProof/>
                <w:color w:val="000000" w:themeColor="text1"/>
                <w:sz w:val="20"/>
              </w:rPr>
              <w:t>Dalbergia cochinchinensis</w:t>
            </w:r>
            <w:r>
              <w:rPr>
                <w:noProof/>
                <w:color w:val="000000" w:themeColor="text1"/>
                <w:sz w:val="20"/>
              </w:rPr>
              <w:t xml:space="preserve"> u li huma koperti mill-Annotazzjoni #4;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partijiet u derivati ta’ </w:t>
            </w:r>
            <w:r>
              <w:rPr>
                <w:i/>
                <w:noProof/>
                <w:color w:val="000000" w:themeColor="text1"/>
                <w:sz w:val="20"/>
              </w:rPr>
              <w:t>Dalbergia</w:t>
            </w:r>
            <w:r>
              <w:rPr>
                <w:noProof/>
                <w:color w:val="000000" w:themeColor="text1"/>
                <w:sz w:val="20"/>
              </w:rPr>
              <w:t xml:space="preserve"> spp. li joriġinaw u huma esportati mill-Messiku u li huma koperti mill-Annotazzjoni #6.”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t>Il-Kanada,</w:t>
            </w:r>
            <w:r>
              <w:rPr>
                <w:rStyle w:val="Bodytext2"/>
                <w:rFonts w:ascii="Times New Roman" w:hAnsi="Times New Roman" w:cs="Times New Roman"/>
                <w:noProof/>
                <w:color w:val="000000" w:themeColor="text1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</w:rPr>
              <w:t>L-Unjoni Ewropea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Pericopsis elata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(afrormosia)</w:t>
            </w:r>
          </w:p>
          <w:p>
            <w:pPr>
              <w:spacing w:after="0"/>
              <w:jc w:val="left"/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</w:t>
            </w:r>
            <w:r>
              <w:rPr>
                <w:rFonts w:eastAsia="Times New Roman"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Annotazzjoni #5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Espandi l-ambitu tal-annotazzjoni għal </w:t>
            </w:r>
            <w:r>
              <w:rPr>
                <w:i/>
                <w:noProof/>
                <w:color w:val="000000" w:themeColor="text1"/>
                <w:sz w:val="20"/>
              </w:rPr>
              <w:t>Pericopsis elata</w:t>
            </w:r>
            <w:r>
              <w:rPr>
                <w:noProof/>
                <w:color w:val="000000" w:themeColor="text1"/>
                <w:sz w:val="20"/>
              </w:rPr>
              <w:t xml:space="preserve"> (bħalissa #5) biex jinkludi l-plywood u l-injam trasformat kif ġej: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“Iz-zkuk, l-injam isserrat, il-fuljetta, il-plywood u l-injam trasformat</w:t>
            </w:r>
            <w:r>
              <w:rPr>
                <w:noProof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</w:rPr>
              <w:t>.”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</w:rPr>
              <w:t> Fejn injam trasformat huwa definit skont il-kodiċi HS 44.09: Injam (inkluż strixxi u freġji għal kisi ta’ art bil-parkè, mhux immuntat) b’forma kontinwa (mudullun, irbattut, ingastat-V, imżebbeġ jew simili) tul xi xifer, tarf jew wiċċ tiegħu, inċanat, xkatlat jew imminċottat fit-truf jew le.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Il-Kosta tal-Avorju,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L-Unjoni Ewropea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Proposta konġunta mill-UE.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Pterocarpus tinctorius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(padauk Afrikan)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Il-Malawi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iżda ipproponi annotazzjoni (annotazzjoni #5 emendata b’mod potenzjali). L-ispeċi tissodisfa l-kriterji bijoloġiċi għall-elenkar fl-Appendiċi II kif ukoll il-kriterju dwar il-kummerċ (l-isfruttament huwa theddida sinifikanti għall-konservazzjoni tal-ispeċi, bil-qtugħ illegali ta’ zkuk matul l-aħħar snin biex tkun sodisfatta d-domanda mill-kontinent Ażjatiku). L-inklużjoni fl-Appendiċi II tipprovdi stimulant għall-ġlieda kontra l-kummerċ illegali.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Aloe ferox</w:t>
            </w:r>
            <w:r>
              <w:rPr>
                <w:rFonts w:eastAsia="Times New Roman"/>
                <w:i/>
                <w:iCs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(Aloe morra)</w:t>
            </w:r>
          </w:p>
          <w:p>
            <w:pPr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għall-Annotazzjoni #4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“Emenda l-annotazzjoni #4 għal </w:t>
            </w:r>
            <w:r>
              <w:rPr>
                <w:i/>
                <w:noProof/>
                <w:color w:val="000000" w:themeColor="text1"/>
                <w:sz w:val="20"/>
              </w:rPr>
              <w:t>Aloe ferox</w:t>
            </w:r>
            <w:r>
              <w:rPr>
                <w:noProof/>
                <w:color w:val="000000" w:themeColor="text1"/>
                <w:sz w:val="20"/>
              </w:rPr>
              <w:t xml:space="preserve"> kif ġej: Il-partijiet u d-derivattivi kollha, ħlief għal: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[…]</w:t>
            </w:r>
          </w:p>
          <w:p>
            <w:pPr>
              <w:spacing w:before="0" w:after="0"/>
              <w:ind w:left="720" w:hanging="72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f.</w:t>
            </w:r>
            <w:r>
              <w:rPr>
                <w:noProof/>
              </w:rPr>
              <w:tab/>
            </w:r>
            <w:r>
              <w:rPr>
                <w:noProof/>
                <w:color w:val="000000" w:themeColor="text1"/>
                <w:sz w:val="20"/>
              </w:rPr>
              <w:t>prodotti lesti</w:t>
            </w:r>
            <w:r>
              <w:rPr>
                <w:noProof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noProof/>
                <w:color w:val="000000" w:themeColor="text1"/>
                <w:sz w:val="20"/>
              </w:rPr>
              <w:t xml:space="preserve"> tal-</w:t>
            </w:r>
            <w:r>
              <w:rPr>
                <w:i/>
                <w:noProof/>
                <w:color w:val="000000" w:themeColor="text1"/>
                <w:sz w:val="20"/>
                <w:u w:val="single"/>
              </w:rPr>
              <w:t>Aloe ferox</w:t>
            </w:r>
            <w:r>
              <w:rPr>
                <w:noProof/>
                <w:color w:val="000000" w:themeColor="text1"/>
                <w:sz w:val="20"/>
                <w:u w:val="single"/>
              </w:rPr>
              <w:t> u</w:t>
            </w:r>
            <w:r>
              <w:rPr>
                <w:noProof/>
                <w:color w:val="000000" w:themeColor="text1"/>
                <w:sz w:val="20"/>
              </w:rPr>
              <w:t xml:space="preserve"> l-</w:t>
            </w:r>
            <w:r>
              <w:rPr>
                <w:i/>
                <w:noProof/>
                <w:color w:val="000000" w:themeColor="text1"/>
                <w:sz w:val="20"/>
              </w:rPr>
              <w:t>Euphorbia antisyphilitica</w:t>
            </w:r>
            <w:r>
              <w:rPr>
                <w:noProof/>
                <w:color w:val="000000" w:themeColor="text1"/>
                <w:sz w:val="20"/>
              </w:rPr>
              <w:t xml:space="preserve"> ippakkjati u lesti għall-kummerċ bl-imnut.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vertAlign w:val="superscript"/>
              </w:rPr>
              <w:t>1 </w:t>
            </w:r>
            <w:r>
              <w:rPr>
                <w:noProof/>
                <w:color w:val="000000" w:themeColor="text1"/>
                <w:sz w:val="20"/>
              </w:rPr>
              <w:t>Dan it-terminu, kif użat fl-Appendiċi tas-CITES jirreferi għal prodott, mibgħut bil-baħar bħala oġġett wieħed jew fi kwantitajiet kbar, li ma jeħtieġx aktar ipproċessar, ippakkjar, ittikkettjar għall-użu finali jew il-kummerċ bl-imnut fi stat tajjeb biex jinbiegħ lil jew jintuża mill-pubbliku ġenerali.”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L-Afrika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t’Isfel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iżda ipproponi abbozz ta’ deċiżjoni(jiet) li jinnomina lill-Kumitat tal-Pjanti responsabbli għall-monitoraġġ tal-impatt tal-emenda proposta u l-implimentazzjoni tal-miżuri ta’ ġestjoni. Jiġu ssodisfati l-kriterji tar-Riżoluzzjoni 11.21.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Adansonia grandidieri</w:t>
            </w:r>
            <w:r>
              <w:rPr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rStyle w:val="Bodytext2"/>
                <w:rFonts w:ascii="Times New Roman" w:hAnsi="Times New Roman"/>
                <w:noProof/>
                <w:color w:val="000000" w:themeColor="text1"/>
                <w:sz w:val="20"/>
              </w:rPr>
              <w:t>(“Grandidier's baobab”)</w:t>
            </w:r>
          </w:p>
          <w:p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Emenda għall-Annotazzjoni #16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II – II</w:t>
            </w:r>
          </w:p>
          <w:p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“Żrieragħ, frott, żjut u pjanti ħajjin” għall-elenkar ta’ </w:t>
            </w:r>
            <w:r>
              <w:rPr>
                <w:i/>
                <w:noProof/>
                <w:color w:val="000000" w:themeColor="text1"/>
                <w:sz w:val="20"/>
              </w:rPr>
              <w:t>Adansonia grandidieri</w:t>
            </w:r>
            <w:r>
              <w:rPr>
                <w:noProof/>
                <w:color w:val="000000" w:themeColor="text1"/>
                <w:sz w:val="20"/>
              </w:rPr>
              <w:t>  fl-Appendiċi II billi titħassar ir-referenza għall-pjanti ħajjin, sabiex tinqara: “#16 Żrieragħ, frott u żjut”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L-Iżvizzera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Appoġġa. Jiġu ssodisfati l-kriterji tar-Riżoluzzjoni 11.21.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+</w:t>
            </w:r>
          </w:p>
        </w:tc>
      </w:tr>
      <w:t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i/>
                <w:noProof/>
                <w:color w:val="000000" w:themeColor="text1"/>
                <w:sz w:val="20"/>
              </w:rPr>
              <w:t>Cedrela </w:t>
            </w:r>
            <w:r>
              <w:rPr>
                <w:noProof/>
                <w:color w:val="000000" w:themeColor="text1"/>
                <w:sz w:val="20"/>
              </w:rPr>
              <w:t>spp</w:t>
            </w:r>
            <w:r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  <w:br/>
            </w:r>
            <w:r>
              <w:rPr>
                <w:noProof/>
                <w:color w:val="000000" w:themeColor="text1"/>
                <w:sz w:val="20"/>
              </w:rPr>
              <w:t>(ċedru)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0 - II</w:t>
            </w:r>
          </w:p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Għandu jiġi inkluż fl-App. 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rFonts w:eastAsia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L-Ekwador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Appoġġa jekk annotazzjoni hija inkluża fil-proposta bil-ħsieb li jiġu ristretti l-kontrolli tas-CITES għal dawk il-komoditajiet li l-ewwel jidhru fil-kummerċ internazzjonali bħala esportazzjonijiet minn Stati tal-firxa (li għandhom jiġu vvalutati u diskussi ma’ proponenti jekk eż. il-proposta għall-Annotazzjoni #5 emendata tkun xierqa), u jekk il-proposta hija ristretta għall-popolazzjonijiet tat-tropiċi l-ġodda. L-unità tassonomika tissodisfa l-kriterji bijoloġiċi għall-elenkar fl-Appendiċi II (hemm evidenza ċara ta’ tnaqqis fid-daqs tal-popolazzjoni), kif ukoll il-kriterju dwar il-kummerċ (uħud mill-ispeċi tal-ġeneru huma nnegozjati b’mod sinifikanti fuq livell internazzjonali, bl-isfruttament jiġi rikonoxxut bħala theddida għall-konservazzjoni tal-ispeċi). L-UE hija importatur minuri madwar id-dinja.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</w:rPr>
              <w:t>(+)</w:t>
            </w:r>
          </w:p>
        </w:tc>
      </w:tr>
    </w:tbl>
    <w:p>
      <w:pPr>
        <w:rPr>
          <w:noProof/>
          <w:color w:val="000000" w:themeColor="text1"/>
        </w:rPr>
      </w:pP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ANNESS </w:t>
      </w:r>
      <w:r>
        <w:rPr>
          <w:rStyle w:val="Marker"/>
          <w:noProof/>
        </w:rPr>
        <w:t>[…]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Sek. = Segretarjat tas-CITES, SC = Kumitat Permanenti, AC = Kumitat tal-Annimali, PC = Kumitat tal-Pjanti. Għall-kodiċi tal-pajjiż, ara ISO 3166.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3E6F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9E8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026E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B27D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56A9D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97AD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B3E91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D389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E31087"/>
    <w:multiLevelType w:val="multilevel"/>
    <w:tmpl w:val="8F88C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FB9797E"/>
    <w:multiLevelType w:val="multilevel"/>
    <w:tmpl w:val="496651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26478"/>
    <w:multiLevelType w:val="multilevel"/>
    <w:tmpl w:val="3C923D5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04D3559"/>
    <w:multiLevelType w:val="multilevel"/>
    <w:tmpl w:val="ACC69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22"/>
  </w:num>
  <w:num w:numId="12">
    <w:abstractNumId w:val="1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24"/>
  </w:num>
  <w:num w:numId="17">
    <w:abstractNumId w:val="12"/>
  </w:num>
  <w:num w:numId="18">
    <w:abstractNumId w:val="16"/>
  </w:num>
  <w:num w:numId="19">
    <w:abstractNumId w:val="10"/>
  </w:num>
  <w:num w:numId="20">
    <w:abstractNumId w:val="23"/>
  </w:num>
  <w:num w:numId="21">
    <w:abstractNumId w:val="9"/>
  </w:num>
  <w:num w:numId="22">
    <w:abstractNumId w:val="17"/>
  </w:num>
  <w:num w:numId="23">
    <w:abstractNumId w:val="19"/>
  </w:num>
  <w:num w:numId="24">
    <w:abstractNumId w:val="20"/>
  </w:num>
  <w:num w:numId="25">
    <w:abstractNumId w:val="11"/>
  </w:num>
  <w:num w:numId="26">
    <w:abstractNumId w:val="18"/>
  </w:num>
  <w:num w:numId="27">
    <w:abstractNumId w:val="25"/>
  </w:num>
  <w:num w:numId="28">
    <w:abstractNumId w:val="21"/>
  </w:num>
  <w:num w:numId="29">
    <w:abstractNumId w:val="15"/>
  </w:num>
  <w:num w:numId="30">
    <w:abstractNumId w:val="24"/>
  </w:num>
  <w:num w:numId="31">
    <w:abstractNumId w:val="12"/>
  </w:num>
  <w:num w:numId="32">
    <w:abstractNumId w:val="16"/>
  </w:num>
  <w:num w:numId="33">
    <w:abstractNumId w:val="10"/>
  </w:num>
  <w:num w:numId="34">
    <w:abstractNumId w:val="23"/>
  </w:num>
  <w:num w:numId="35">
    <w:abstractNumId w:val="9"/>
  </w:num>
  <w:num w:numId="36">
    <w:abstractNumId w:val="17"/>
  </w:num>
  <w:num w:numId="37">
    <w:abstractNumId w:val="19"/>
  </w:num>
  <w:num w:numId="38">
    <w:abstractNumId w:val="20"/>
  </w:num>
  <w:num w:numId="39">
    <w:abstractNumId w:val="11"/>
  </w:num>
  <w:num w:numId="40">
    <w:abstractNumId w:val="18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attachedTemplate r:id="rId1"/>
  <w:revisionView w:markup="0"/>
  <w:doNotTrackFormatting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5 10:07:5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\u8217? [...]"/>
    <w:docVar w:name="LW_ACCOMPAGNANT.CP" w:val="ta\u8217? [...]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EFD02D23-D6B4-4F43-9266-FFB6509A27D8"/>
    <w:docVar w:name="LW_COVERPAGE_TYPE" w:val="1"/>
    <w:docVar w:name="LW_CROSSREFERENCE" w:val="&lt;UNUSED&gt;"/>
    <w:docVar w:name="LW_DocType" w:val="ANNEX"/>
    <w:docVar w:name="LW_EMISSION" w:val="21.3.2019"/>
    <w:docVar w:name="LW_EMISSION_ISODATE" w:val="2019-03-21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tistabbilixxi l-po\u380?izzjoni li g\u295?andha tittie\u295?ed f'isem l-Unjoni Ewropea rigward \u267?erti proposti sottomessi lit-18-il laqg\u295?a tal-Konferenza tal-Partijiet (CoP 18) g\u295?all-Konvenzjoni dwar il-Kummer\u267? Internazzjonali fl-Ispe\u267?ijiet ta' Fawna u Flora Selva\u289?\u289?i fil-Periklu (CITES), Colombo, is-Sri Lanka, it-23 ta\u8217? Mejju - it-3 ta\u8217? \u288?unju 2019"/>
    <w:docVar w:name="LW_OBJETACTEPRINCIPAL.CP" w:val="li tistabbilixxi l-po\u380?izzjoni li g\u295?andha tittie\u295?ed f'isem l-Unjoni Ewropea rigward \u267?erti proposti sottomessi lit-18-il laqg\u295?a tal-Konferenza tal-Partijiet (CoP 18) g\u295?all-Konvenzjoni dwar il-Kummer\u267? Internazzjonali fl-Ispe\u267?ijiet ta' Fawna u Flora Selva\u289?\u289?i fil-Periklu (CITES), Colombo, is-Sri Lanka, it-23 ta\u8217? Mejju - it-3 ta\u8217? \u288?unju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1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6?I\u379?JONI TAL-KUNSILL"/>
    <w:docVar w:name="LW_TYPEACTEPRINCIPAL.CP" w:val="Proposta g\u295?al 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link w:val="Heading5Char"/>
    <w:uiPriority w:val="9"/>
    <w:qFormat/>
    <w:pPr>
      <w:spacing w:before="240"/>
      <w:jc w:val="left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240"/>
      <w:jc w:val="left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b/>
      <w:bCs/>
      <w:sz w:val="15"/>
      <w:szCs w:val="15"/>
      <w:lang w:val="mt-MT" w:eastAsia="mt-M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18"/>
      <w:szCs w:val="18"/>
      <w:shd w:val="clear" w:color="auto" w:fill="F2F2F2"/>
      <w:lang w:eastAsia="mt-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  <w:jc w:val="left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nsolas" w:hAnsi="Consolas" w:cs="Consolas"/>
      <w:sz w:val="20"/>
      <w:szCs w:val="20"/>
      <w:lang w:val="mt-MT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4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ultiline">
    <w:name w:val="multilin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0" w:after="150"/>
      <w:jc w:val="left"/>
    </w:pPr>
    <w:rPr>
      <w:rFonts w:eastAsia="Times New Roman"/>
      <w:szCs w:val="24"/>
      <w:lang w:eastAsia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link w:val="Heading5Char"/>
    <w:uiPriority w:val="9"/>
    <w:qFormat/>
    <w:pPr>
      <w:spacing w:before="240"/>
      <w:jc w:val="left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240"/>
      <w:jc w:val="left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b/>
      <w:bCs/>
      <w:sz w:val="15"/>
      <w:szCs w:val="15"/>
      <w:lang w:val="mt-MT" w:eastAsia="mt-M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Consolas"/>
      <w:sz w:val="18"/>
      <w:szCs w:val="18"/>
      <w:shd w:val="clear" w:color="auto" w:fill="F2F2F2"/>
      <w:lang w:eastAsia="mt-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  <w:jc w:val="left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1">
    <w:name w:val="HTML Preformatted Char1"/>
    <w:basedOn w:val="DefaultParagraphFont"/>
    <w:uiPriority w:val="99"/>
    <w:semiHidden/>
    <w:rPr>
      <w:rFonts w:ascii="Consolas" w:hAnsi="Consolas" w:cs="Consolas"/>
      <w:sz w:val="20"/>
      <w:szCs w:val="20"/>
      <w:lang w:val="mt-MT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szCs w:val="24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mt-MT" w:eastAsia="mt-MT" w:bidi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multiline">
    <w:name w:val="multilin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0" w:after="150"/>
      <w:jc w:val="left"/>
    </w:pPr>
    <w:rPr>
      <w:rFonts w:eastAsia="Times New Roman"/>
      <w:szCs w:val="24"/>
      <w:lang w:eastAsia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B76C3"/>
                                <w:left w:val="single" w:sz="6" w:space="0" w:color="0B76C3"/>
                                <w:bottom w:val="single" w:sz="6" w:space="0" w:color="0B76C3"/>
                                <w:right w:val="single" w:sz="6" w:space="0" w:color="0B76C3"/>
                              </w:divBdr>
                              <w:divsChild>
                                <w:div w:id="12828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C6A6D"/>
                                                <w:left w:val="single" w:sz="6" w:space="0" w:color="5C6A6D"/>
                                                <w:bottom w:val="single" w:sz="6" w:space="0" w:color="5C6A6D"/>
                                                <w:right w:val="single" w:sz="6" w:space="0" w:color="5C6A6D"/>
                                              </w:divBdr>
                                            </w:div>
                                          </w:divsChild>
                                        </w:div>
                                        <w:div w:id="11881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0" w:color="0B76C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7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B76C3"/>
                                <w:left w:val="single" w:sz="6" w:space="0" w:color="0B76C3"/>
                                <w:bottom w:val="single" w:sz="6" w:space="0" w:color="0B76C3"/>
                                <w:right w:val="single" w:sz="6" w:space="0" w:color="0B76C3"/>
                              </w:divBdr>
                              <w:divsChild>
                                <w:div w:id="5133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C6A6D"/>
                                                <w:left w:val="single" w:sz="6" w:space="0" w:color="5C6A6D"/>
                                                <w:bottom w:val="single" w:sz="6" w:space="0" w:color="5C6A6D"/>
                                                <w:right w:val="single" w:sz="6" w:space="0" w:color="5C6A6D"/>
                                              </w:divBdr>
                                            </w:div>
                                            <w:div w:id="105011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C6A6D"/>
                                                <w:left w:val="single" w:sz="6" w:space="0" w:color="5C6A6D"/>
                                                <w:bottom w:val="single" w:sz="6" w:space="0" w:color="5C6A6D"/>
                                                <w:right w:val="single" w:sz="6" w:space="0" w:color="5C6A6D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0" w:color="0B76C3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2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B76C3"/>
                                <w:left w:val="single" w:sz="6" w:space="0" w:color="0B76C3"/>
                                <w:bottom w:val="single" w:sz="6" w:space="0" w:color="0B76C3"/>
                                <w:right w:val="single" w:sz="6" w:space="0" w:color="0B76C3"/>
                              </w:divBdr>
                              <w:divsChild>
                                <w:div w:id="4276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ites.org/sites/default/files/eng/cop/18/doc/E-CoP18-050c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A856C34D8E478D8680B911FA8A3D" ma:contentTypeVersion="0" ma:contentTypeDescription="Create a new document." ma:contentTypeScope="" ma:versionID="a1b2f863b13fb1eec5060ba3f8e2a5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fc8648fa84460f5661d9ecf385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1C283-A767-4224-B3BA-5E9FF9BA6876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9C4282F-8F85-4365-834C-34152E3D2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B779E-884F-4AFD-9F89-21F0A325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9245</Words>
  <Characters>64903</Characters>
  <Application>Microsoft Office Word</Application>
  <DocSecurity>0</DocSecurity>
  <Lines>4635</Lines>
  <Paragraphs>1373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Matthias Leonhard (ENV)</dc:creator>
  <cp:keywords/>
  <cp:lastModifiedBy>WES PDFC Administrator</cp:lastModifiedBy>
  <cp:revision>8</cp:revision>
  <dcterms:created xsi:type="dcterms:W3CDTF">2019-04-03T14:26:00Z</dcterms:created>
  <dcterms:modified xsi:type="dcterms:W3CDTF">2019-04-05T08:07:00Z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ontentTypeId">
    <vt:lpwstr>0x010100135AA856C34D8E478D8680B911FA8A3D</vt:lpwstr>
  </property>
  <property fmtid="{D5CDD505-2E9C-101B-9397-08002B2CF9AE}" pid="4" name="IsMyDocuments">
    <vt:bool>true</vt:bool>
  </property>
  <property fmtid="{D5CDD505-2E9C-101B-9397-08002B2CF9AE}" pid="5" name="Category">
    <vt:lpwstr>COM/ANNEX</vt:lpwstr>
  </property>
  <property fmtid="{D5CDD505-2E9C-101B-9397-08002B2CF9AE}" pid="6" name="Level of sensitivity">
    <vt:lpwstr>Standard treatment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Unique annex">
    <vt:lpwstr>0</vt:lpwstr>
  </property>
  <property fmtid="{D5CDD505-2E9C-101B-9397-08002B2CF9AE}" pid="10" name="Part">
    <vt:lpwstr>1</vt:lpwstr>
  </property>
  <property fmtid="{D5CDD505-2E9C-101B-9397-08002B2CF9AE}" pid="11" name="Total parts">
    <vt:lpwstr>1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