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54" w:rsidRDefault="00ED2FD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AE05519-CCC4-48F7-9920-88EF33C35ECB" style="width:450.6pt;height:306.6pt">
            <v:imagedata r:id="rId11" o:title=""/>
          </v:shape>
        </w:pict>
      </w:r>
    </w:p>
    <w:bookmarkEnd w:id="0"/>
    <w:p w:rsidR="00B86E54" w:rsidRDefault="00B86E54">
      <w:pPr>
        <w:rPr>
          <w:noProof/>
        </w:rPr>
        <w:sectPr w:rsidR="00B86E5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B86E54" w:rsidRDefault="00B86E54">
      <w:pPr>
        <w:rPr>
          <w:noProof/>
        </w:rPr>
      </w:pPr>
      <w:bookmarkStart w:id="1" w:name="_GoBack"/>
      <w:bookmarkEnd w:id="1"/>
    </w:p>
    <w:p w:rsidR="00B86E54" w:rsidRDefault="00ED2FDB">
      <w:pPr>
        <w:pStyle w:val="Heading1"/>
        <w:rPr>
          <w:noProof/>
        </w:rPr>
      </w:pPr>
      <w:bookmarkStart w:id="2" w:name="_Toc1149217"/>
      <w:r>
        <w:rPr>
          <w:noProof/>
        </w:rPr>
        <w:t>1. UVOD</w:t>
      </w:r>
      <w:bookmarkEnd w:id="2"/>
    </w:p>
    <w:p w:rsidR="00B86E54" w:rsidRDefault="00ED2FDB">
      <w:pPr>
        <w:jc w:val="both"/>
        <w:rPr>
          <w:rFonts w:ascii="Times New Roman" w:hAnsi="Times New Roman" w:cs="Times New Roman"/>
          <w:noProof/>
          <w:sz w:val="24"/>
          <w:szCs w:val="24"/>
        </w:rPr>
      </w:pPr>
      <w:r>
        <w:rPr>
          <w:rFonts w:ascii="Times New Roman" w:hAnsi="Times New Roman"/>
          <w:noProof/>
          <w:sz w:val="24"/>
        </w:rPr>
        <w:t xml:space="preserve">Stupanjem na snagu Direktive (EU) 2018/2001 o promicanju uporabe energije iz obnovljivih izvora (RED </w:t>
      </w:r>
      <w:r>
        <w:rPr>
          <w:rFonts w:ascii="Times New Roman" w:hAnsi="Times New Roman"/>
          <w:noProof/>
          <w:sz w:val="24"/>
        </w:rPr>
        <w:t>II) 24. prosinca 2018. uspostavljen je novi okvir održiv u budućnosti za ostvarivanje obvezujućeg cilja Unije od najmanje 32 % obnovljive energije u konačnoj bruto potrošnji energije do 2030. Taj se okvir temelji na napretku ostvarenom na temelju postojeće</w:t>
      </w:r>
      <w:r>
        <w:rPr>
          <w:rFonts w:ascii="Times New Roman" w:hAnsi="Times New Roman"/>
          <w:noProof/>
          <w:sz w:val="24"/>
        </w:rPr>
        <w:t xml:space="preserve"> Direktive, uključujući, među ostalim, obvezu država članica da zadrže ciljeve za 2020. kao polaznu vrijednost za svoje putanje u sljedećem desetljeću. To je dodatno upotpunjeno drugim elementima paketa Čista energija za sve Europljane</w:t>
      </w:r>
      <w:r>
        <w:rPr>
          <w:rStyle w:val="FootnoteReference"/>
          <w:rFonts w:ascii="Times New Roman" w:hAnsi="Times New Roman"/>
          <w:noProof/>
          <w:sz w:val="24"/>
        </w:rPr>
        <w:footnoteReference w:id="2"/>
      </w:r>
      <w:r>
        <w:rPr>
          <w:rFonts w:ascii="Times New Roman" w:hAnsi="Times New Roman"/>
          <w:noProof/>
          <w:sz w:val="24"/>
        </w:rPr>
        <w:t>.</w:t>
      </w:r>
    </w:p>
    <w:p w:rsidR="00B86E54" w:rsidRDefault="00ED2FDB">
      <w:pPr>
        <w:jc w:val="both"/>
        <w:rPr>
          <w:rFonts w:ascii="Times New Roman" w:hAnsi="Times New Roman" w:cs="Times New Roman"/>
          <w:noProof/>
          <w:sz w:val="24"/>
          <w:szCs w:val="24"/>
        </w:rPr>
      </w:pPr>
      <w:r>
        <w:rPr>
          <w:rFonts w:ascii="Times New Roman" w:hAnsi="Times New Roman"/>
          <w:noProof/>
          <w:sz w:val="24"/>
        </w:rPr>
        <w:t>Obnovljiva energij</w:t>
      </w:r>
      <w:r>
        <w:rPr>
          <w:rFonts w:ascii="Times New Roman" w:hAnsi="Times New Roman"/>
          <w:noProof/>
          <w:sz w:val="24"/>
        </w:rPr>
        <w:t>a jedan je od ključnih prioriteta energetske unije. Direktiva 2009/28/EZ o promicanju uporabe energije iz obnovljivih izvora</w:t>
      </w:r>
      <w:r>
        <w:rPr>
          <w:rStyle w:val="FootnoteReference"/>
          <w:rFonts w:ascii="Times New Roman" w:hAnsi="Times New Roman"/>
          <w:noProof/>
          <w:sz w:val="24"/>
        </w:rPr>
        <w:footnoteReference w:id="3"/>
      </w:r>
      <w:r>
        <w:rPr>
          <w:rFonts w:ascii="Times New Roman" w:hAnsi="Times New Roman"/>
          <w:noProof/>
          <w:sz w:val="24"/>
        </w:rPr>
        <w:t xml:space="preserve"> (RED I) središnji je element politike energetske unije i ključni pokretač na putu do ostvarivanja ciljeva obnovljive energije za 2</w:t>
      </w:r>
      <w:r>
        <w:rPr>
          <w:rFonts w:ascii="Times New Roman" w:hAnsi="Times New Roman"/>
          <w:noProof/>
          <w:sz w:val="24"/>
        </w:rPr>
        <w:t xml:space="preserve">020.  </w:t>
      </w:r>
    </w:p>
    <w:p w:rsidR="00B86E54" w:rsidRDefault="00ED2FDB">
      <w:pPr>
        <w:jc w:val="both"/>
        <w:rPr>
          <w:rFonts w:ascii="Calibri" w:hAnsi="Calibri" w:cs="Calibri"/>
          <w:noProof/>
          <w:color w:val="333333"/>
          <w:sz w:val="26"/>
          <w:szCs w:val="26"/>
        </w:rPr>
      </w:pPr>
      <w:r>
        <w:rPr>
          <w:rFonts w:ascii="Times New Roman" w:hAnsi="Times New Roman"/>
          <w:noProof/>
          <w:sz w:val="24"/>
        </w:rPr>
        <w:t xml:space="preserve">Politički prioritet Europske unije da postane globalni predvodnik u području obnovljivih izvora energije temelji se na prisutnosti takvih izvora u svih pet dimenzija energetske unije. Kad je riječ o </w:t>
      </w:r>
      <w:r>
        <w:rPr>
          <w:rFonts w:ascii="Times New Roman" w:hAnsi="Times New Roman"/>
          <w:i/>
          <w:noProof/>
          <w:sz w:val="24"/>
        </w:rPr>
        <w:t>energetskoj sigurnosti</w:t>
      </w:r>
      <w:r>
        <w:rPr>
          <w:rFonts w:ascii="Times New Roman" w:hAnsi="Times New Roman"/>
          <w:noProof/>
          <w:sz w:val="24"/>
        </w:rPr>
        <w:t>, obnovljivi izvori energije</w:t>
      </w:r>
      <w:r>
        <w:rPr>
          <w:rFonts w:ascii="Times New Roman" w:hAnsi="Times New Roman"/>
          <w:noProof/>
          <w:sz w:val="24"/>
        </w:rPr>
        <w:t xml:space="preserve"> smanjuju ovisnost o uvozu fosilnih goriva. Procjenjuje se da je zahvaljujući povećanju uporabe obnovljive energije u odnosu na razinu potrošnje obnovljive energije 2005. EU 2016. smanjio svoju potražnju za fosilnim gorivima za 143 Mtoe</w:t>
      </w:r>
      <w:r>
        <w:rPr>
          <w:rStyle w:val="FootnoteReference"/>
          <w:rFonts w:ascii="Times New Roman" w:hAnsi="Times New Roman"/>
          <w:noProof/>
          <w:sz w:val="24"/>
        </w:rPr>
        <w:footnoteReference w:id="4"/>
      </w:r>
      <w:r>
        <w:rPr>
          <w:rFonts w:ascii="Times New Roman" w:hAnsi="Times New Roman"/>
          <w:noProof/>
          <w:sz w:val="24"/>
        </w:rPr>
        <w:t xml:space="preserve"> (približno 12 % uk</w:t>
      </w:r>
      <w:r>
        <w:rPr>
          <w:rFonts w:ascii="Times New Roman" w:hAnsi="Times New Roman"/>
          <w:noProof/>
          <w:sz w:val="24"/>
        </w:rPr>
        <w:t>upne potrošnje primarne energije iz fosilnih goriva). Slično tomu, ovisnost Europe o uvozu energije, posebno nafte i plina, smanjit će se s današnjih 55 % na 20 % 2050. zahvaljujući opskrbi primarnom energijom koja će najvećim dijelom dolaziti iz obnovljiv</w:t>
      </w:r>
      <w:r>
        <w:rPr>
          <w:rFonts w:ascii="Times New Roman" w:hAnsi="Times New Roman"/>
          <w:noProof/>
          <w:sz w:val="24"/>
        </w:rPr>
        <w:t>ih izvora energije</w:t>
      </w:r>
      <w:r>
        <w:rPr>
          <w:rStyle w:val="FootnoteReference"/>
          <w:rFonts w:ascii="Times New Roman" w:hAnsi="Times New Roman"/>
          <w:noProof/>
          <w:sz w:val="24"/>
        </w:rPr>
        <w:footnoteReference w:id="5"/>
      </w:r>
      <w:r>
        <w:rPr>
          <w:rFonts w:ascii="Times New Roman" w:hAnsi="Times New Roman"/>
          <w:noProof/>
          <w:sz w:val="24"/>
        </w:rPr>
        <w:t xml:space="preserve">. Na </w:t>
      </w:r>
      <w:r>
        <w:rPr>
          <w:rFonts w:ascii="Times New Roman" w:hAnsi="Times New Roman"/>
          <w:i/>
          <w:noProof/>
          <w:sz w:val="24"/>
        </w:rPr>
        <w:t>unutarnjem tržištu energije</w:t>
      </w:r>
      <w:r>
        <w:rPr>
          <w:rFonts w:ascii="Times New Roman" w:hAnsi="Times New Roman"/>
          <w:noProof/>
          <w:sz w:val="24"/>
        </w:rPr>
        <w:t xml:space="preserve"> obnovljivi izvori energije imaju sve veću ulogu, posebno na tržištu električne energije, na kojem je 2017. gotovo jedna trećina (30,8 %) bruto proizvodnje električne energije u 28 država članica EU-a potj</w:t>
      </w:r>
      <w:r>
        <w:rPr>
          <w:rFonts w:ascii="Times New Roman" w:hAnsi="Times New Roman"/>
          <w:noProof/>
          <w:sz w:val="24"/>
        </w:rPr>
        <w:t>ecala iz obnovljivih izvora</w:t>
      </w:r>
      <w:r>
        <w:rPr>
          <w:rStyle w:val="FootnoteReference"/>
          <w:rFonts w:ascii="Times New Roman" w:hAnsi="Times New Roman"/>
          <w:noProof/>
          <w:sz w:val="24"/>
        </w:rPr>
        <w:footnoteReference w:id="6"/>
      </w:r>
      <w:r>
        <w:rPr>
          <w:rFonts w:ascii="Times New Roman" w:hAnsi="Times New Roman"/>
          <w:noProof/>
          <w:sz w:val="24"/>
        </w:rPr>
        <w:t xml:space="preserve">. </w:t>
      </w:r>
    </w:p>
    <w:p w:rsidR="00B86E54" w:rsidRDefault="00ED2FDB">
      <w:pPr>
        <w:jc w:val="both"/>
        <w:rPr>
          <w:rFonts w:ascii="Times New Roman" w:hAnsi="Times New Roman" w:cs="Times New Roman"/>
          <w:noProof/>
          <w:sz w:val="24"/>
          <w:szCs w:val="24"/>
        </w:rPr>
      </w:pPr>
      <w:r>
        <w:rPr>
          <w:rFonts w:ascii="Times New Roman" w:hAnsi="Times New Roman"/>
          <w:noProof/>
          <w:sz w:val="24"/>
        </w:rPr>
        <w:t>Zapažena je i sve veća uloga obnovljivih plinova. Kao ogledni primjer u srpnju 2018. u Danskoj udio bioplina u ukupnoj potrošnji plina iznosio je 18,6 %, što je povećanje od 50 % u odnosu na prethodnu godinu</w:t>
      </w:r>
      <w:r>
        <w:rPr>
          <w:rStyle w:val="FootnoteReference"/>
          <w:rFonts w:ascii="Times New Roman" w:hAnsi="Times New Roman"/>
          <w:noProof/>
          <w:sz w:val="24"/>
        </w:rPr>
        <w:footnoteReference w:id="7"/>
      </w:r>
      <w:r>
        <w:rPr>
          <w:rFonts w:ascii="Times New Roman" w:hAnsi="Times New Roman"/>
          <w:noProof/>
          <w:sz w:val="24"/>
        </w:rPr>
        <w:t xml:space="preserve">. Kad je riječ o </w:t>
      </w:r>
      <w:r>
        <w:rPr>
          <w:rFonts w:ascii="Times New Roman" w:hAnsi="Times New Roman"/>
          <w:i/>
          <w:noProof/>
          <w:sz w:val="24"/>
        </w:rPr>
        <w:t>energetskoj učinkovitosti</w:t>
      </w:r>
      <w:r>
        <w:rPr>
          <w:rFonts w:ascii="Times New Roman" w:hAnsi="Times New Roman"/>
          <w:noProof/>
          <w:sz w:val="24"/>
        </w:rPr>
        <w:t>, smanjena potrošnja energije blisko je povezana s ostvarivanjem većeg udjela obnovljivih izvora energije i jačom integracijom manjih obnovljivih izvora energije u zgrade, čime se energetska učinkovitost povećava na troškovno isplativ način. Nadalje, obnov</w:t>
      </w:r>
      <w:r>
        <w:rPr>
          <w:rFonts w:ascii="Times New Roman" w:hAnsi="Times New Roman"/>
          <w:noProof/>
          <w:sz w:val="24"/>
        </w:rPr>
        <w:t xml:space="preserve">ljiva energija ima važnu ulogu u </w:t>
      </w:r>
      <w:r>
        <w:rPr>
          <w:rFonts w:ascii="Times New Roman" w:hAnsi="Times New Roman"/>
          <w:i/>
          <w:noProof/>
          <w:sz w:val="24"/>
        </w:rPr>
        <w:t>dekarbonizaciji</w:t>
      </w:r>
      <w:r>
        <w:rPr>
          <w:rFonts w:ascii="Times New Roman" w:hAnsi="Times New Roman"/>
          <w:noProof/>
          <w:sz w:val="24"/>
        </w:rPr>
        <w:t xml:space="preserve"> te su 2016. obnovljivi izvori energije pridonijeli količini od 460 Mt izbjegnutih bruto emisija CO</w:t>
      </w:r>
      <w:r>
        <w:rPr>
          <w:rFonts w:ascii="Times New Roman" w:hAnsi="Times New Roman"/>
          <w:noProof/>
          <w:sz w:val="24"/>
          <w:vertAlign w:val="subscript"/>
        </w:rPr>
        <w:t>2</w:t>
      </w:r>
      <w:r>
        <w:rPr>
          <w:rFonts w:ascii="Times New Roman" w:hAnsi="Times New Roman"/>
          <w:noProof/>
          <w:sz w:val="24"/>
        </w:rPr>
        <w:t xml:space="preserve"> (što je više od ukupne količine emisija stakleničkih plinova </w:t>
      </w:r>
      <w:r>
        <w:rPr>
          <w:rFonts w:ascii="Times New Roman" w:hAnsi="Times New Roman"/>
          <w:noProof/>
          <w:sz w:val="24"/>
        </w:rPr>
        <w:lastRenderedPageBreak/>
        <w:t>2016. u Italiji)</w:t>
      </w:r>
      <w:r>
        <w:rPr>
          <w:rStyle w:val="FootnoteReference"/>
          <w:rFonts w:ascii="Times New Roman" w:hAnsi="Times New Roman"/>
          <w:noProof/>
          <w:sz w:val="24"/>
        </w:rPr>
        <w:footnoteReference w:id="8"/>
      </w:r>
      <w:r>
        <w:rPr>
          <w:rFonts w:ascii="Times New Roman" w:hAnsi="Times New Roman"/>
          <w:noProof/>
          <w:sz w:val="24"/>
        </w:rPr>
        <w:t xml:space="preserve"> i procjenjuje se da će se 20</w:t>
      </w:r>
      <w:r>
        <w:rPr>
          <w:rFonts w:ascii="Times New Roman" w:hAnsi="Times New Roman"/>
          <w:noProof/>
          <w:sz w:val="24"/>
        </w:rPr>
        <w:t>17. ta količina povećati na 499 Mt</w:t>
      </w:r>
      <w:r>
        <w:rPr>
          <w:rStyle w:val="FootnoteReference"/>
          <w:rFonts w:ascii="Times New Roman" w:hAnsi="Times New Roman"/>
          <w:noProof/>
          <w:sz w:val="24"/>
        </w:rPr>
        <w:footnoteReference w:id="9"/>
      </w:r>
      <w:r>
        <w:rPr>
          <w:rFonts w:ascii="Times New Roman" w:hAnsi="Times New Roman"/>
          <w:noProof/>
          <w:sz w:val="24"/>
        </w:rPr>
        <w:t xml:space="preserve">. Osim toga, obnovljivi izvori energije daju ključan doprinos </w:t>
      </w:r>
      <w:r>
        <w:rPr>
          <w:rFonts w:ascii="Times New Roman" w:hAnsi="Times New Roman"/>
          <w:i/>
          <w:noProof/>
          <w:sz w:val="24"/>
        </w:rPr>
        <w:t>inovacijskoj</w:t>
      </w:r>
      <w:r>
        <w:rPr>
          <w:rFonts w:ascii="Times New Roman" w:hAnsi="Times New Roman"/>
          <w:noProof/>
          <w:sz w:val="24"/>
        </w:rPr>
        <w:t xml:space="preserve"> dimenziji. U području obnovljivih izvora energije 53 % izuma poduzeća sa sjedištem u EU-u stječe patentnu zaštitu izvan Europe</w:t>
      </w:r>
      <w:r>
        <w:rPr>
          <w:rStyle w:val="FootnoteReference"/>
          <w:rFonts w:ascii="Times New Roman" w:hAnsi="Times New Roman"/>
          <w:noProof/>
          <w:sz w:val="24"/>
        </w:rPr>
        <w:footnoteReference w:id="10"/>
      </w:r>
      <w:r>
        <w:rPr>
          <w:rFonts w:ascii="Times New Roman" w:hAnsi="Times New Roman"/>
          <w:noProof/>
          <w:sz w:val="24"/>
        </w:rPr>
        <w:t>. Inovacije se zašt</w:t>
      </w:r>
      <w:r>
        <w:rPr>
          <w:rFonts w:ascii="Times New Roman" w:hAnsi="Times New Roman"/>
          <w:noProof/>
          <w:sz w:val="24"/>
        </w:rPr>
        <w:t>ićuju jer mogu dospjeti na strana tržišta i tamo ostvariti uspjeh, što dokazuje njihovu visoku vrijednost. Time EU postaje globalni predvodnik u području inovacija s udjelom većim od bilo kojeg drugog velikog gospodarstva</w:t>
      </w:r>
      <w:r>
        <w:rPr>
          <w:rStyle w:val="FootnoteReference"/>
          <w:rFonts w:ascii="Times New Roman" w:hAnsi="Times New Roman"/>
          <w:noProof/>
          <w:sz w:val="24"/>
        </w:rPr>
        <w:footnoteReference w:id="11"/>
      </w:r>
      <w:r>
        <w:rPr>
          <w:rFonts w:ascii="Times New Roman" w:hAnsi="Times New Roman"/>
          <w:noProof/>
          <w:sz w:val="24"/>
        </w:rPr>
        <w:t>. Međunarodna agencija za obnovlji</w:t>
      </w:r>
      <w:r>
        <w:rPr>
          <w:rFonts w:ascii="Times New Roman" w:hAnsi="Times New Roman"/>
          <w:noProof/>
          <w:sz w:val="24"/>
        </w:rPr>
        <w:t>vu energiju (IRENA) prepoznaje Europu kao predvodnika u području energetskih inovacija i svjetionik koji osvjetljuje uspješne putove prema budućnosti utemeljenoj na obnovljivoj energiji</w:t>
      </w:r>
      <w:r>
        <w:rPr>
          <w:rStyle w:val="FootnoteReference"/>
          <w:rFonts w:ascii="Times New Roman" w:hAnsi="Times New Roman"/>
          <w:noProof/>
          <w:color w:val="333333"/>
          <w:sz w:val="24"/>
        </w:rPr>
        <w:footnoteReference w:id="12"/>
      </w:r>
      <w:r>
        <w:rPr>
          <w:rFonts w:ascii="Times New Roman" w:hAnsi="Times New Roman"/>
          <w:noProof/>
          <w:sz w:val="24"/>
        </w:rPr>
        <w:t>.</w:t>
      </w:r>
    </w:p>
    <w:p w:rsidR="00B86E54" w:rsidRDefault="00ED2FDB">
      <w:pPr>
        <w:jc w:val="both"/>
        <w:rPr>
          <w:rFonts w:ascii="Times New Roman" w:hAnsi="Times New Roman" w:cs="Times New Roman"/>
          <w:noProof/>
          <w:sz w:val="24"/>
          <w:szCs w:val="24"/>
        </w:rPr>
      </w:pPr>
      <w:r>
        <w:rPr>
          <w:rFonts w:ascii="Times New Roman" w:hAnsi="Times New Roman"/>
          <w:noProof/>
          <w:sz w:val="24"/>
        </w:rPr>
        <w:t>EU je globalni predvodnik i u pogledu različitih tehnologija obnovlj</w:t>
      </w:r>
      <w:r>
        <w:rPr>
          <w:rFonts w:ascii="Times New Roman" w:hAnsi="Times New Roman"/>
          <w:noProof/>
          <w:sz w:val="24"/>
        </w:rPr>
        <w:t>ive energije duž lanaca opskrbe. Proizvođači iz EU-a činili su 2016. najmanje 41 % novog instaliranog kapaciteta u svijetu za određene tehnologije kao što su vjetroturbine</w:t>
      </w:r>
      <w:r>
        <w:rPr>
          <w:rStyle w:val="FootnoteReference"/>
          <w:rFonts w:ascii="Times New Roman" w:hAnsi="Times New Roman"/>
          <w:noProof/>
          <w:sz w:val="24"/>
        </w:rPr>
        <w:footnoteReference w:id="13"/>
      </w:r>
      <w:r>
        <w:rPr>
          <w:rFonts w:ascii="Times New Roman" w:hAnsi="Times New Roman"/>
          <w:noProof/>
          <w:sz w:val="24"/>
        </w:rPr>
        <w:t>. Kad je riječ o fotonaponskoj industriji EU-a, proizvođači fotonaponske opreme iz E</w:t>
      </w:r>
      <w:r>
        <w:rPr>
          <w:rFonts w:ascii="Times New Roman" w:hAnsi="Times New Roman"/>
          <w:noProof/>
          <w:sz w:val="24"/>
        </w:rPr>
        <w:t>U-a imaju vodeći položaj s udjelom od 50 % na globalnom tržištu, dok proizvođači invertera iz EU-a imaju udio veći od 18 % na globalnom tržištu</w:t>
      </w:r>
      <w:r>
        <w:rPr>
          <w:rStyle w:val="FootnoteReference"/>
          <w:rFonts w:ascii="Times New Roman" w:hAnsi="Times New Roman"/>
          <w:noProof/>
          <w:sz w:val="24"/>
        </w:rPr>
        <w:footnoteReference w:id="14"/>
      </w:r>
      <w:r>
        <w:rPr>
          <w:rFonts w:ascii="Times New Roman" w:hAnsi="Times New Roman"/>
          <w:noProof/>
          <w:sz w:val="24"/>
        </w:rPr>
        <w:t>. Nadalje, u svrhu zadržavanja i širenja vodećeg položaja u pogledu novih tehnologija obnovljive energije oceana</w:t>
      </w:r>
      <w:r>
        <w:rPr>
          <w:rFonts w:ascii="Times New Roman" w:hAnsi="Times New Roman"/>
          <w:noProof/>
          <w:sz w:val="24"/>
        </w:rPr>
        <w:t>, Komisija je, na primjer, udružila snage s državama članicama kako bi povećale uporabu i ostvarile ciljeve smanjenja troškova utvrđene u planu SET</w:t>
      </w:r>
      <w:r>
        <w:rPr>
          <w:rStyle w:val="FootnoteReference"/>
          <w:rFonts w:ascii="Times New Roman" w:hAnsi="Times New Roman"/>
          <w:noProof/>
          <w:sz w:val="24"/>
        </w:rPr>
        <w:footnoteReference w:id="15"/>
      </w:r>
      <w:r>
        <w:rPr>
          <w:rFonts w:ascii="Times New Roman" w:hAnsi="Times New Roman"/>
          <w:noProof/>
          <w:sz w:val="24"/>
        </w:rPr>
        <w:t>. Komisija je radi jačanja industrijskih temelja za obnovljive europske izvore energije uspostavila Industri</w:t>
      </w:r>
      <w:r>
        <w:rPr>
          <w:rFonts w:ascii="Times New Roman" w:hAnsi="Times New Roman"/>
          <w:noProof/>
          <w:sz w:val="24"/>
        </w:rPr>
        <w:t xml:space="preserve">jski forum za čistu energiju iz obnovljivih izvora. Forum u bliskoj suradnji s ključnim sudionicima iz sektora predlaže djelovanja za povećanje konkurentnosti europskog lanca opskrbe u području obnovljivih izvora energije. </w:t>
      </w:r>
    </w:p>
    <w:p w:rsidR="00B86E54" w:rsidRDefault="00ED2FDB">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Prednosti obnovljivih izvora ene</w:t>
      </w:r>
      <w:r>
        <w:rPr>
          <w:rFonts w:ascii="Times New Roman" w:hAnsi="Times New Roman"/>
          <w:noProof/>
          <w:sz w:val="24"/>
        </w:rPr>
        <w:t>rgije uvelike nadilaze učinke na pet prethodno navedenih političkih dimenzija. Obnovljiva energija izvor je gospodarskog rasta i radnih mjesta za Europljane, posebno lokalnih radnih mjesta s više od 1,4 milijuna ljudi koji trenutačno rade u tom sektoru i s</w:t>
      </w:r>
      <w:r>
        <w:rPr>
          <w:rFonts w:ascii="Times New Roman" w:hAnsi="Times New Roman"/>
          <w:noProof/>
          <w:sz w:val="24"/>
        </w:rPr>
        <w:t xml:space="preserve"> povezanim prometom procijenjenim na 154,7 milijardi EUR</w:t>
      </w:r>
      <w:r>
        <w:rPr>
          <w:rStyle w:val="FootnoteReference"/>
          <w:rFonts w:ascii="Times New Roman" w:hAnsi="Times New Roman"/>
          <w:noProof/>
          <w:sz w:val="24"/>
        </w:rPr>
        <w:footnoteReference w:id="16"/>
      </w:r>
      <w:r>
        <w:rPr>
          <w:rFonts w:ascii="Times New Roman" w:hAnsi="Times New Roman"/>
          <w:noProof/>
          <w:sz w:val="24"/>
        </w:rPr>
        <w:t>. U nedavnom izvješću o cijenama i troškovima energije u Europi</w:t>
      </w:r>
      <w:r>
        <w:rPr>
          <w:rStyle w:val="FootnoteReference"/>
          <w:rFonts w:ascii="Times New Roman" w:hAnsi="Times New Roman"/>
          <w:noProof/>
          <w:sz w:val="24"/>
        </w:rPr>
        <w:footnoteReference w:id="17"/>
      </w:r>
      <w:r>
        <w:rPr>
          <w:rFonts w:ascii="Times New Roman" w:hAnsi="Times New Roman"/>
          <w:noProof/>
          <w:sz w:val="24"/>
        </w:rPr>
        <w:t xml:space="preserve"> dokumentirani su pozitivni učinci na industrijsku konkurentnost jer su veće količine obnovljive energije rezultirale smanjenjem velepr</w:t>
      </w:r>
      <w:r>
        <w:rPr>
          <w:rFonts w:ascii="Times New Roman" w:hAnsi="Times New Roman"/>
          <w:noProof/>
          <w:sz w:val="24"/>
        </w:rPr>
        <w:t>odajnih cijena energije posljednjih godina. Kako ističe IRENA, sve veća uporaba obnovljivih izvora energije pokrenula je i globalnu energetsku transformaciju koja znatno utječe na geopolitiku i u kojoj je EU jasni predvodnik</w:t>
      </w:r>
      <w:r>
        <w:rPr>
          <w:rStyle w:val="FootnoteReference"/>
          <w:rFonts w:ascii="Times New Roman" w:hAnsi="Times New Roman"/>
          <w:noProof/>
          <w:sz w:val="24"/>
        </w:rPr>
        <w:footnoteReference w:id="18"/>
      </w:r>
      <w:r>
        <w:rPr>
          <w:rFonts w:ascii="Times New Roman" w:hAnsi="Times New Roman"/>
          <w:noProof/>
          <w:sz w:val="24"/>
        </w:rPr>
        <w:t>.</w:t>
      </w:r>
    </w:p>
    <w:p w:rsidR="00B86E54" w:rsidRDefault="00ED2FDB">
      <w:pPr>
        <w:autoSpaceDE w:val="0"/>
        <w:autoSpaceDN w:val="0"/>
        <w:jc w:val="both"/>
        <w:rPr>
          <w:rFonts w:ascii="Times New Roman" w:hAnsi="Times New Roman" w:cs="Times New Roman"/>
          <w:noProof/>
          <w:sz w:val="24"/>
          <w:szCs w:val="24"/>
        </w:rPr>
      </w:pPr>
      <w:r>
        <w:rPr>
          <w:rFonts w:ascii="Times New Roman" w:hAnsi="Times New Roman"/>
          <w:noProof/>
          <w:sz w:val="24"/>
        </w:rPr>
        <w:t>Oni pridonose i smanjenju one</w:t>
      </w:r>
      <w:r>
        <w:rPr>
          <w:rFonts w:ascii="Times New Roman" w:hAnsi="Times New Roman"/>
          <w:noProof/>
          <w:sz w:val="24"/>
        </w:rPr>
        <w:t>čišćenja zraka te zemljama u razvoju olakšavaju pristup cjenovno pristupačnoj i čistoj energiji. U razdoblju od 2011. do 2016. kapacitet za proizvodnju obnovljive energije povećao se za gotovo 10 GW, dok se broj ljudi koji imaju koristi od rješenja u podru</w:t>
      </w:r>
      <w:r>
        <w:rPr>
          <w:rFonts w:ascii="Times New Roman" w:hAnsi="Times New Roman"/>
          <w:noProof/>
          <w:sz w:val="24"/>
        </w:rPr>
        <w:t>čju obnovljive energije izvan mreže povećao šesterostruko na 133 milijuna</w:t>
      </w:r>
      <w:r>
        <w:rPr>
          <w:rStyle w:val="FootnoteReference"/>
          <w:rFonts w:ascii="Times New Roman" w:hAnsi="Times New Roman"/>
          <w:noProof/>
          <w:sz w:val="24"/>
        </w:rPr>
        <w:footnoteReference w:id="19"/>
      </w:r>
      <w:r>
        <w:rPr>
          <w:rFonts w:ascii="Times New Roman" w:hAnsi="Times New Roman"/>
          <w:noProof/>
          <w:sz w:val="24"/>
        </w:rPr>
        <w:t>. Procjenjuje se da će se do 2030. iz obnovljivih izvora energije napajati više od 60 % novih pristupa električnoj energiji te da će samostalni sustavi i sustavi malih mreža napajati</w:t>
      </w:r>
      <w:r>
        <w:rPr>
          <w:rFonts w:ascii="Times New Roman" w:hAnsi="Times New Roman"/>
          <w:noProof/>
          <w:sz w:val="24"/>
        </w:rPr>
        <w:t xml:space="preserve"> više od polovice novih pristupa</w:t>
      </w:r>
      <w:r>
        <w:rPr>
          <w:rStyle w:val="FootnoteReference"/>
          <w:rFonts w:ascii="Times New Roman" w:hAnsi="Times New Roman"/>
          <w:noProof/>
          <w:sz w:val="24"/>
        </w:rPr>
        <w:footnoteReference w:id="20"/>
      </w:r>
      <w:r>
        <w:rPr>
          <w:rFonts w:ascii="Times New Roman" w:hAnsi="Times New Roman"/>
          <w:noProof/>
          <w:sz w:val="24"/>
        </w:rPr>
        <w:t>. Naposljetku, a što je i najvažnije, obnovljivi izvori energije u kombinaciji s digitalizacijom i zahvaljujući nižim troškovima tehnologije postaju prava pokretačka snaga koja potrošačima omogućuje ključnu ulogu u energets</w:t>
      </w:r>
      <w:r>
        <w:rPr>
          <w:rFonts w:ascii="Times New Roman" w:hAnsi="Times New Roman"/>
          <w:noProof/>
          <w:sz w:val="24"/>
        </w:rPr>
        <w:t>koj tranziciji.</w:t>
      </w:r>
    </w:p>
    <w:p w:rsidR="00B86E54" w:rsidRDefault="00ED2FDB">
      <w:pPr>
        <w:jc w:val="both"/>
        <w:rPr>
          <w:rFonts w:ascii="Times New Roman" w:hAnsi="Times New Roman" w:cs="Times New Roman"/>
          <w:noProof/>
          <w:sz w:val="24"/>
          <w:szCs w:val="24"/>
        </w:rPr>
      </w:pPr>
      <w:r>
        <w:rPr>
          <w:rFonts w:ascii="Times New Roman" w:hAnsi="Times New Roman"/>
          <w:noProof/>
          <w:sz w:val="24"/>
        </w:rPr>
        <w:t>Ovo izvješće pruža najnovije uvide u napredak postignut do 2017. na putu prema cilju od 20 % obnovljive energije 2020 i osvrće se na ostale obveze izvješćivanja Europske komisije u skladu s Direktivom RED I i Direktivom o neizravnoj promjen</w:t>
      </w:r>
      <w:r>
        <w:rPr>
          <w:rFonts w:ascii="Times New Roman" w:hAnsi="Times New Roman"/>
          <w:noProof/>
          <w:sz w:val="24"/>
        </w:rPr>
        <w:t>i uporabe zemljišta</w:t>
      </w:r>
      <w:r>
        <w:rPr>
          <w:rStyle w:val="FootnoteReference"/>
          <w:rFonts w:ascii="Times New Roman" w:hAnsi="Times New Roman"/>
          <w:noProof/>
          <w:sz w:val="24"/>
        </w:rPr>
        <w:footnoteReference w:id="21"/>
      </w:r>
      <w:r>
        <w:rPr>
          <w:rFonts w:ascii="Times New Roman" w:hAnsi="Times New Roman"/>
          <w:noProof/>
          <w:sz w:val="24"/>
        </w:rPr>
        <w:t>. Statistike o energiji koje su države članice dostavile Eurostatu do siječnja 2019. upotrebljavaju se kao primarni izvor podataka za ocjenjivanje napretka u ostvarivanju cilja za 2020. Ovo se izvješće temelji na 4. dvogodišnjem izvješć</w:t>
      </w:r>
      <w:r>
        <w:rPr>
          <w:rFonts w:ascii="Times New Roman" w:hAnsi="Times New Roman"/>
          <w:noProof/>
          <w:sz w:val="24"/>
        </w:rPr>
        <w:t>u država članica o napretku u području obnovljive energije kojim je obuhvaćeno razdoblje od 2015. do 2016.</w:t>
      </w:r>
      <w:r>
        <w:rPr>
          <w:rStyle w:val="FootnoteReference"/>
          <w:rFonts w:ascii="Times New Roman" w:hAnsi="Times New Roman"/>
          <w:noProof/>
          <w:sz w:val="24"/>
        </w:rPr>
        <w:footnoteReference w:id="22"/>
      </w:r>
      <w:r>
        <w:rPr>
          <w:rFonts w:ascii="Times New Roman" w:hAnsi="Times New Roman"/>
          <w:noProof/>
          <w:sz w:val="24"/>
        </w:rPr>
        <w:t xml:space="preserve"> i dopunskoj tehničkoj analizi provedenoj 2018. Uključuje i pregled potencijala u smislu mehanizama suradnje i procjena administrativnih okvira te od</w:t>
      </w:r>
      <w:r>
        <w:rPr>
          <w:rFonts w:ascii="Times New Roman" w:hAnsi="Times New Roman"/>
          <w:noProof/>
          <w:sz w:val="24"/>
        </w:rPr>
        <w:t xml:space="preserve">rživosti biogoriva. </w:t>
      </w:r>
    </w:p>
    <w:p w:rsidR="00B86E54" w:rsidRDefault="00ED2FDB">
      <w:pPr>
        <w:pStyle w:val="Heading1"/>
        <w:rPr>
          <w:noProof/>
        </w:rPr>
      </w:pPr>
      <w:bookmarkStart w:id="3" w:name="_Toc1149218"/>
      <w:r>
        <w:rPr>
          <w:noProof/>
        </w:rPr>
        <w:t>2. NAPREDAK U UPORABI OBNOVLJIVE ENERGIJE U 28 DRŽAVA ČLANICA EU-A</w:t>
      </w:r>
      <w:bookmarkEnd w:id="3"/>
      <w:r>
        <w:rPr>
          <w:noProof/>
        </w:rPr>
        <w:t xml:space="preserve"> </w:t>
      </w:r>
    </w:p>
    <w:p w:rsidR="00B86E54" w:rsidRDefault="00ED2FDB">
      <w:pPr>
        <w:jc w:val="both"/>
        <w:rPr>
          <w:rFonts w:ascii="Times New Roman" w:hAnsi="Times New Roman" w:cs="Times New Roman"/>
          <w:noProof/>
          <w:sz w:val="24"/>
          <w:szCs w:val="24"/>
        </w:rPr>
      </w:pPr>
      <w:r>
        <w:rPr>
          <w:rFonts w:ascii="Times New Roman" w:hAnsi="Times New Roman"/>
          <w:noProof/>
          <w:sz w:val="24"/>
        </w:rPr>
        <w:t>EU je 2017. ostvario udio od 17,52 % obnovljive energije u konačnoj bruto potrošnji energije u odnosu na ciljanih 20 % za 2020., što je iznad okvirne putanje od 16 % z</w:t>
      </w:r>
      <w:r>
        <w:rPr>
          <w:rFonts w:ascii="Times New Roman" w:hAnsi="Times New Roman"/>
          <w:noProof/>
          <w:sz w:val="24"/>
        </w:rPr>
        <w:t>a razdoblje od 2017. do 2018. Osim toga, i EU kao cjelina bolji je u odnosu na nešto ambicioznije putanje koje su države članice same utvrdile u nacionalnim akcijskim planovima za obnovljivu energiju (NREAP-ovi)</w:t>
      </w:r>
      <w:r>
        <w:rPr>
          <w:rStyle w:val="FootnoteReference"/>
          <w:rFonts w:ascii="Times New Roman" w:hAnsi="Times New Roman"/>
          <w:noProof/>
          <w:sz w:val="24"/>
        </w:rPr>
        <w:footnoteReference w:id="23"/>
      </w:r>
      <w:r>
        <w:rPr>
          <w:rFonts w:ascii="Times New Roman" w:hAnsi="Times New Roman"/>
          <w:noProof/>
          <w:sz w:val="24"/>
        </w:rPr>
        <w:t>. EU je na putu da ostvari svoj cilj za 2020</w:t>
      </w:r>
      <w:r>
        <w:rPr>
          <w:rFonts w:ascii="Times New Roman" w:hAnsi="Times New Roman"/>
          <w:noProof/>
          <w:sz w:val="24"/>
        </w:rPr>
        <w:t xml:space="preserve">. U proteklim godinama na razini EU-a zabilježeno je stalno povećanje ukupnog udjela obnovljivih izvora energije (RES) i sektorskih udjela obnovljive energije u sektoru električne energije (RES-E), sektoru grijanja i hlađenja (RES-H&amp;C) te, u manjoj mjeri, </w:t>
      </w:r>
      <w:r>
        <w:rPr>
          <w:rFonts w:ascii="Times New Roman" w:hAnsi="Times New Roman"/>
          <w:noProof/>
          <w:sz w:val="24"/>
        </w:rPr>
        <w:t>u sektoru prometa (RES-T).</w:t>
      </w:r>
    </w:p>
    <w:p w:rsidR="00B86E54" w:rsidRDefault="00ED2FDB">
      <w:pPr>
        <w:jc w:val="both"/>
        <w:rPr>
          <w:rFonts w:ascii="Times New Roman" w:hAnsi="Times New Roman" w:cs="Times New Roman"/>
          <w:noProof/>
          <w:sz w:val="24"/>
          <w:szCs w:val="24"/>
        </w:rPr>
      </w:pPr>
      <w:r>
        <w:rPr>
          <w:rFonts w:ascii="Times New Roman" w:hAnsi="Times New Roman"/>
          <w:noProof/>
          <w:sz w:val="24"/>
        </w:rPr>
        <w:t>Međutim, stopa rasta udjela obnovljive energije smanjila se od 2014. U odnosu na udio od 16,19 % 2014. prosječno povećanje u razdoblju od 2014. do 2017. iznosilo je samo 0,44 postotna boda godišnje, što je manje od godišnjeg pros</w:t>
      </w:r>
      <w:r>
        <w:rPr>
          <w:rFonts w:ascii="Times New Roman" w:hAnsi="Times New Roman"/>
          <w:noProof/>
          <w:sz w:val="24"/>
        </w:rPr>
        <w:t xml:space="preserve">ječnog povećanja od 0,83 postotna boda godišnje koje će biti potrebno kako bi se ostvario udio od 20 % 2020. Budući da je posljednjih godina okvirna putanja iz Direktive RED I bila strmija, za ostvarivanje ciljeva bit će potrebno uložiti stalne napore. </w:t>
      </w:r>
    </w:p>
    <w:p w:rsidR="00B86E54" w:rsidRDefault="00ED2FDB">
      <w:pPr>
        <w:jc w:val="both"/>
        <w:rPr>
          <w:rFonts w:ascii="Times New Roman" w:hAnsi="Times New Roman" w:cs="Times New Roman"/>
          <w:noProof/>
          <w:sz w:val="24"/>
          <w:szCs w:val="24"/>
        </w:rPr>
      </w:pPr>
      <w:r>
        <w:rPr>
          <w:rFonts w:ascii="Times New Roman" w:hAnsi="Times New Roman"/>
          <w:noProof/>
          <w:sz w:val="24"/>
        </w:rPr>
        <w:t>Ka</w:t>
      </w:r>
      <w:r>
        <w:rPr>
          <w:rFonts w:ascii="Times New Roman" w:hAnsi="Times New Roman"/>
          <w:noProof/>
          <w:sz w:val="24"/>
        </w:rPr>
        <w:t xml:space="preserve">d je riječ o pojedinačnim sektorima, udio obnovljive energije u sektoru električne energije, grijanja i hlađenja na razini EU-a sustavno je iznad razina koje su države članice utvrdile u svojim nacionalnim akcijskim planovima za obnovljivu energiju, dok u </w:t>
      </w:r>
      <w:r>
        <w:rPr>
          <w:rFonts w:ascii="Times New Roman" w:hAnsi="Times New Roman"/>
          <w:noProof/>
          <w:sz w:val="24"/>
        </w:rPr>
        <w:t xml:space="preserve">sektoru prometa udio obnovljivih izvora energije slijedi planiranu putanju. </w:t>
      </w:r>
    </w:p>
    <w:p w:rsidR="00B86E54" w:rsidRDefault="00B86E54">
      <w:pPr>
        <w:jc w:val="both"/>
        <w:rPr>
          <w:rFonts w:ascii="Times New Roman" w:hAnsi="Times New Roman" w:cs="Times New Roman"/>
          <w:noProof/>
          <w:sz w:val="24"/>
          <w:szCs w:val="24"/>
        </w:rPr>
      </w:pPr>
    </w:p>
    <w:p w:rsidR="00B86E54" w:rsidRDefault="00ED2FDB">
      <w:pPr>
        <w:jc w:val="both"/>
        <w:rPr>
          <w:rFonts w:ascii="Times New Roman" w:hAnsi="Times New Roman" w:cs="Times New Roman"/>
          <w:noProof/>
          <w:sz w:val="24"/>
          <w:szCs w:val="24"/>
        </w:rPr>
      </w:pPr>
      <w:r>
        <w:rPr>
          <w:noProof/>
          <w:lang w:val="fr-BE" w:eastAsia="fr-BE" w:bidi="ar-SA"/>
        </w:rPr>
        <w:drawing>
          <wp:inline distT="0" distB="0" distL="0" distR="0">
            <wp:extent cx="5731510" cy="355309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553097"/>
                    </a:xfrm>
                    <a:prstGeom prst="rect">
                      <a:avLst/>
                    </a:prstGeom>
                  </pic:spPr>
                </pic:pic>
              </a:graphicData>
            </a:graphic>
          </wp:inline>
        </w:drawing>
      </w:r>
    </w:p>
    <w:p w:rsidR="00B86E54" w:rsidRDefault="00ED2FDB">
      <w:pPr>
        <w:jc w:val="both"/>
        <w:rPr>
          <w:rFonts w:ascii="Times New Roman" w:hAnsi="Times New Roman" w:cs="Times New Roman"/>
          <w:i/>
          <w:noProof/>
          <w:sz w:val="24"/>
          <w:szCs w:val="24"/>
        </w:rPr>
      </w:pPr>
      <w:r>
        <w:rPr>
          <w:rFonts w:ascii="Times New Roman" w:hAnsi="Times New Roman"/>
          <w:b/>
          <w:i/>
          <w:noProof/>
          <w:sz w:val="24"/>
        </w:rPr>
        <w:t>Slika 1.:</w:t>
      </w:r>
      <w:r>
        <w:rPr>
          <w:rFonts w:ascii="Times New Roman" w:hAnsi="Times New Roman"/>
          <w:i/>
          <w:noProof/>
          <w:sz w:val="24"/>
        </w:rPr>
        <w:t xml:space="preserve"> Stvarni i planirani udjeli obnovljive energije 28 država članica EU-a (2005.–2020., %). Izvor: Eurostat i nacionalni akcijski planovi za obnovljivu energiju </w:t>
      </w:r>
    </w:p>
    <w:p w:rsidR="00B86E54" w:rsidRDefault="00ED2FDB">
      <w:pPr>
        <w:jc w:val="both"/>
        <w:rPr>
          <w:rFonts w:ascii="Times New Roman" w:hAnsi="Times New Roman" w:cs="Times New Roman"/>
          <w:noProof/>
          <w:sz w:val="24"/>
          <w:szCs w:val="24"/>
        </w:rPr>
      </w:pPr>
      <w:r>
        <w:rPr>
          <w:rFonts w:ascii="Times New Roman" w:hAnsi="Times New Roman"/>
          <w:noProof/>
          <w:sz w:val="24"/>
        </w:rPr>
        <w:t>U smislu</w:t>
      </w:r>
      <w:r>
        <w:rPr>
          <w:rFonts w:ascii="Times New Roman" w:hAnsi="Times New Roman"/>
          <w:noProof/>
          <w:sz w:val="24"/>
        </w:rPr>
        <w:t xml:space="preserve"> apsolutne potrošnje obnovljive energije, sektor grijanja i hlađenja ostvaruje najveći doprinos s ukupno 102 Mtoe 2017., a odmah iza njega slijede obnovljiva električna energija s potrošnjom od 86,7 Mtoe i prometni sektor s potrošnjom od 23,65 Mtoe</w:t>
      </w:r>
      <w:r>
        <w:rPr>
          <w:rFonts w:ascii="Times New Roman" w:hAnsi="Times New Roman"/>
          <w:noProof/>
          <w:sz w:val="24"/>
          <w:vertAlign w:val="superscript"/>
        </w:rPr>
        <w:footnoteReference w:id="24"/>
      </w:r>
      <w:r>
        <w:rPr>
          <w:rFonts w:ascii="Times New Roman" w:hAnsi="Times New Roman"/>
          <w:noProof/>
          <w:sz w:val="24"/>
        </w:rPr>
        <w:t xml:space="preserve">. </w:t>
      </w:r>
    </w:p>
    <w:p w:rsidR="00B86E54" w:rsidRDefault="00ED2FDB">
      <w:pPr>
        <w:jc w:val="both"/>
        <w:rPr>
          <w:rFonts w:ascii="Times New Roman" w:hAnsi="Times New Roman" w:cs="Times New Roman"/>
          <w:noProof/>
          <w:sz w:val="24"/>
          <w:szCs w:val="24"/>
        </w:rPr>
      </w:pPr>
      <w:r>
        <w:rPr>
          <w:rFonts w:ascii="Times New Roman" w:hAnsi="Times New Roman"/>
          <w:noProof/>
          <w:sz w:val="24"/>
        </w:rPr>
        <w:t>Glav</w:t>
      </w:r>
      <w:r>
        <w:rPr>
          <w:rFonts w:ascii="Times New Roman" w:hAnsi="Times New Roman"/>
          <w:noProof/>
          <w:sz w:val="24"/>
        </w:rPr>
        <w:t>ni obnovljivi izvori energije koji su se upotrebljavali u potrošnji energije bili su biomasa u sektoru grijanja i hlađenja, hidroenergija i energija vjetra u sektoru električne energije i biogoriva u sektoru prometa. U sektoru električne energije zabilježe</w:t>
      </w:r>
      <w:r>
        <w:rPr>
          <w:rFonts w:ascii="Times New Roman" w:hAnsi="Times New Roman"/>
          <w:noProof/>
          <w:sz w:val="24"/>
        </w:rPr>
        <w:t xml:space="preserve">n je jasan zaokret prema obnovljivim izvorima energije. Jedan od ključnih čimbenika bilo je smanjenje troškova električne energije iz solarne fotonaponske energije i energije vjetra, koji su se u razdoblju od 2009. do 2018. smanjili za gotovo 75 % odnosno </w:t>
      </w:r>
      <w:r>
        <w:rPr>
          <w:rFonts w:ascii="Times New Roman" w:hAnsi="Times New Roman"/>
          <w:noProof/>
          <w:sz w:val="24"/>
        </w:rPr>
        <w:t>za približno 50 % (ovisno o tržištu) kao posljedica smanjenja troškova kapitala, poboljšanja učinkovitosti i poboljšanja lanca opskrbe te konkurentnog nadmetanja u području programa potpore. Projekt Ourika u Portugalu bio je 2018. prvi europski solarni pro</w:t>
      </w:r>
      <w:r>
        <w:rPr>
          <w:rFonts w:ascii="Times New Roman" w:hAnsi="Times New Roman"/>
          <w:noProof/>
          <w:sz w:val="24"/>
        </w:rPr>
        <w:t xml:space="preserve">jekt razvijen bez ikakve vrste javne potpore. U Njemačkoj su tržišne premije plaćene za projekt solarne fotonaponske energije od 1,4 MW bile ispod tržišne vrijednosti solarne energije u ljeto 2018., dok su u Danskoj razvijeni novi projekti energije vjetra </w:t>
      </w:r>
      <w:r>
        <w:rPr>
          <w:rFonts w:ascii="Times New Roman" w:hAnsi="Times New Roman"/>
          <w:noProof/>
          <w:sz w:val="24"/>
        </w:rPr>
        <w:t>s fiksnom tarifom za opskrbu energijom od 2,5 EUR/MWh. U Njemačkoj i Nizozemskoj na natječajima za razvoj priobalnih vjetroelektrana od 1610 i 700 MW zaprimljene su ponude s nultim iznosom subvencije.</w:t>
      </w:r>
    </w:p>
    <w:p w:rsidR="00B86E54" w:rsidRDefault="00ED2FDB">
      <w:pPr>
        <w:jc w:val="both"/>
        <w:rPr>
          <w:rFonts w:ascii="Times New Roman" w:hAnsi="Times New Roman" w:cs="Times New Roman"/>
          <w:noProof/>
          <w:sz w:val="24"/>
          <w:szCs w:val="24"/>
        </w:rPr>
      </w:pPr>
      <w:r>
        <w:rPr>
          <w:rFonts w:ascii="Times New Roman" w:hAnsi="Times New Roman"/>
          <w:noProof/>
          <w:sz w:val="24"/>
        </w:rPr>
        <w:t>Smanjenje troškova isto je tako jedan od ključnih pokre</w:t>
      </w:r>
      <w:r>
        <w:rPr>
          <w:rFonts w:ascii="Times New Roman" w:hAnsi="Times New Roman"/>
          <w:noProof/>
          <w:sz w:val="24"/>
        </w:rPr>
        <w:t>tača povećanja korporativne nabave obnovljive energije, posebno u slučaju kad korporativni potrošači energije potpišu sporazum o izravnoj kupnji električne energije s poduzećima za razvoj obnovljive energije. U razdoblju od 2015. do 2018. obnovljiva elektr</w:t>
      </w:r>
      <w:r>
        <w:rPr>
          <w:rFonts w:ascii="Times New Roman" w:hAnsi="Times New Roman"/>
          <w:noProof/>
          <w:sz w:val="24"/>
        </w:rPr>
        <w:t>ična energija obuhvaćena korporativnim sporazumima o kupnji električne energije učetverostručila se u Europi</w:t>
      </w:r>
      <w:r>
        <w:rPr>
          <w:rStyle w:val="FootnoteReference"/>
          <w:rFonts w:ascii="Times New Roman" w:hAnsi="Times New Roman"/>
          <w:noProof/>
          <w:sz w:val="24"/>
        </w:rPr>
        <w:footnoteReference w:id="25"/>
      </w:r>
      <w:r>
        <w:rPr>
          <w:rFonts w:ascii="Times New Roman" w:hAnsi="Times New Roman"/>
          <w:noProof/>
          <w:sz w:val="24"/>
        </w:rPr>
        <w:t xml:space="preserve"> s 506 MW na 1 967 MW. </w:t>
      </w:r>
    </w:p>
    <w:p w:rsidR="00B86E54" w:rsidRDefault="00ED2FDB">
      <w:pPr>
        <w:pStyle w:val="Heading1"/>
        <w:rPr>
          <w:noProof/>
        </w:rPr>
      </w:pPr>
      <w:bookmarkStart w:id="4" w:name="_Toc1149219"/>
      <w:r>
        <w:rPr>
          <w:noProof/>
        </w:rPr>
        <w:t>3. DETALJNE PROCJENE NAPRETKA DRŽAVA ČLANICA I PREDVIĐANJA</w:t>
      </w:r>
      <w:bookmarkEnd w:id="4"/>
      <w:r>
        <w:rPr>
          <w:noProof/>
        </w:rPr>
        <w:t xml:space="preserve"> DO 2020.</w:t>
      </w:r>
    </w:p>
    <w:p w:rsidR="00B86E54" w:rsidRDefault="00ED2FDB">
      <w:pPr>
        <w:pStyle w:val="Heading2"/>
        <w:spacing w:after="120"/>
        <w:ind w:left="714" w:hanging="357"/>
        <w:rPr>
          <w:noProof/>
        </w:rPr>
      </w:pPr>
      <w:bookmarkStart w:id="5" w:name="_Toc1149220"/>
      <w:r>
        <w:rPr>
          <w:noProof/>
        </w:rPr>
        <w:t>Napredak u sektorima električne energije, grijanja i hl</w:t>
      </w:r>
      <w:r>
        <w:rPr>
          <w:noProof/>
        </w:rPr>
        <w:t>ađenja te prometa</w:t>
      </w:r>
      <w:bookmarkEnd w:id="5"/>
    </w:p>
    <w:p w:rsidR="00B86E54" w:rsidRDefault="00ED2FDB">
      <w:pPr>
        <w:jc w:val="both"/>
        <w:rPr>
          <w:rFonts w:ascii="Times New Roman" w:hAnsi="Times New Roman" w:cs="Times New Roman"/>
          <w:noProof/>
          <w:sz w:val="24"/>
          <w:szCs w:val="24"/>
        </w:rPr>
      </w:pPr>
      <w:r>
        <w:rPr>
          <w:rFonts w:ascii="Times New Roman" w:hAnsi="Times New Roman"/>
          <w:noProof/>
          <w:sz w:val="24"/>
        </w:rPr>
        <w:t xml:space="preserve">Udjeli obnovljive energije koji su se 2017. kretali u rasponu od 6,4 % u Luksemburgu do 54,5 % u Švedskoj odražavaju povijesnu raznolikost izvora energije država članica te njihove razlike u potencijalu obnovljive energije (vidjeti sliku </w:t>
      </w:r>
      <w:r>
        <w:rPr>
          <w:rFonts w:ascii="Times New Roman" w:hAnsi="Times New Roman"/>
          <w:noProof/>
          <w:sz w:val="24"/>
        </w:rPr>
        <w:t>2.).</w:t>
      </w:r>
    </w:p>
    <w:p w:rsidR="00B86E54" w:rsidRDefault="00ED2FDB">
      <w:pPr>
        <w:jc w:val="both"/>
        <w:rPr>
          <w:rFonts w:ascii="Times New Roman" w:hAnsi="Times New Roman" w:cs="Times New Roman"/>
          <w:noProof/>
          <w:sz w:val="24"/>
          <w:szCs w:val="24"/>
        </w:rPr>
      </w:pPr>
      <w:r>
        <w:rPr>
          <w:noProof/>
          <w:lang w:val="fr-BE" w:eastAsia="fr-BE" w:bidi="ar-SA"/>
        </w:rPr>
        <w:drawing>
          <wp:inline distT="0" distB="0" distL="0" distR="0">
            <wp:extent cx="5731510" cy="2322218"/>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322218"/>
                    </a:xfrm>
                    <a:prstGeom prst="rect">
                      <a:avLst/>
                    </a:prstGeom>
                  </pic:spPr>
                </pic:pic>
              </a:graphicData>
            </a:graphic>
          </wp:inline>
        </w:drawing>
      </w:r>
    </w:p>
    <w:p w:rsidR="00B86E54" w:rsidRDefault="00B86E54">
      <w:pPr>
        <w:jc w:val="both"/>
        <w:rPr>
          <w:rFonts w:ascii="Times New Roman" w:hAnsi="Times New Roman" w:cs="Times New Roman"/>
          <w:noProof/>
          <w:sz w:val="24"/>
          <w:szCs w:val="24"/>
        </w:rPr>
      </w:pPr>
    </w:p>
    <w:p w:rsidR="00B86E54" w:rsidRDefault="00ED2FDB">
      <w:pPr>
        <w:jc w:val="both"/>
        <w:rPr>
          <w:rFonts w:ascii="Times New Roman" w:hAnsi="Times New Roman" w:cs="Times New Roman"/>
          <w:i/>
          <w:noProof/>
          <w:sz w:val="24"/>
          <w:szCs w:val="24"/>
        </w:rPr>
      </w:pPr>
      <w:r>
        <w:rPr>
          <w:rFonts w:ascii="Times New Roman" w:hAnsi="Times New Roman"/>
          <w:b/>
          <w:noProof/>
          <w:sz w:val="24"/>
        </w:rPr>
        <w:t>Slika 2.:</w:t>
      </w:r>
      <w:r>
        <w:rPr>
          <w:rFonts w:ascii="Times New Roman" w:hAnsi="Times New Roman"/>
          <w:noProof/>
          <w:sz w:val="24"/>
        </w:rPr>
        <w:t xml:space="preserve"> </w:t>
      </w:r>
      <w:r>
        <w:rPr>
          <w:rFonts w:ascii="Times New Roman" w:hAnsi="Times New Roman"/>
          <w:i/>
          <w:noProof/>
          <w:sz w:val="24"/>
        </w:rPr>
        <w:t>Udjeli obnovljive energije EU-a i država članica u konačnoj bruto potrošnji energije u razdoblju od 2015. do 2017. u odnosu na putanje utvrđene u Direktivi RED I (izvor: Eurostat)</w:t>
      </w:r>
    </w:p>
    <w:p w:rsidR="00B86E54" w:rsidRDefault="00ED2FDB">
      <w:pPr>
        <w:jc w:val="both"/>
        <w:rPr>
          <w:rFonts w:ascii="Times New Roman" w:hAnsi="Times New Roman" w:cs="Times New Roman"/>
          <w:noProof/>
          <w:sz w:val="24"/>
          <w:szCs w:val="24"/>
        </w:rPr>
      </w:pPr>
      <w:r>
        <w:rPr>
          <w:rFonts w:ascii="Times New Roman" w:hAnsi="Times New Roman"/>
          <w:noProof/>
          <w:sz w:val="24"/>
        </w:rPr>
        <w:t>Na temelju 4. izvješćâ država članica o napretku u područj</w:t>
      </w:r>
      <w:r>
        <w:rPr>
          <w:rFonts w:ascii="Times New Roman" w:hAnsi="Times New Roman"/>
          <w:noProof/>
          <w:sz w:val="24"/>
        </w:rPr>
        <w:t>u obnovljive energije („izvješća o napretku”), kojima je obuhvaćeno razdoblje od 2015. do 2016.</w:t>
      </w:r>
      <w:r>
        <w:rPr>
          <w:rStyle w:val="FootnoteReference"/>
          <w:rFonts w:ascii="Times New Roman" w:hAnsi="Times New Roman"/>
          <w:noProof/>
          <w:sz w:val="24"/>
        </w:rPr>
        <w:footnoteReference w:id="26"/>
      </w:r>
      <w:r>
        <w:rPr>
          <w:rFonts w:ascii="Times New Roman" w:hAnsi="Times New Roman"/>
          <w:noProof/>
          <w:sz w:val="24"/>
        </w:rPr>
        <w:t xml:space="preserve">, 25 država članica premašilo je okvirne putanje iz Direktive RED I za razdoblje od 2015. do 2016. Među trima državama članicama koje nisu ostvarile putanje iz </w:t>
      </w:r>
      <w:r>
        <w:rPr>
          <w:rFonts w:ascii="Times New Roman" w:hAnsi="Times New Roman"/>
          <w:noProof/>
          <w:sz w:val="24"/>
        </w:rPr>
        <w:t>Direktive RED I, Nizozemska je zabilježila najveće odstupanje sa stvarnim prosječnim udjelom od 5,9 % za razdoblje od 2015. do 2016. u odnosu na okvirnu putanju iz Direktive RED od 7,6 %. Razlika u odnosu na udio od 9,7 % obnovljive energije 2016. predviđe</w:t>
      </w:r>
      <w:r>
        <w:rPr>
          <w:rFonts w:ascii="Times New Roman" w:hAnsi="Times New Roman"/>
          <w:noProof/>
          <w:sz w:val="24"/>
        </w:rPr>
        <w:t>n u nacionalnom akcijskom planu za obnovljivu energiju još je veća. Nizozemska i dalje zaostaje u odnosu na planiranu putanju za energiju iz obnovljivih izvora u sektoru električne energije (RES-e) te donekle kasni u planiranom razvoju energije iz obnovlji</w:t>
      </w:r>
      <w:r>
        <w:rPr>
          <w:rFonts w:ascii="Times New Roman" w:hAnsi="Times New Roman"/>
          <w:noProof/>
          <w:sz w:val="24"/>
        </w:rPr>
        <w:t xml:space="preserve">vih izvora u sektoru prometa (RES-T). Luksemburg i Francuska isto su bili ispod okvirne putanje iz Direktive RED I za razdoblje od 2015. do 2016., iako u manjoj mjeri. </w:t>
      </w:r>
    </w:p>
    <w:p w:rsidR="00B86E54" w:rsidRDefault="00ED2FDB">
      <w:pPr>
        <w:jc w:val="both"/>
        <w:rPr>
          <w:rFonts w:ascii="Times New Roman" w:hAnsi="Times New Roman" w:cs="Times New Roman"/>
          <w:noProof/>
          <w:sz w:val="24"/>
          <w:szCs w:val="24"/>
        </w:rPr>
      </w:pPr>
      <w:r>
        <w:rPr>
          <w:rFonts w:ascii="Times New Roman" w:hAnsi="Times New Roman"/>
          <w:noProof/>
          <w:sz w:val="24"/>
        </w:rPr>
        <w:t>Brojke Eurostata za 2017. ne pokazuju bitno drukčiju sliku. Udio koji odgovara cilju za</w:t>
      </w:r>
      <w:r>
        <w:rPr>
          <w:rFonts w:ascii="Times New Roman" w:hAnsi="Times New Roman"/>
          <w:noProof/>
          <w:sz w:val="24"/>
        </w:rPr>
        <w:t xml:space="preserve"> 2020. već je ostvarilo 11 država članica (Bugarska, Češka, Danska, Estonija, Finska, Hrvatska, Mađarska, Italija, Litva, Rumunjska i Švedska). Od preostalih 17 država članica, 10 ih je već dosegnulo ili premašilo privremene putanje utvrđene u Direktivi RE</w:t>
      </w:r>
      <w:r>
        <w:rPr>
          <w:rFonts w:ascii="Times New Roman" w:hAnsi="Times New Roman"/>
          <w:noProof/>
          <w:sz w:val="24"/>
        </w:rPr>
        <w:t>D I za razdoblje od 2017. do 2018. Preostalih sedam država članica (Belgija, Francuska, Irska, Luksemburg, Nizozemska, Poljska, Slovenija) trebat će pojačati aktivnosti kako bi ostvarile prosječnu putanju za razdoblje od 2017. do 2018. prema cilju za 2020.</w:t>
      </w:r>
    </w:p>
    <w:p w:rsidR="00B86E54" w:rsidRDefault="00ED2FDB">
      <w:pPr>
        <w:jc w:val="both"/>
        <w:rPr>
          <w:rFonts w:ascii="Times New Roman" w:hAnsi="Times New Roman" w:cs="Times New Roman"/>
          <w:noProof/>
          <w:sz w:val="24"/>
          <w:szCs w:val="24"/>
        </w:rPr>
      </w:pPr>
      <w:r>
        <w:rPr>
          <w:rFonts w:ascii="Times New Roman" w:hAnsi="Times New Roman"/>
          <w:noProof/>
          <w:sz w:val="24"/>
        </w:rPr>
        <w:t>S obzirom na apsolutne razine potrošnje obnovljive energije u 28 država članica EU-a, zabilježeno je znatno povećanje od 8 % sa 189 Mtoe 2015. na 204 Mtoe 2017. Međutim, u istom razdoblju konačna bruto potrošnja energije povećala se s 1 125 Mtoe na 1 159 </w:t>
      </w:r>
      <w:r>
        <w:rPr>
          <w:rFonts w:ascii="Times New Roman" w:hAnsi="Times New Roman"/>
          <w:noProof/>
          <w:sz w:val="24"/>
        </w:rPr>
        <w:t>Mtoe, što je dovelo do smanjenja udjela obnovljive energije jer se on izračunava tako da se konačna potrošnja obnovljive energije podijeli s konačnom bruto potrošnjom energije. Povećanje potražnje jedan je od temeljnih ključnih uzroka smanjenja udjela obno</w:t>
      </w:r>
      <w:r>
        <w:rPr>
          <w:rFonts w:ascii="Times New Roman" w:hAnsi="Times New Roman"/>
          <w:noProof/>
          <w:sz w:val="24"/>
        </w:rPr>
        <w:t xml:space="preserve">vljive energije 2017. u odnosu na 2016. u devet država članica (Austrija, Bugarska, Češka, Mađarska, Poljska, Portugal, Rumunjska i Slovačka). </w:t>
      </w:r>
    </w:p>
    <w:p w:rsidR="00B86E54" w:rsidRDefault="00ED2FDB">
      <w:pPr>
        <w:jc w:val="both"/>
        <w:rPr>
          <w:rFonts w:ascii="Times New Roman" w:hAnsi="Times New Roman" w:cs="Times New Roman"/>
          <w:noProof/>
          <w:sz w:val="24"/>
          <w:szCs w:val="24"/>
        </w:rPr>
      </w:pPr>
      <w:r>
        <w:rPr>
          <w:rFonts w:ascii="Times New Roman" w:hAnsi="Times New Roman"/>
          <w:noProof/>
          <w:sz w:val="24"/>
        </w:rPr>
        <w:t>Sektorski udjeli obnovljive energije povećali su se u razdoblju od 2015. do 2017. u većini država članica. Međut</w:t>
      </w:r>
      <w:r>
        <w:rPr>
          <w:rFonts w:ascii="Times New Roman" w:hAnsi="Times New Roman"/>
          <w:noProof/>
          <w:sz w:val="24"/>
        </w:rPr>
        <w:t>im, za neke države članice sektorski udjeli promijenili su se za manje od 0,3 postotna boda. To je slučaj u devet država članica kad je riječ o energiji iz obnovljivih izvora u sektoru električne energije (Bugarska, Češka, Španjolska, Mađarska, Poljska, Ru</w:t>
      </w:r>
      <w:r>
        <w:rPr>
          <w:rFonts w:ascii="Times New Roman" w:hAnsi="Times New Roman"/>
          <w:noProof/>
          <w:sz w:val="24"/>
        </w:rPr>
        <w:t>munjska, Slovenija, Slovačka, Švedska), sedam kad je riječ o energiji iz obnovljivih izvora u sektoru grijanja i hlađenja (Češka, Njemačka, Mađarska, Austrija, Poljska, Slovenija, Slovačka) i deset kad je riječ o energiji iz obnovljivih izvora u sektoru pr</w:t>
      </w:r>
      <w:r>
        <w:rPr>
          <w:rFonts w:ascii="Times New Roman" w:hAnsi="Times New Roman"/>
          <w:noProof/>
          <w:sz w:val="24"/>
        </w:rPr>
        <w:t xml:space="preserve">ometa (Češka, Danska, Estonija, Mađarska, Cipar, Latvija, Luksemburg, Austrija, Poljska, Finska).  </w:t>
      </w:r>
    </w:p>
    <w:p w:rsidR="00B86E54" w:rsidRDefault="00ED2FDB">
      <w:pPr>
        <w:jc w:val="both"/>
        <w:rPr>
          <w:rFonts w:ascii="Times New Roman" w:hAnsi="Times New Roman" w:cs="Times New Roman"/>
          <w:noProof/>
          <w:sz w:val="24"/>
          <w:szCs w:val="24"/>
        </w:rPr>
      </w:pPr>
      <w:r>
        <w:rPr>
          <w:rFonts w:ascii="Times New Roman" w:hAnsi="Times New Roman"/>
          <w:noProof/>
          <w:sz w:val="24"/>
        </w:rPr>
        <w:t>Kad je riječ o sektoru prometa u kojem bi sve države članice trebale ostvariti isti cilj od 10 % to bi usporavanje moglo biti problematično za osam država č</w:t>
      </w:r>
      <w:r>
        <w:rPr>
          <w:rFonts w:ascii="Times New Roman" w:hAnsi="Times New Roman"/>
          <w:noProof/>
          <w:sz w:val="24"/>
        </w:rPr>
        <w:t>lanica (Estonija, Grčka, Mađarska, Cipar, Latvija, Litva, Poljska, Slovenija) koje imaju manje od 5 % potrošnje obnovljive energije u sektoru prometa i stoga će im za ostvarivanje cilja od 10 % biti potrebno naglo povećanje. Možda je potrebno istražiti pri</w:t>
      </w:r>
      <w:r>
        <w:rPr>
          <w:rFonts w:ascii="Times New Roman" w:hAnsi="Times New Roman"/>
          <w:noProof/>
          <w:sz w:val="24"/>
        </w:rPr>
        <w:t xml:space="preserve">mjenu statističkih prijenosa u sektoru prometa koji su omogućeni Direktivom o neizravnoj promjeni uporabe zemljišta. </w:t>
      </w:r>
    </w:p>
    <w:p w:rsidR="00B86E54" w:rsidRDefault="00ED2FDB">
      <w:pPr>
        <w:pStyle w:val="Heading2"/>
        <w:spacing w:after="120"/>
        <w:ind w:left="714" w:hanging="357"/>
        <w:rPr>
          <w:noProof/>
        </w:rPr>
      </w:pPr>
      <w:bookmarkStart w:id="6" w:name="_Toc1149221"/>
      <w:r>
        <w:rPr>
          <w:noProof/>
        </w:rPr>
        <w:t>Mehanizmi suradnje</w:t>
      </w:r>
      <w:bookmarkEnd w:id="6"/>
    </w:p>
    <w:p w:rsidR="00B86E54" w:rsidRDefault="00ED2FDB">
      <w:pPr>
        <w:jc w:val="both"/>
        <w:rPr>
          <w:rFonts w:ascii="Times New Roman" w:hAnsi="Times New Roman" w:cs="Times New Roman"/>
          <w:noProof/>
          <w:sz w:val="24"/>
          <w:szCs w:val="24"/>
        </w:rPr>
      </w:pPr>
      <w:r>
        <w:rPr>
          <w:rFonts w:ascii="Times New Roman" w:hAnsi="Times New Roman"/>
          <w:noProof/>
          <w:sz w:val="24"/>
        </w:rPr>
        <w:t>Mehanizmi suradnje temelje se na člancima od 6. do 11. Direktive RED I. Uključuju nekoliko mehanizama za suradnju držav</w:t>
      </w:r>
      <w:r>
        <w:rPr>
          <w:rFonts w:ascii="Times New Roman" w:hAnsi="Times New Roman"/>
          <w:noProof/>
          <w:sz w:val="24"/>
        </w:rPr>
        <w:t>a članica u području obnovljive energije, kao što su statistički prijenosi, zajednički projekti i zajednički programi potpore. Statistički prijenosi posebno su važni za olakšavanje ostvarivanja ciljeva jer državama članicama koje su postigle viši udio obno</w:t>
      </w:r>
      <w:r>
        <w:rPr>
          <w:rFonts w:ascii="Times New Roman" w:hAnsi="Times New Roman"/>
          <w:noProof/>
          <w:sz w:val="24"/>
        </w:rPr>
        <w:t xml:space="preserve">vljive energije od nacionalnog cilja omogućuju da svoj višak prenesu drugoj državi članici. Trenutačno postoje dva sporazuma o primjeni statističkih prijenosa između Luksemburga i Litve te između Luksemburga i Estonije. Njima je u oba slučaja propisano da </w:t>
      </w:r>
      <w:r>
        <w:rPr>
          <w:rFonts w:ascii="Times New Roman" w:hAnsi="Times New Roman"/>
          <w:noProof/>
          <w:sz w:val="24"/>
        </w:rPr>
        <w:t xml:space="preserve">Luksemburg prima statističke prijenose za razdoblje od 2018. do 2020. </w:t>
      </w:r>
    </w:p>
    <w:p w:rsidR="00B86E54" w:rsidRDefault="00ED2FDB">
      <w:pPr>
        <w:jc w:val="both"/>
        <w:rPr>
          <w:rFonts w:ascii="Times New Roman" w:hAnsi="Times New Roman" w:cs="Times New Roman"/>
          <w:noProof/>
          <w:sz w:val="24"/>
          <w:szCs w:val="24"/>
        </w:rPr>
      </w:pPr>
      <w:r>
        <w:rPr>
          <w:rFonts w:ascii="Times New Roman" w:hAnsi="Times New Roman"/>
          <w:noProof/>
          <w:sz w:val="24"/>
        </w:rPr>
        <w:t>Prema procjenama koje su države članice uključile u svoja izvješća o napretku, u odnosu na okvirnu putanju višak proizvedene obnovljive energije dostupan za potencijalne statističke pri</w:t>
      </w:r>
      <w:r>
        <w:rPr>
          <w:rFonts w:ascii="Times New Roman" w:hAnsi="Times New Roman"/>
          <w:noProof/>
          <w:sz w:val="24"/>
        </w:rPr>
        <w:t>jenose 2020. ukupno će iznositi 12 564 ktoe. Taj iznos odgovara približno polovici konačne bruto proizvodnje energije iz obnovljivih izvora u Francuskoj. To bi za državu članicu koja možda neće ostvariti cilj za 2020. služeći se vlastitim obnovljivim izvor</w:t>
      </w:r>
      <w:r>
        <w:rPr>
          <w:rFonts w:ascii="Times New Roman" w:hAnsi="Times New Roman"/>
          <w:noProof/>
          <w:sz w:val="24"/>
        </w:rPr>
        <w:t xml:space="preserve">ima mogla biti izvediva mogućnost za troškovno isplativo ostvarivanje cilja (vidjeti tablicu 1.). </w:t>
      </w:r>
    </w:p>
    <w:tbl>
      <w:tblPr>
        <w:tblStyle w:val="Tablestylegreen2"/>
        <w:tblW w:w="5005" w:type="pct"/>
        <w:tblLook w:val="04A0" w:firstRow="1" w:lastRow="0" w:firstColumn="1" w:lastColumn="0" w:noHBand="0" w:noVBand="1"/>
      </w:tblPr>
      <w:tblGrid>
        <w:gridCol w:w="1177"/>
        <w:gridCol w:w="706"/>
        <w:gridCol w:w="706"/>
        <w:gridCol w:w="706"/>
        <w:gridCol w:w="706"/>
        <w:gridCol w:w="706"/>
        <w:gridCol w:w="706"/>
        <w:gridCol w:w="706"/>
        <w:gridCol w:w="706"/>
        <w:gridCol w:w="706"/>
        <w:gridCol w:w="706"/>
        <w:gridCol w:w="617"/>
        <w:gridCol w:w="706"/>
      </w:tblGrid>
      <w:tr w:rsidR="00B86E54" w:rsidTr="00B86E54">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761" w:type="pct"/>
            <w:noWrap/>
          </w:tcPr>
          <w:p w:rsidR="00B86E54" w:rsidRDefault="00B86E54">
            <w:pPr>
              <w:keepNext/>
              <w:spacing w:before="0" w:beforeAutospacing="0" w:after="0" w:afterAutospacing="0"/>
              <w:jc w:val="both"/>
              <w:rPr>
                <w:rFonts w:cs="Arial"/>
                <w:noProof/>
                <w:color w:val="FFFFFF" w:themeColor="background1"/>
                <w:szCs w:val="16"/>
              </w:rPr>
            </w:pP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2009.</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2010.</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2011.</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2012.</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2013.</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2014.</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2015.</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2016.</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2017.</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2018.</w:t>
            </w:r>
          </w:p>
        </w:tc>
        <w:tc>
          <w:tcPr>
            <w:tcW w:w="309"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2019.</w:t>
            </w:r>
          </w:p>
        </w:tc>
        <w:tc>
          <w:tcPr>
            <w:tcW w:w="357" w:type="pct"/>
            <w:shd w:val="clear" w:color="auto" w:fill="648C1A"/>
            <w:noWrap/>
          </w:tcPr>
          <w:p w:rsidR="00B86E54" w:rsidRDefault="00ED2FDB">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2020.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Belgija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Bugarska</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357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601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420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471</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411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341</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Češka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1 145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1 039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947</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892</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678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643</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Danska</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1 123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1 106</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1 223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1 452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552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619</w:t>
            </w:r>
          </w:p>
        </w:tc>
        <w:tc>
          <w:tcPr>
            <w:tcW w:w="309"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63</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Njemačka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6 895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8 436</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6 546</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9 390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7 272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7 911</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4 130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5 976</w:t>
            </w:r>
          </w:p>
        </w:tc>
        <w:tc>
          <w:tcPr>
            <w:tcW w:w="309"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3 065</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Estonija</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94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186</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235</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279</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296</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Irska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111</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–239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–366</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Grčka</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201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320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242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195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737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743</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683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529</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Španjolska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2 290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3 083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2 720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3 357</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1 990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2 963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2 049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2 793</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 xml:space="preserve"> </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839</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Francuska</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–2708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–1877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–1565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–3 721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–4 048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–4 075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Italija</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8 324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8 613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7 405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10 011</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10 937</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9 343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9 468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7 789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7 259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5 828</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4 462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3 397</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Cipar</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57</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Latvija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–127</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Luksemburg</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c>
          <w:tcPr>
            <w:tcW w:w="309"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Mađarska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1 213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1 295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970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803</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Malta</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09"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Nizozemska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Austrija</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Poljska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543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929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530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174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09"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587</w:t>
            </w:r>
          </w:p>
        </w:tc>
      </w:tr>
      <w:tr w:rsidR="00B86E54" w:rsidTr="00B86E54">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Portugal</w:t>
            </w: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131</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Rumunjska</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1 306</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1 089</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886</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405</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263</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Slovenija</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Slovačka</w:t>
            </w: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90</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110</w:t>
            </w:r>
          </w:p>
        </w:tc>
        <w:tc>
          <w:tcPr>
            <w:tcW w:w="309" w:type="pct"/>
            <w:noWrap/>
          </w:tcPr>
          <w:p w:rsidR="00B86E54" w:rsidRDefault="00B86E54">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Finska</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bookmarkStart w:id="7" w:name="RANGE!C29"/>
      <w:tr w:rsidR="00B86E54" w:rsidTr="00B86E5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rPr>
              <w:fldChar w:fldCharType="begin"/>
            </w:r>
            <w:r>
              <w:rPr>
                <w:noProof/>
              </w:rPr>
              <w:instrText>HYPERLINK "file:///C:\\Users\\fvonbluecher\\Desktop\\stuff\\2020%20PREBS\\Cooperation%20mechanism%20overview.xlsx" \l "RANGE!#REF!"</w:instrText>
            </w:r>
            <w:r>
              <w:rPr>
                <w:noProof/>
              </w:rPr>
              <w:fldChar w:fldCharType="separate"/>
            </w:r>
            <w:r>
              <w:rPr>
                <w:noProof/>
                <w:color w:val="FFFFFF" w:themeColor="background1"/>
              </w:rPr>
              <w:t>Švedska</w:t>
            </w:r>
            <w:r>
              <w:rPr>
                <w:noProof/>
              </w:rPr>
              <w:fldChar w:fldCharType="end"/>
            </w:r>
            <w:bookmarkEnd w:id="7"/>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2 407</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2 141</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2 482</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3 318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3 214</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3 335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3 347</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3 475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3 215</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3 610</w:t>
            </w:r>
          </w:p>
        </w:tc>
        <w:tc>
          <w:tcPr>
            <w:tcW w:w="309"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3 428</w:t>
            </w:r>
          </w:p>
        </w:tc>
        <w:tc>
          <w:tcPr>
            <w:tcW w:w="357" w:type="pct"/>
            <w:noWrap/>
          </w:tcPr>
          <w:p w:rsidR="00B86E54" w:rsidRDefault="00ED2FD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3 241</w:t>
            </w:r>
          </w:p>
        </w:tc>
      </w:tr>
      <w:tr w:rsidR="00B86E54" w:rsidTr="00B86E54">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86E54" w:rsidRDefault="00ED2FDB">
            <w:pPr>
              <w:keepNext/>
              <w:spacing w:before="0" w:beforeAutospacing="0" w:after="0" w:afterAutospacing="0"/>
              <w:jc w:val="both"/>
              <w:rPr>
                <w:rFonts w:cs="Arial"/>
                <w:b w:val="0"/>
                <w:noProof/>
                <w:color w:val="FFFFFF" w:themeColor="background1"/>
                <w:szCs w:val="16"/>
              </w:rPr>
            </w:pPr>
            <w:r>
              <w:rPr>
                <w:noProof/>
                <w:color w:val="FFFFFF" w:themeColor="background1"/>
              </w:rPr>
              <w:t xml:space="preserve">Ukupno </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11 985</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13 544</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20 838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28 332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26 660</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27 033</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23 901</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23 038</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20 722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22 752</w:t>
            </w:r>
          </w:p>
        </w:tc>
        <w:tc>
          <w:tcPr>
            <w:tcW w:w="309"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9 982</w:t>
            </w:r>
          </w:p>
        </w:tc>
        <w:tc>
          <w:tcPr>
            <w:tcW w:w="357" w:type="pct"/>
            <w:noWrap/>
          </w:tcPr>
          <w:p w:rsidR="00B86E54" w:rsidRDefault="00ED2FD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12 564</w:t>
            </w:r>
          </w:p>
        </w:tc>
      </w:tr>
    </w:tbl>
    <w:p w:rsidR="00B86E54" w:rsidRDefault="00ED2FDB">
      <w:pPr>
        <w:keepNext/>
        <w:jc w:val="both"/>
        <w:rPr>
          <w:rFonts w:ascii="Times New Roman" w:hAnsi="Times New Roman" w:cs="Times New Roman"/>
          <w:i/>
          <w:noProof/>
          <w:sz w:val="24"/>
        </w:rPr>
      </w:pPr>
      <w:r>
        <w:rPr>
          <w:rFonts w:ascii="Times New Roman" w:hAnsi="Times New Roman"/>
          <w:b/>
          <w:noProof/>
          <w:sz w:val="24"/>
        </w:rPr>
        <w:t>Tablica 1.:</w:t>
      </w:r>
      <w:r>
        <w:rPr>
          <w:rFonts w:ascii="Times New Roman" w:hAnsi="Times New Roman"/>
          <w:noProof/>
          <w:sz w:val="24"/>
        </w:rPr>
        <w:t xml:space="preserve"> </w:t>
      </w:r>
      <w:r>
        <w:rPr>
          <w:rFonts w:ascii="Times New Roman" w:hAnsi="Times New Roman"/>
          <w:i/>
          <w:noProof/>
          <w:sz w:val="24"/>
        </w:rPr>
        <w:t xml:space="preserve">Stvarni i procijenjeni višak i/ili manjak proizvedene obnovljive energije u državama članicama u odnosu na okvirnu putanju iz Direktive RED (ktoe). </w:t>
      </w:r>
      <w:r>
        <w:rPr>
          <w:rFonts w:ascii="Times New Roman" w:hAnsi="Times New Roman"/>
          <w:i/>
          <w:noProof/>
          <w:sz w:val="24"/>
        </w:rPr>
        <w:t>Izvor: Navigant 2019.</w:t>
      </w:r>
      <w:r>
        <w:rPr>
          <w:rStyle w:val="FootnoteReference"/>
          <w:rFonts w:ascii="Times New Roman" w:hAnsi="Times New Roman"/>
          <w:i/>
          <w:noProof/>
          <w:sz w:val="24"/>
        </w:rPr>
        <w:footnoteReference w:id="27"/>
      </w:r>
      <w:r>
        <w:rPr>
          <w:rFonts w:ascii="Times New Roman" w:hAnsi="Times New Roman"/>
          <w:i/>
          <w:noProof/>
          <w:sz w:val="24"/>
        </w:rPr>
        <w:t>, izvješća država članica</w:t>
      </w:r>
      <w:r>
        <w:rPr>
          <w:rStyle w:val="FootnoteReference"/>
          <w:rFonts w:ascii="Times New Roman" w:hAnsi="Times New Roman"/>
          <w:i/>
          <w:noProof/>
          <w:sz w:val="24"/>
        </w:rPr>
        <w:footnoteReference w:id="28"/>
      </w:r>
    </w:p>
    <w:p w:rsidR="00B86E54" w:rsidRDefault="00ED2FDB">
      <w:pPr>
        <w:pStyle w:val="Heading2"/>
        <w:spacing w:after="120"/>
        <w:ind w:left="714" w:hanging="357"/>
        <w:rPr>
          <w:noProof/>
        </w:rPr>
      </w:pPr>
      <w:bookmarkStart w:id="8" w:name="_Toc1149222"/>
      <w:r>
        <w:rPr>
          <w:noProof/>
        </w:rPr>
        <w:t>Predviđanja</w:t>
      </w:r>
      <w:bookmarkEnd w:id="8"/>
      <w:r>
        <w:rPr>
          <w:noProof/>
        </w:rPr>
        <w:t xml:space="preserve"> </w:t>
      </w:r>
    </w:p>
    <w:p w:rsidR="00B86E54" w:rsidRDefault="00ED2FDB">
      <w:pPr>
        <w:jc w:val="both"/>
        <w:rPr>
          <w:rFonts w:ascii="Times New Roman" w:hAnsi="Times New Roman" w:cs="Times New Roman"/>
          <w:noProof/>
          <w:sz w:val="24"/>
          <w:szCs w:val="24"/>
        </w:rPr>
      </w:pPr>
      <w:r>
        <w:rPr>
          <w:rFonts w:ascii="Times New Roman" w:hAnsi="Times New Roman"/>
          <w:noProof/>
          <w:sz w:val="24"/>
        </w:rPr>
        <w:t>Kako bi se ocijenilo je li moguće ostvariti cilj za 2020., za Komisiju je proveden postupak modeliranja</w:t>
      </w:r>
      <w:r>
        <w:rPr>
          <w:rStyle w:val="FootnoteReference"/>
          <w:rFonts w:ascii="Times New Roman" w:hAnsi="Times New Roman"/>
          <w:noProof/>
          <w:sz w:val="24"/>
        </w:rPr>
        <w:footnoteReference w:id="29"/>
      </w:r>
      <w:r>
        <w:rPr>
          <w:rFonts w:ascii="Times New Roman" w:hAnsi="Times New Roman"/>
          <w:noProof/>
          <w:sz w:val="24"/>
        </w:rPr>
        <w:t xml:space="preserve">. U analizi se za svaku državu članicu ispituje u kojoj bi mjeri postojeće inicijative </w:t>
      </w:r>
      <w:r>
        <w:rPr>
          <w:rFonts w:ascii="Times New Roman" w:hAnsi="Times New Roman"/>
          <w:noProof/>
          <w:sz w:val="24"/>
        </w:rPr>
        <w:t>politike (CPI) u području obnovljive energije (prema podacima koje države članice navode u svojim izvješćima o napretku), dopunjene planiranim inicijativama politike (PPI), bile dovoljne za ostvarivanje ciljane uporabe obnovljive energije za 2020. Na temel</w:t>
      </w:r>
      <w:r>
        <w:rPr>
          <w:rFonts w:ascii="Times New Roman" w:hAnsi="Times New Roman"/>
          <w:noProof/>
          <w:sz w:val="24"/>
        </w:rPr>
        <w:t>ju modeliranja može se očekivati, uzimajući u obzir inicijative politike u području obnovljive energije koje se trenutačno provode ili planiraju, da će 2020. udio obnovljive energije na razini EU-a biti između 18,1 % i 20,7 %</w:t>
      </w:r>
      <w:r>
        <w:rPr>
          <w:rFonts w:ascii="Times New Roman" w:hAnsi="Times New Roman"/>
          <w:noProof/>
          <w:sz w:val="24"/>
          <w:vertAlign w:val="superscript"/>
        </w:rPr>
        <w:footnoteReference w:id="30"/>
      </w:r>
      <w:r>
        <w:rPr>
          <w:rFonts w:ascii="Times New Roman" w:hAnsi="Times New Roman"/>
          <w:noProof/>
          <w:sz w:val="24"/>
        </w:rPr>
        <w:t>. Očekuje se da će određeni br</w:t>
      </w:r>
      <w:r>
        <w:rPr>
          <w:rFonts w:ascii="Times New Roman" w:hAnsi="Times New Roman"/>
          <w:noProof/>
          <w:sz w:val="24"/>
        </w:rPr>
        <w:t xml:space="preserve">oj država članica u preostalim godinama ostvariti dobre rezultate te dosegnuti razine uporabe iznad ciljanih. </w:t>
      </w:r>
    </w:p>
    <w:p w:rsidR="00B86E54" w:rsidRDefault="00ED2FDB">
      <w:pPr>
        <w:jc w:val="both"/>
        <w:rPr>
          <w:rFonts w:ascii="Times New Roman" w:hAnsi="Times New Roman" w:cs="Times New Roman"/>
          <w:noProof/>
          <w:sz w:val="24"/>
          <w:szCs w:val="24"/>
        </w:rPr>
      </w:pPr>
      <w:r>
        <w:rPr>
          <w:rFonts w:ascii="Times New Roman" w:hAnsi="Times New Roman"/>
          <w:noProof/>
          <w:sz w:val="24"/>
        </w:rPr>
        <w:t xml:space="preserve">Međutim, čini se da za 11 država članica (Belgija, Cipar, Francuska, Grčka, Irska, Luksemburg, Malta, Nizozemska, Poljska, Portugal i Ujedinjena </w:t>
      </w:r>
      <w:r>
        <w:rPr>
          <w:rFonts w:ascii="Times New Roman" w:hAnsi="Times New Roman"/>
          <w:noProof/>
          <w:sz w:val="24"/>
        </w:rPr>
        <w:t xml:space="preserve">Kraljevina) politike u području obnovljive energije koje se trenutačno provode i planirane inicijative politike u području obnovljive energije nisu dovoljne da dovedu do potrebnih količina obnovljive energije isključivo na nacionalnoj razini. </w:t>
      </w:r>
    </w:p>
    <w:p w:rsidR="00B86E54" w:rsidRDefault="00ED2FDB">
      <w:pPr>
        <w:jc w:val="both"/>
        <w:rPr>
          <w:rFonts w:ascii="Times New Roman" w:hAnsi="Times New Roman" w:cs="Times New Roman"/>
          <w:noProof/>
          <w:sz w:val="24"/>
          <w:szCs w:val="24"/>
        </w:rPr>
      </w:pPr>
      <w:r>
        <w:rPr>
          <w:rFonts w:ascii="Times New Roman" w:hAnsi="Times New Roman"/>
          <w:noProof/>
          <w:sz w:val="24"/>
        </w:rPr>
        <w:t>Osim toga, z</w:t>
      </w:r>
      <w:r>
        <w:rPr>
          <w:rFonts w:ascii="Times New Roman" w:hAnsi="Times New Roman"/>
          <w:noProof/>
          <w:sz w:val="24"/>
        </w:rPr>
        <w:t>a sedam država članica (Austrija, Njemačka, Latvija, Rumunjska, Slovenija, Slovačka i Španjolska) postoji određena nesigurnost u pogledu ostvarivanja cilja obnovljive energije za 2020. Sposobnost država članica da ostvare nacionalne obvezujuće ciljeve za 2</w:t>
      </w:r>
      <w:r>
        <w:rPr>
          <w:rFonts w:ascii="Times New Roman" w:hAnsi="Times New Roman"/>
          <w:noProof/>
          <w:sz w:val="24"/>
        </w:rPr>
        <w:t>020. uvelike će ovisiti o razinama potražnje za energijom u slučaju velikog povećanja potražnje za energijom zahvaljujući kojemu će potrošnja energije ponovno biti u skladu s izvornim kretanjem koje je navedeno u najnovijem referentnom scenariju EU-a. Rezu</w:t>
      </w:r>
      <w:r>
        <w:rPr>
          <w:rFonts w:ascii="Times New Roman" w:hAnsi="Times New Roman"/>
          <w:noProof/>
          <w:sz w:val="24"/>
        </w:rPr>
        <w:t xml:space="preserve">ltati prikazani na slici 4. uključuju dogovorene mehanizme suradnje Luksemburga, Estonije i Litve. </w:t>
      </w:r>
    </w:p>
    <w:p w:rsidR="00B86E54" w:rsidRDefault="00ED2FDB">
      <w:pPr>
        <w:jc w:val="both"/>
        <w:rPr>
          <w:rFonts w:ascii="Times New Roman" w:hAnsi="Times New Roman" w:cs="Times New Roman"/>
          <w:b/>
          <w:noProof/>
          <w:sz w:val="24"/>
          <w:szCs w:val="24"/>
        </w:rPr>
      </w:pPr>
      <w:r>
        <w:rPr>
          <w:noProof/>
          <w:lang w:val="fr-BE" w:eastAsia="fr-BE" w:bidi="ar-SA"/>
        </w:rPr>
        <w:drawing>
          <wp:inline distT="0" distB="0" distL="0" distR="0">
            <wp:extent cx="5731510" cy="2639078"/>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639078"/>
                    </a:xfrm>
                    <a:prstGeom prst="rect">
                      <a:avLst/>
                    </a:prstGeom>
                  </pic:spPr>
                </pic:pic>
              </a:graphicData>
            </a:graphic>
          </wp:inline>
        </w:drawing>
      </w:r>
    </w:p>
    <w:p w:rsidR="00B86E54" w:rsidRDefault="00ED2FDB">
      <w:pPr>
        <w:jc w:val="both"/>
        <w:rPr>
          <w:rFonts w:ascii="Times New Roman" w:hAnsi="Times New Roman" w:cs="Times New Roman"/>
          <w:i/>
          <w:noProof/>
          <w:sz w:val="24"/>
          <w:szCs w:val="24"/>
        </w:rPr>
      </w:pPr>
      <w:r>
        <w:rPr>
          <w:rFonts w:ascii="Times New Roman" w:hAnsi="Times New Roman"/>
          <w:b/>
          <w:noProof/>
          <w:sz w:val="24"/>
        </w:rPr>
        <w:t>Slika 3.:</w:t>
      </w:r>
      <w:r>
        <w:rPr>
          <w:rFonts w:ascii="Times New Roman" w:hAnsi="Times New Roman"/>
          <w:noProof/>
          <w:sz w:val="24"/>
        </w:rPr>
        <w:t xml:space="preserve"> </w:t>
      </w:r>
      <w:r>
        <w:rPr>
          <w:rFonts w:ascii="Times New Roman" w:hAnsi="Times New Roman"/>
          <w:i/>
          <w:noProof/>
          <w:sz w:val="24"/>
        </w:rPr>
        <w:t>Očekivani udio obnovljive energije 2020. u odnosu na ciljeve za 2020. iz Direktive RED i planirane ciljeve za 2020. (iz nacionalnog akcijskog pl</w:t>
      </w:r>
      <w:r>
        <w:rPr>
          <w:rFonts w:ascii="Times New Roman" w:hAnsi="Times New Roman"/>
          <w:i/>
          <w:noProof/>
          <w:sz w:val="24"/>
        </w:rPr>
        <w:t xml:space="preserve">ana za obnovljivu energiju (NREAP)), </w:t>
      </w:r>
      <w:r>
        <w:rPr>
          <w:rFonts w:ascii="Times New Roman" w:hAnsi="Times New Roman"/>
          <w:i/>
          <w:noProof/>
          <w:sz w:val="24"/>
          <w:u w:val="single"/>
        </w:rPr>
        <w:t>isključujući suradnju</w:t>
      </w:r>
      <w:r>
        <w:rPr>
          <w:rFonts w:ascii="Times New Roman" w:hAnsi="Times New Roman"/>
          <w:i/>
          <w:noProof/>
          <w:sz w:val="24"/>
        </w:rPr>
        <w:t xml:space="preserve"> (Navigant 2019.</w:t>
      </w:r>
      <w:r>
        <w:rPr>
          <w:rStyle w:val="FootnoteReference"/>
          <w:rFonts w:ascii="Times New Roman" w:hAnsi="Times New Roman"/>
          <w:i/>
          <w:noProof/>
          <w:sz w:val="24"/>
        </w:rPr>
        <w:footnoteReference w:id="31"/>
      </w:r>
      <w:r>
        <w:rPr>
          <w:rFonts w:ascii="Times New Roman" w:hAnsi="Times New Roman"/>
          <w:i/>
          <w:noProof/>
          <w:sz w:val="24"/>
        </w:rPr>
        <w:t>)</w:t>
      </w:r>
    </w:p>
    <w:p w:rsidR="00B86E54" w:rsidRDefault="00ED2FDB">
      <w:pPr>
        <w:jc w:val="both"/>
        <w:rPr>
          <w:rFonts w:ascii="Times New Roman" w:hAnsi="Times New Roman" w:cs="Times New Roman"/>
          <w:bCs/>
          <w:noProof/>
          <w:sz w:val="24"/>
          <w:szCs w:val="24"/>
        </w:rPr>
      </w:pPr>
      <w:r>
        <w:rPr>
          <w:noProof/>
          <w:lang w:val="fr-BE" w:eastAsia="fr-BE" w:bidi="ar-SA"/>
        </w:rPr>
        <w:drawing>
          <wp:inline distT="0" distB="0" distL="0" distR="0">
            <wp:extent cx="5731510" cy="2639078"/>
            <wp:effectExtent l="0" t="0" r="254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639078"/>
                    </a:xfrm>
                    <a:prstGeom prst="rect">
                      <a:avLst/>
                    </a:prstGeom>
                  </pic:spPr>
                </pic:pic>
              </a:graphicData>
            </a:graphic>
          </wp:inline>
        </w:drawing>
      </w:r>
    </w:p>
    <w:p w:rsidR="00B86E54" w:rsidRDefault="00ED2FDB">
      <w:pPr>
        <w:jc w:val="both"/>
        <w:rPr>
          <w:rFonts w:ascii="Times New Roman" w:hAnsi="Times New Roman" w:cs="Times New Roman"/>
          <w:i/>
          <w:noProof/>
          <w:sz w:val="24"/>
          <w:szCs w:val="24"/>
        </w:rPr>
      </w:pPr>
      <w:bookmarkStart w:id="9" w:name="_Ref527045038"/>
      <w:r>
        <w:rPr>
          <w:rFonts w:ascii="Times New Roman" w:hAnsi="Times New Roman"/>
          <w:b/>
          <w:noProof/>
          <w:sz w:val="24"/>
        </w:rPr>
        <w:t xml:space="preserve">Slika </w:t>
      </w:r>
      <w:bookmarkEnd w:id="9"/>
      <w:r>
        <w:rPr>
          <w:rFonts w:ascii="Times New Roman" w:hAnsi="Times New Roman"/>
          <w:b/>
          <w:noProof/>
          <w:sz w:val="24"/>
        </w:rPr>
        <w:t>4.:</w:t>
      </w:r>
      <w:r>
        <w:rPr>
          <w:rFonts w:ascii="Times New Roman" w:hAnsi="Times New Roman"/>
          <w:noProof/>
          <w:sz w:val="24"/>
        </w:rPr>
        <w:t xml:space="preserve"> </w:t>
      </w:r>
      <w:r>
        <w:rPr>
          <w:rFonts w:ascii="Times New Roman" w:hAnsi="Times New Roman"/>
          <w:i/>
          <w:noProof/>
          <w:sz w:val="24"/>
        </w:rPr>
        <w:t>Očekivani udjeli obnovljive energije 2020. u odnosu na ciljeve za 2020. iz Direktive RED i planirane ciljeve za 2020. (iz nacionalnog akcijskog plana za obnovljivu ene</w:t>
      </w:r>
      <w:r>
        <w:rPr>
          <w:rFonts w:ascii="Times New Roman" w:hAnsi="Times New Roman"/>
          <w:i/>
          <w:noProof/>
          <w:sz w:val="24"/>
        </w:rPr>
        <w:t xml:space="preserve">rgiju (NREAP)), </w:t>
      </w:r>
      <w:r>
        <w:rPr>
          <w:rFonts w:ascii="Times New Roman" w:hAnsi="Times New Roman"/>
          <w:i/>
          <w:noProof/>
          <w:sz w:val="24"/>
          <w:u w:val="single"/>
        </w:rPr>
        <w:t>uključujući mehanizme suradnje</w:t>
      </w:r>
      <w:r>
        <w:rPr>
          <w:rFonts w:ascii="Times New Roman" w:hAnsi="Times New Roman"/>
          <w:i/>
          <w:noProof/>
          <w:sz w:val="24"/>
        </w:rPr>
        <w:t xml:space="preserve"> (države članice, %). Izvor: Navigant 2019.</w:t>
      </w:r>
    </w:p>
    <w:p w:rsidR="00B86E54" w:rsidRDefault="00ED2FDB">
      <w:pPr>
        <w:jc w:val="both"/>
        <w:rPr>
          <w:rFonts w:ascii="Times New Roman" w:hAnsi="Times New Roman" w:cs="Times New Roman"/>
          <w:noProof/>
          <w:sz w:val="24"/>
          <w:szCs w:val="24"/>
        </w:rPr>
      </w:pPr>
      <w:r>
        <w:rPr>
          <w:rFonts w:ascii="Times New Roman" w:hAnsi="Times New Roman"/>
          <w:noProof/>
          <w:sz w:val="24"/>
        </w:rPr>
        <w:t>Zbog relativno niske ukupne potrošnje energije Luksemburga prijenosi iz Estonije i Litve imaju znatan utjecaj na njegovu sposobnost da ostvari cilj: samo se u najopti</w:t>
      </w:r>
      <w:r>
        <w:rPr>
          <w:rFonts w:ascii="Times New Roman" w:hAnsi="Times New Roman"/>
          <w:noProof/>
          <w:sz w:val="24"/>
        </w:rPr>
        <w:t>mističnijim scenarijima očekuje da će Luksemburg ostvariti svoj cilj od 11 % za 2020. Ti isti prijenosi imaju ograničeni učinak na udio obnovljive energije Estonije i Litve te će se u najgorem slučaju udio Estonije smanjiti za 0,7 %, a Litve za 0,9 %.</w:t>
      </w:r>
    </w:p>
    <w:p w:rsidR="00B86E54" w:rsidRDefault="00ED2FDB">
      <w:pPr>
        <w:jc w:val="both"/>
        <w:rPr>
          <w:rFonts w:ascii="Times New Roman" w:hAnsi="Times New Roman" w:cs="Times New Roman"/>
          <w:noProof/>
          <w:sz w:val="24"/>
          <w:szCs w:val="24"/>
        </w:rPr>
      </w:pPr>
      <w:bookmarkStart w:id="10" w:name="_Toc1149223"/>
      <w:r>
        <w:rPr>
          <w:rFonts w:ascii="Times New Roman" w:hAnsi="Times New Roman"/>
          <w:noProof/>
          <w:sz w:val="24"/>
        </w:rPr>
        <w:t>U sk</w:t>
      </w:r>
      <w:r>
        <w:rPr>
          <w:rFonts w:ascii="Times New Roman" w:hAnsi="Times New Roman"/>
          <w:noProof/>
          <w:sz w:val="24"/>
        </w:rPr>
        <w:t>ladu sa svojim nacrtima nacionalnih energetskih i klimatskih planova za 2030.</w:t>
      </w:r>
      <w:r>
        <w:rPr>
          <w:rStyle w:val="FootnoteReference"/>
          <w:rFonts w:ascii="Times New Roman" w:hAnsi="Times New Roman"/>
          <w:noProof/>
          <w:sz w:val="24"/>
        </w:rPr>
        <w:footnoteReference w:id="32"/>
      </w:r>
      <w:r>
        <w:rPr>
          <w:rFonts w:ascii="Times New Roman" w:hAnsi="Times New Roman"/>
          <w:noProof/>
          <w:sz w:val="24"/>
        </w:rPr>
        <w:t xml:space="preserve"> sve države članice već su dostavile buduće nacionalne doprinose obvezujućem cilju od najmanje 32 % na razini EU-a, čime bi obnovljivi izvori energije postali okosnica energetskog sustava Unije. Komisija će do lipnja 2019. ocijeniti jesu li ti nacionalni d</w:t>
      </w:r>
      <w:r>
        <w:rPr>
          <w:rFonts w:ascii="Times New Roman" w:hAnsi="Times New Roman"/>
          <w:noProof/>
          <w:sz w:val="24"/>
        </w:rPr>
        <w:t>oprinosi, uključujući povezane politike i mjere, u skladu s ambicijom EU-a i prema potrebi izdati preporuke državama članicama.</w:t>
      </w:r>
    </w:p>
    <w:p w:rsidR="00B86E54" w:rsidRDefault="00ED2FDB">
      <w:pPr>
        <w:pStyle w:val="Heading2"/>
        <w:spacing w:after="120"/>
        <w:ind w:left="714" w:hanging="357"/>
        <w:rPr>
          <w:noProof/>
        </w:rPr>
      </w:pPr>
      <w:r>
        <w:rPr>
          <w:noProof/>
        </w:rPr>
        <w:t>Administrativne prepreke</w:t>
      </w:r>
      <w:bookmarkEnd w:id="10"/>
    </w:p>
    <w:p w:rsidR="00B86E54" w:rsidRDefault="00ED2FDB">
      <w:pPr>
        <w:jc w:val="both"/>
        <w:rPr>
          <w:rFonts w:ascii="Times New Roman" w:hAnsi="Times New Roman" w:cs="Times New Roman"/>
          <w:noProof/>
          <w:sz w:val="24"/>
          <w:szCs w:val="24"/>
        </w:rPr>
      </w:pPr>
      <w:r>
        <w:rPr>
          <w:rFonts w:ascii="Times New Roman" w:hAnsi="Times New Roman"/>
          <w:noProof/>
          <w:sz w:val="24"/>
        </w:rPr>
        <w:t xml:space="preserve">U 4. nacionalnim izvješćima o napretku u području obnovljive energije države članice navode mjere za </w:t>
      </w:r>
      <w:r>
        <w:rPr>
          <w:rFonts w:ascii="Times New Roman" w:hAnsi="Times New Roman"/>
          <w:noProof/>
          <w:sz w:val="24"/>
        </w:rPr>
        <w:t>pojednostavnjenje administrativnih postupaka za projekte obnovljive energije (u skladu s člankom 13. Direktive RED I). U skladu s vanjskom analizom</w:t>
      </w:r>
      <w:r>
        <w:rPr>
          <w:rFonts w:ascii="Times New Roman" w:hAnsi="Times New Roman"/>
          <w:noProof/>
          <w:sz w:val="24"/>
          <w:vertAlign w:val="superscript"/>
        </w:rPr>
        <w:footnoteReference w:id="33"/>
      </w:r>
      <w:r>
        <w:rPr>
          <w:rFonts w:ascii="Times New Roman" w:hAnsi="Times New Roman"/>
          <w:noProof/>
          <w:sz w:val="24"/>
        </w:rPr>
        <w:t xml:space="preserve"> općenito je veliki dio relevantnih mjera iz Direktive RED I uspješno proveden u državama članicama. Te mjer</w:t>
      </w:r>
      <w:r>
        <w:rPr>
          <w:rFonts w:ascii="Times New Roman" w:hAnsi="Times New Roman"/>
          <w:noProof/>
          <w:sz w:val="24"/>
        </w:rPr>
        <w:t>e uključuju, među ostalim, olakšane postupke za male projekte, zahtjeve da operatori sustava dostave procjene troškova i druge potrebne informacije, zahtjeve u pogledu raspodjele troškova razvoja mreže i priključivanja obnovljive energije na mrežu, uvrštav</w:t>
      </w:r>
      <w:r>
        <w:rPr>
          <w:rFonts w:ascii="Times New Roman" w:hAnsi="Times New Roman"/>
          <w:noProof/>
          <w:sz w:val="24"/>
        </w:rPr>
        <w:t>anje energije iz obnovljivih izvora u sektoru električne energije u nacionalni plan razvoja mreže i postojanje programâ potpore za promicanje uporabe obnovljive energije.</w:t>
      </w:r>
    </w:p>
    <w:p w:rsidR="00B86E54" w:rsidRDefault="00ED2FDB">
      <w:pPr>
        <w:jc w:val="both"/>
        <w:rPr>
          <w:rFonts w:ascii="Times New Roman" w:hAnsi="Times New Roman" w:cs="Times New Roman"/>
          <w:noProof/>
          <w:sz w:val="24"/>
          <w:szCs w:val="24"/>
        </w:rPr>
      </w:pPr>
      <w:r>
        <w:rPr>
          <w:rFonts w:ascii="Times New Roman" w:hAnsi="Times New Roman"/>
          <w:noProof/>
          <w:sz w:val="24"/>
        </w:rPr>
        <w:t>Međutim, posljednjih godina povećale su se prepreke koje se odnose na postupke izgrad</w:t>
      </w:r>
      <w:r>
        <w:rPr>
          <w:rFonts w:ascii="Times New Roman" w:hAnsi="Times New Roman"/>
          <w:noProof/>
          <w:sz w:val="24"/>
        </w:rPr>
        <w:t>nje i planiranja. U sektoru električne energije razvoj prema većim projektima doveo je do određenih prepreka jer takvi projekti imaju dodatne zahtjeve u smislu prostornog i okolišnog planiranja. U sektoru grijanja i hlađenja prepreke su ponajprije posljedi</w:t>
      </w:r>
      <w:r>
        <w:rPr>
          <w:rFonts w:ascii="Times New Roman" w:hAnsi="Times New Roman"/>
          <w:noProof/>
          <w:sz w:val="24"/>
        </w:rPr>
        <w:t>ca nedostataka povezanih s kapacitetima mreža centraliziranog grijanja, dok su u sektoru prometa u prvom redu prisutne prepreke proizišle iz nedostatka odgovarajuće infrastrukture za biogoriva i električna vozila. Integracija rastućih kapaciteta obnovljivi</w:t>
      </w:r>
      <w:r>
        <w:rPr>
          <w:rFonts w:ascii="Times New Roman" w:hAnsi="Times New Roman"/>
          <w:noProof/>
          <w:sz w:val="24"/>
        </w:rPr>
        <w:t xml:space="preserve">h izvora energije u mrežu isto je tako izazov s kojim se većina država članica stalno suočava. Prepreke uglavnom proizlaze iz visokih troškova priključivanja na mrežu i nedostatka predvidivosti i transparentnosti postupaka priključivanja na mrežu. </w:t>
      </w:r>
    </w:p>
    <w:p w:rsidR="00B86E54" w:rsidRDefault="00ED2FDB">
      <w:pPr>
        <w:pStyle w:val="Heading1"/>
        <w:rPr>
          <w:noProof/>
        </w:rPr>
      </w:pPr>
      <w:bookmarkStart w:id="11" w:name="_Toc1149224"/>
      <w:r>
        <w:rPr>
          <w:noProof/>
        </w:rPr>
        <w:t>4. PROC</w:t>
      </w:r>
      <w:r>
        <w:rPr>
          <w:noProof/>
        </w:rPr>
        <w:t>JENA ODRŽIVOSTI BIOGORIVA</w:t>
      </w:r>
      <w:bookmarkEnd w:id="11"/>
      <w:r>
        <w:rPr>
          <w:noProof/>
          <w:vertAlign w:val="superscript"/>
        </w:rPr>
        <w:footnoteReference w:id="34"/>
      </w:r>
      <w:r>
        <w:rPr>
          <w:noProof/>
        </w:rPr>
        <w:t xml:space="preserve"> </w:t>
      </w:r>
    </w:p>
    <w:p w:rsidR="00B86E54" w:rsidRDefault="00ED2FDB">
      <w:pPr>
        <w:pStyle w:val="Heading2"/>
        <w:numPr>
          <w:ilvl w:val="0"/>
          <w:numId w:val="28"/>
        </w:numPr>
        <w:spacing w:after="120"/>
        <w:rPr>
          <w:noProof/>
        </w:rPr>
      </w:pPr>
      <w:r>
        <w:rPr>
          <w:noProof/>
        </w:rPr>
        <w:t>Pregled potrošnje biogoriva u EU-u</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Potrošnja održivih biogoriva u EU-u 2016. iznosila je 13 840 ktoe. Od toga se 11 083 ktoe (80 %) odnosilo na biodizel, a 2 620 ktoe (19 %) na bioetanol. Većina (64 %) biodizela potrošenog 2016.</w:t>
      </w:r>
      <w:r>
        <w:rPr>
          <w:rFonts w:ascii="Times New Roman" w:hAnsi="Times New Roman"/>
          <w:noProof/>
          <w:sz w:val="24"/>
        </w:rPr>
        <w:t xml:space="preserve"> u EU-u proizvedena je od sirovina iz EU-a, uglavnom od uljane repice (~38 %), upotrijebljenog ulja za kuhanje (13 %), životinjske masti (8 %) i tal-ulja (2,5 %). Preostalih 36 % biodizela potrošenog u EU-u 19,6 % proizvedeno je od palminog ulja iz Indonez</w:t>
      </w:r>
      <w:r>
        <w:rPr>
          <w:rFonts w:ascii="Times New Roman" w:hAnsi="Times New Roman"/>
          <w:noProof/>
          <w:sz w:val="24"/>
        </w:rPr>
        <w:t>ije (13,3 %) i Malezije (6,3 %), 6,1 % od uljane repice uglavnom iz Australije (2,6 %), Ukrajine (1,8 %) i Kanade (1,2 %), 4,8 % od upotrijebljenog ulja za kuhanje iz različitih zemalja izvan EU-a i 4,3 % od soje uglavnom iz Sjedinjenih Američkih Država (1</w:t>
      </w:r>
      <w:r>
        <w:rPr>
          <w:rFonts w:ascii="Times New Roman" w:hAnsi="Times New Roman"/>
          <w:noProof/>
          <w:sz w:val="24"/>
        </w:rPr>
        <w:t>,5 %) i Brazila (1,5 %).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 xml:space="preserve">Etanol potrošen u EU-u proizvodi se uglavnom od sirovina iz EU-a (65 %), uključujući pšenicu (~25 %), kukuruz (~22 %) i šećernu repu (17 %), a samo mali dio (~1 %) od celuloznog etanola. Sirovine na bazi etanola koje potječu izvan </w:t>
      </w:r>
      <w:r>
        <w:rPr>
          <w:rFonts w:ascii="Times New Roman" w:hAnsi="Times New Roman"/>
          <w:noProof/>
          <w:sz w:val="24"/>
        </w:rPr>
        <w:t>EU-a uključuju kukuruz (16,4 %), pšenicu (2,9 %) i šećernu trsku (2,9 %) iz različitih izvora. Glavne treće zemlje koje proizvode sirovine za bioetanol potrošen u EU-u uključuju Ukrajinu (9,8 %), Rusiju (2,1 %), Brazil (1,8 %), SAD (1,7 %) i Kanadu (1,6 %)</w:t>
      </w:r>
      <w:r>
        <w:rPr>
          <w:rFonts w:ascii="Times New Roman" w:hAnsi="Times New Roman"/>
          <w:noProof/>
          <w:sz w:val="24"/>
        </w:rPr>
        <w:t xml:space="preserve">. </w:t>
      </w:r>
    </w:p>
    <w:p w:rsidR="00B86E54" w:rsidRDefault="00ED2FDB">
      <w:pPr>
        <w:jc w:val="both"/>
        <w:rPr>
          <w:rFonts w:ascii="Times New Roman" w:hAnsi="Times New Roman" w:cs="Times New Roman"/>
          <w:i/>
          <w:noProof/>
          <w:sz w:val="24"/>
          <w:szCs w:val="24"/>
        </w:rPr>
      </w:pPr>
      <w:r>
        <w:rPr>
          <w:rFonts w:ascii="Times New Roman" w:hAnsi="Times New Roman"/>
          <w:noProof/>
          <w:sz w:val="24"/>
        </w:rPr>
        <w:t>Procjenjuje se da je gotovo sav bioplin koji je 2016. potrošen u EU-u dobiven iz domaćih sirovina, uglavnom iz kultura i poljoprivredno-prehrambenog otpada (uključujući gnojivo) (75 %), deponijskog plina (16 %) i plina kanalizacijskog mulja (9 %). Podri</w:t>
      </w:r>
      <w:r>
        <w:rPr>
          <w:rFonts w:ascii="Times New Roman" w:hAnsi="Times New Roman"/>
          <w:noProof/>
          <w:sz w:val="24"/>
        </w:rPr>
        <w:t xml:space="preserve">jetlo tekućih biogoriva, koja su 2016. činila manje od 1 % ukupne potrošnje bioenergije u EU-u, teško je odrediti jer države članice ne dijele sirovine prema uporabi za biogoriva i tekuća biogoriva. </w:t>
      </w:r>
    </w:p>
    <w:tbl>
      <w:tblPr>
        <w:tblStyle w:val="Tablestylegreen"/>
        <w:tblW w:w="0" w:type="auto"/>
        <w:tblLayout w:type="fixed"/>
        <w:tblLook w:val="04A0" w:firstRow="1" w:lastRow="0" w:firstColumn="1" w:lastColumn="0" w:noHBand="0" w:noVBand="1"/>
      </w:tblPr>
      <w:tblGrid>
        <w:gridCol w:w="1879"/>
        <w:gridCol w:w="709"/>
        <w:gridCol w:w="850"/>
        <w:gridCol w:w="914"/>
        <w:gridCol w:w="1071"/>
        <w:gridCol w:w="850"/>
        <w:gridCol w:w="851"/>
        <w:gridCol w:w="1134"/>
      </w:tblGrid>
      <w:tr w:rsidR="00B86E54" w:rsidTr="00B86E54">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100" w:firstRow="0" w:lastRow="0" w:firstColumn="1" w:lastColumn="0" w:oddVBand="0" w:evenVBand="0" w:oddHBand="0" w:evenHBand="0" w:firstRowFirstColumn="1" w:firstRowLastColumn="0" w:lastRowFirstColumn="0" w:lastRowLastColumn="0"/>
            <w:tcW w:w="1879" w:type="dxa"/>
            <w:noWrap/>
            <w:vAlign w:val="top"/>
          </w:tcPr>
          <w:p w:rsidR="00B86E54" w:rsidRDefault="00B86E54">
            <w:pPr>
              <w:keepNext/>
              <w:keepLines/>
              <w:tabs>
                <w:tab w:val="left" w:pos="1446"/>
              </w:tabs>
              <w:spacing w:after="200" w:line="276" w:lineRule="auto"/>
              <w:contextualSpacing w:val="0"/>
              <w:rPr>
                <w:rFonts w:ascii="Times New Roman" w:eastAsiaTheme="minorHAnsi" w:hAnsi="Times New Roman" w:cstheme="minorBidi"/>
                <w:noProof/>
                <w:sz w:val="22"/>
                <w:szCs w:val="22"/>
              </w:rPr>
            </w:pPr>
          </w:p>
        </w:tc>
        <w:tc>
          <w:tcPr>
            <w:tcW w:w="709" w:type="dxa"/>
            <w:noWrap/>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i/>
                <w:noProof/>
                <w:sz w:val="22"/>
              </w:rPr>
              <w:t>Bioplin</w:t>
            </w:r>
          </w:p>
        </w:tc>
        <w:tc>
          <w:tcPr>
            <w:tcW w:w="850" w:type="dxa"/>
            <w:noWrap/>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Biobenzin</w:t>
            </w:r>
          </w:p>
        </w:tc>
        <w:tc>
          <w:tcPr>
            <w:tcW w:w="914" w:type="dxa"/>
            <w:noWrap/>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Biodizel</w:t>
            </w:r>
          </w:p>
        </w:tc>
        <w:tc>
          <w:tcPr>
            <w:tcW w:w="1071" w:type="dxa"/>
            <w:noWrap/>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Ostala tekuća biogoriva</w:t>
            </w:r>
          </w:p>
        </w:tc>
        <w:tc>
          <w:tcPr>
            <w:tcW w:w="850" w:type="dxa"/>
            <w:noWrap/>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Biok</w:t>
            </w:r>
            <w:r>
              <w:rPr>
                <w:rFonts w:ascii="Times New Roman" w:eastAsiaTheme="minorHAnsi" w:hAnsi="Times New Roman" w:cstheme="minorBidi"/>
                <w:i/>
                <w:noProof/>
                <w:sz w:val="22"/>
              </w:rPr>
              <w:t>erozin za mlazne motore</w:t>
            </w:r>
          </w:p>
        </w:tc>
        <w:tc>
          <w:tcPr>
            <w:tcW w:w="851" w:type="dxa"/>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Ukupno tekuća biogoriva</w:t>
            </w:r>
          </w:p>
        </w:tc>
        <w:tc>
          <w:tcPr>
            <w:tcW w:w="1134" w:type="dxa"/>
            <w:textDirection w:val="btLr"/>
          </w:tcPr>
          <w:p w:rsidR="00B86E54" w:rsidRDefault="00ED2FDB">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Ukupno</w:t>
            </w:r>
          </w:p>
        </w:tc>
      </w:tr>
      <w:tr w:rsidR="00B86E54" w:rsidTr="00B86E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Cestovni promet</w:t>
            </w:r>
          </w:p>
        </w:tc>
        <w:tc>
          <w:tcPr>
            <w:tcW w:w="709"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131</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2 619</w:t>
            </w:r>
          </w:p>
        </w:tc>
        <w:tc>
          <w:tcPr>
            <w:tcW w:w="914"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11 041</w:t>
            </w:r>
          </w:p>
        </w:tc>
        <w:tc>
          <w:tcPr>
            <w:tcW w:w="1071"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4,5</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13 664</w:t>
            </w:r>
          </w:p>
        </w:tc>
        <w:tc>
          <w:tcPr>
            <w:tcW w:w="1134"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13 796</w:t>
            </w:r>
          </w:p>
        </w:tc>
      </w:tr>
      <w:tr w:rsidR="00B86E54" w:rsidTr="00B86E5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Željeznički promet</w:t>
            </w:r>
          </w:p>
        </w:tc>
        <w:tc>
          <w:tcPr>
            <w:tcW w:w="709"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B86E54" w:rsidRDefault="00B86E54">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p>
        </w:tc>
        <w:tc>
          <w:tcPr>
            <w:tcW w:w="914"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32,9</w:t>
            </w:r>
          </w:p>
        </w:tc>
        <w:tc>
          <w:tcPr>
            <w:tcW w:w="1071"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32,9</w:t>
            </w:r>
          </w:p>
        </w:tc>
        <w:tc>
          <w:tcPr>
            <w:tcW w:w="1134"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33,1</w:t>
            </w:r>
          </w:p>
        </w:tc>
      </w:tr>
      <w:tr w:rsidR="00B86E54" w:rsidTr="00B86E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Međunarodni zračni promet</w:t>
            </w:r>
          </w:p>
        </w:tc>
        <w:tc>
          <w:tcPr>
            <w:tcW w:w="709"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B86E54" w:rsidTr="00B86E5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Unutarnji zračni promet</w:t>
            </w:r>
          </w:p>
        </w:tc>
        <w:tc>
          <w:tcPr>
            <w:tcW w:w="709"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B86E54" w:rsidTr="00B86E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Unutrašnja plovidba</w:t>
            </w:r>
          </w:p>
        </w:tc>
        <w:tc>
          <w:tcPr>
            <w:tcW w:w="709"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1,4</w:t>
            </w:r>
          </w:p>
        </w:tc>
        <w:tc>
          <w:tcPr>
            <w:tcW w:w="914"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3,5</w:t>
            </w:r>
          </w:p>
        </w:tc>
        <w:tc>
          <w:tcPr>
            <w:tcW w:w="1071"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5,0</w:t>
            </w:r>
          </w:p>
        </w:tc>
        <w:tc>
          <w:tcPr>
            <w:tcW w:w="1134"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5,0</w:t>
            </w:r>
          </w:p>
        </w:tc>
      </w:tr>
      <w:tr w:rsidR="00B86E54" w:rsidTr="00B86E5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Nespecificirani promet</w:t>
            </w:r>
          </w:p>
        </w:tc>
        <w:tc>
          <w:tcPr>
            <w:tcW w:w="709"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0,5</w:t>
            </w:r>
          </w:p>
        </w:tc>
        <w:tc>
          <w:tcPr>
            <w:tcW w:w="850"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6,2</w:t>
            </w:r>
          </w:p>
        </w:tc>
        <w:tc>
          <w:tcPr>
            <w:tcW w:w="1071"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6,2</w:t>
            </w:r>
          </w:p>
        </w:tc>
        <w:tc>
          <w:tcPr>
            <w:tcW w:w="1134" w:type="dxa"/>
            <w:vAlign w:val="top"/>
          </w:tcPr>
          <w:p w:rsidR="00B86E54" w:rsidRDefault="00ED2FD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6,7</w:t>
            </w:r>
          </w:p>
        </w:tc>
      </w:tr>
      <w:tr w:rsidR="00B86E54" w:rsidTr="00B86E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86E54" w:rsidRDefault="00ED2FDB">
            <w:pPr>
              <w:keepNext/>
              <w:keepLines/>
              <w:spacing w:after="200" w:line="276" w:lineRule="auto"/>
              <w:contextualSpacing w:val="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Ukupno</w:t>
            </w:r>
          </w:p>
        </w:tc>
        <w:tc>
          <w:tcPr>
            <w:tcW w:w="709"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132</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2 620</w:t>
            </w:r>
          </w:p>
        </w:tc>
        <w:tc>
          <w:tcPr>
            <w:tcW w:w="914"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11 083</w:t>
            </w:r>
          </w:p>
        </w:tc>
        <w:tc>
          <w:tcPr>
            <w:tcW w:w="1071"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4,5</w:t>
            </w:r>
          </w:p>
        </w:tc>
        <w:tc>
          <w:tcPr>
            <w:tcW w:w="850" w:type="dxa"/>
            <w:noWrap/>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0,0</w:t>
            </w:r>
          </w:p>
        </w:tc>
        <w:tc>
          <w:tcPr>
            <w:tcW w:w="851"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13 708</w:t>
            </w:r>
          </w:p>
        </w:tc>
        <w:tc>
          <w:tcPr>
            <w:tcW w:w="1134" w:type="dxa"/>
            <w:vAlign w:val="top"/>
          </w:tcPr>
          <w:p w:rsidR="00B86E54" w:rsidRDefault="00ED2FDB">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13 840</w:t>
            </w:r>
          </w:p>
        </w:tc>
      </w:tr>
    </w:tbl>
    <w:p w:rsidR="00B86E54" w:rsidRDefault="00ED2FDB">
      <w:pPr>
        <w:jc w:val="both"/>
        <w:rPr>
          <w:rFonts w:ascii="Times New Roman" w:hAnsi="Times New Roman" w:cs="Times New Roman"/>
          <w:i/>
          <w:noProof/>
          <w:sz w:val="24"/>
          <w:szCs w:val="24"/>
        </w:rPr>
      </w:pPr>
      <w:r>
        <w:rPr>
          <w:rFonts w:ascii="Times New Roman" w:hAnsi="Times New Roman"/>
          <w:b/>
          <w:noProof/>
          <w:sz w:val="24"/>
        </w:rPr>
        <w:t>Tablica 2.:</w:t>
      </w:r>
      <w:r>
        <w:rPr>
          <w:rFonts w:ascii="Times New Roman" w:hAnsi="Times New Roman"/>
          <w:noProof/>
          <w:sz w:val="24"/>
        </w:rPr>
        <w:t xml:space="preserve"> </w:t>
      </w:r>
      <w:r>
        <w:rPr>
          <w:rFonts w:ascii="Times New Roman" w:hAnsi="Times New Roman"/>
          <w:i/>
          <w:noProof/>
          <w:sz w:val="24"/>
        </w:rPr>
        <w:t>Konačna potrošnja bioenergije u sektoru prometa u EU-u (2016., ktoe). Izvor: Eurostat</w:t>
      </w:r>
    </w:p>
    <w:p w:rsidR="00B86E54" w:rsidRDefault="00ED2FDB">
      <w:pPr>
        <w:pStyle w:val="Heading2"/>
        <w:numPr>
          <w:ilvl w:val="0"/>
          <w:numId w:val="28"/>
        </w:numPr>
        <w:spacing w:after="120"/>
        <w:rPr>
          <w:noProof/>
        </w:rPr>
      </w:pPr>
      <w:r>
        <w:rPr>
          <w:noProof/>
        </w:rPr>
        <w:t xml:space="preserve">Učinci potrošnje biogoriva u EU-u </w:t>
      </w:r>
    </w:p>
    <w:p w:rsidR="00B86E54" w:rsidRDefault="00ED2FDB">
      <w:pPr>
        <w:spacing w:before="240"/>
        <w:jc w:val="both"/>
        <w:rPr>
          <w:rFonts w:ascii="Times New Roman" w:eastAsia="Calibri" w:hAnsi="Times New Roman" w:cs="Times New Roman"/>
          <w:noProof/>
          <w:sz w:val="24"/>
          <w:szCs w:val="24"/>
        </w:rPr>
      </w:pPr>
      <w:r>
        <w:rPr>
          <w:rFonts w:ascii="Times New Roman" w:hAnsi="Times New Roman"/>
          <w:noProof/>
          <w:sz w:val="24"/>
        </w:rPr>
        <w:t>Na temelju analize podrijetla sirovina za proizvodnju biogoriva procjenjuje se da je 2016. za proizvodnju kultura namijenjenih potrošnji biogoriva u EU-u bilo potrebno 4,9 Mha zemljišta</w:t>
      </w:r>
      <w:r>
        <w:rPr>
          <w:rFonts w:ascii="Times New Roman" w:hAnsi="Times New Roman"/>
          <w:noProof/>
          <w:sz w:val="24"/>
          <w:vertAlign w:val="superscript"/>
        </w:rPr>
        <w:footnoteReference w:id="35"/>
      </w:r>
      <w:r>
        <w:rPr>
          <w:rFonts w:ascii="Times New Roman" w:hAnsi="Times New Roman"/>
          <w:noProof/>
          <w:sz w:val="24"/>
        </w:rPr>
        <w:t xml:space="preserve">. Od toga se 3,6 Mha (73 %) nalazi </w:t>
      </w:r>
      <w:r>
        <w:rPr>
          <w:rFonts w:ascii="Times New Roman" w:hAnsi="Times New Roman"/>
          <w:noProof/>
          <w:sz w:val="24"/>
        </w:rPr>
        <w:t>u EU-u, a preostalih 1,3 Mha (26 %) u trećim zemljama. U EU-u ukupna površina kultiviranog zemljišta namijenjenog proizvodnji biogoriva iznosila je 3,1 % (na temelju procjene ukupnog kultiviranog zemljišta EU-a od 115 Mha), s udjelom uljane repice u ukupno</w:t>
      </w:r>
      <w:r>
        <w:rPr>
          <w:rFonts w:ascii="Times New Roman" w:hAnsi="Times New Roman"/>
          <w:noProof/>
          <w:sz w:val="24"/>
        </w:rPr>
        <w:t>m zemljištu upotrijebljenom za proizvodnju biogoriva od 56 %. U četirima glavnim zemljama izvan EU-a koje opskrbljuju EU-u kulturama za proizvodnju biogoriva (Ukrajina, Brazil, Indonezija i Malezija) manje od 0,5 % njihova ukupnog kultiviranog zemljišta pr</w:t>
      </w:r>
      <w:r>
        <w:rPr>
          <w:rFonts w:ascii="Times New Roman" w:hAnsi="Times New Roman"/>
          <w:noProof/>
          <w:sz w:val="24"/>
        </w:rPr>
        <w:t xml:space="preserve">ipisano je toj namjeni.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Prema informacijama koje su dostavile države članice ukupne uštede emisija nastale uporabom biogoriva u sektoru prometa u EU-u iznosile su 33,2 Mt ekvivalenta CO</w:t>
      </w:r>
      <w:r>
        <w:rPr>
          <w:rFonts w:ascii="Times New Roman" w:hAnsi="Times New Roman"/>
          <w:noProof/>
          <w:sz w:val="24"/>
          <w:vertAlign w:val="subscript"/>
        </w:rPr>
        <w:t>2</w:t>
      </w:r>
      <w:r>
        <w:rPr>
          <w:rFonts w:ascii="Times New Roman" w:hAnsi="Times New Roman"/>
          <w:noProof/>
          <w:sz w:val="24"/>
        </w:rPr>
        <w:t xml:space="preserve"> 2016. Uzimajući u obzir emisije koje nastaju zbog neizravne promjene</w:t>
      </w:r>
      <w:r>
        <w:rPr>
          <w:rFonts w:ascii="Times New Roman" w:hAnsi="Times New Roman"/>
          <w:noProof/>
          <w:sz w:val="24"/>
        </w:rPr>
        <w:t xml:space="preserve"> uporabe zemljišta i koje su procijenjene na temelju količina poljoprivrednih sirovina iz 2016. pomnoženih s odgovarajućim srednjim vrijednostima uslijed neizravne promjene uporabe zemljišta iz Direktive o neizravnoj promjeni uporabe zemljišta, ukupne ušte</w:t>
      </w:r>
      <w:r>
        <w:rPr>
          <w:rFonts w:ascii="Times New Roman" w:hAnsi="Times New Roman"/>
          <w:noProof/>
          <w:sz w:val="24"/>
        </w:rPr>
        <w:t>de emisija nastale uporabom biogoriva u sektoru prometa u EU-u smanjene su na 11,8 Mt ekvivalenta CO</w:t>
      </w:r>
      <w:r>
        <w:rPr>
          <w:rFonts w:ascii="Times New Roman" w:hAnsi="Times New Roman"/>
          <w:noProof/>
          <w:sz w:val="24"/>
          <w:vertAlign w:val="subscript"/>
        </w:rPr>
        <w:t>2</w:t>
      </w:r>
      <w:r>
        <w:rPr>
          <w:rFonts w:ascii="Times New Roman" w:hAnsi="Times New Roman"/>
          <w:noProof/>
          <w:sz w:val="24"/>
        </w:rPr>
        <w:t xml:space="preserve"> (pri čemu su se uštede kretale u rasponu od 7,4 do 20,4 Mt ekvivalenta CO</w:t>
      </w:r>
      <w:r>
        <w:rPr>
          <w:rFonts w:ascii="Times New Roman" w:hAnsi="Times New Roman"/>
          <w:noProof/>
          <w:sz w:val="24"/>
          <w:vertAlign w:val="subscript"/>
        </w:rPr>
        <w:t>2</w:t>
      </w:r>
      <w:r>
        <w:rPr>
          <w:rFonts w:ascii="Times New Roman" w:hAnsi="Times New Roman"/>
          <w:noProof/>
          <w:sz w:val="24"/>
        </w:rPr>
        <w:t>)</w:t>
      </w:r>
      <w:r>
        <w:rPr>
          <w:rFonts w:ascii="Times New Roman" w:hAnsi="Times New Roman"/>
          <w:noProof/>
          <w:sz w:val="24"/>
          <w:vertAlign w:val="superscript"/>
        </w:rPr>
        <w:footnoteReference w:id="36"/>
      </w:r>
      <w:r>
        <w:rPr>
          <w:rFonts w:ascii="Times New Roman" w:hAnsi="Times New Roman"/>
          <w:noProof/>
          <w:sz w:val="24"/>
        </w:rPr>
        <w:t xml:space="preserve">.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U nedavnom sveobuhvatnom preispitivanju</w:t>
      </w:r>
      <w:r>
        <w:rPr>
          <w:rFonts w:ascii="Times New Roman" w:hAnsi="Times New Roman"/>
          <w:noProof/>
          <w:sz w:val="24"/>
          <w:vertAlign w:val="superscript"/>
        </w:rPr>
        <w:footnoteReference w:id="37"/>
      </w:r>
      <w:r>
        <w:rPr>
          <w:rFonts w:ascii="Times New Roman" w:hAnsi="Times New Roman"/>
          <w:noProof/>
          <w:sz w:val="24"/>
        </w:rPr>
        <w:t xml:space="preserve"> najnovije dostupne znanstvene literature koji je proveden za Komisiju navedeno je da je biodizel povezan s najvažnijim utjecajima neizravne promjene uporabe zemljišta (uz srednju razinu emisija koje nastaju zbog neizravne promjene uporabe zemljišta od 52 </w:t>
      </w:r>
      <w:r>
        <w:rPr>
          <w:rFonts w:ascii="Times New Roman" w:hAnsi="Times New Roman"/>
          <w:noProof/>
          <w:sz w:val="24"/>
        </w:rPr>
        <w:t>g ekvivalenta CO</w:t>
      </w:r>
      <w:r>
        <w:rPr>
          <w:rFonts w:ascii="Times New Roman" w:hAnsi="Times New Roman"/>
          <w:noProof/>
          <w:sz w:val="24"/>
          <w:vertAlign w:val="subscript"/>
        </w:rPr>
        <w:t>2</w:t>
      </w:r>
      <w:r>
        <w:rPr>
          <w:rFonts w:ascii="Times New Roman" w:hAnsi="Times New Roman"/>
          <w:noProof/>
          <w:sz w:val="24"/>
        </w:rPr>
        <w:t>/MJ), pri čemu se najveće procjene unutar te kategorije odnose na biodizel iz palminog ulja, za koji su isto tako zabilježene najveće razlike u rezultatima. Etanol proizveden iz kultura za proizvodnju hrane i hrane za životinje ima srednju</w:t>
      </w:r>
      <w:r>
        <w:rPr>
          <w:rFonts w:ascii="Times New Roman" w:hAnsi="Times New Roman"/>
          <w:noProof/>
          <w:sz w:val="24"/>
        </w:rPr>
        <w:t xml:space="preserve"> razinu emisija koje nastaju zbog neizravne promjene uporabe zemljišta od 21 g ekvivalenta CO</w:t>
      </w:r>
      <w:r>
        <w:rPr>
          <w:rFonts w:ascii="Times New Roman" w:hAnsi="Times New Roman"/>
          <w:noProof/>
          <w:sz w:val="24"/>
          <w:vertAlign w:val="subscript"/>
        </w:rPr>
        <w:t>2</w:t>
      </w:r>
      <w:r>
        <w:rPr>
          <w:rFonts w:ascii="Times New Roman" w:hAnsi="Times New Roman"/>
          <w:noProof/>
          <w:sz w:val="24"/>
        </w:rPr>
        <w:t xml:space="preserve">/MJ.  </w:t>
      </w:r>
      <w:r>
        <w:rPr>
          <w:rFonts w:ascii="Times New Roman" w:hAnsi="Times New Roman"/>
          <w:noProof/>
          <w:color w:val="000000"/>
          <w:sz w:val="24"/>
        </w:rPr>
        <w:t>Za usporedbu, privremene procijenjene emisije koje nastaju zbog neizravne promjene uporabe zemljišta navedene u Prilogu VIII. preinačenoj Direktivi o obnovl</w:t>
      </w:r>
      <w:r>
        <w:rPr>
          <w:rFonts w:ascii="Times New Roman" w:hAnsi="Times New Roman"/>
          <w:noProof/>
          <w:color w:val="000000"/>
          <w:sz w:val="24"/>
        </w:rPr>
        <w:t>jivoj energiji iznose 55 g ekvivalenta CO</w:t>
      </w:r>
      <w:r>
        <w:rPr>
          <w:rFonts w:ascii="Times New Roman" w:hAnsi="Times New Roman"/>
          <w:noProof/>
          <w:color w:val="000000"/>
          <w:sz w:val="24"/>
          <w:vertAlign w:val="subscript"/>
        </w:rPr>
        <w:t>2</w:t>
      </w:r>
      <w:r>
        <w:rPr>
          <w:rFonts w:ascii="Times New Roman" w:hAnsi="Times New Roman"/>
          <w:noProof/>
          <w:color w:val="000000"/>
          <w:sz w:val="24"/>
        </w:rPr>
        <w:t>/MJ za uljarice, 12 g ekvivalenta CO</w:t>
      </w:r>
      <w:r>
        <w:rPr>
          <w:rFonts w:ascii="Times New Roman" w:hAnsi="Times New Roman"/>
          <w:noProof/>
          <w:color w:val="000000"/>
          <w:sz w:val="24"/>
          <w:vertAlign w:val="subscript"/>
        </w:rPr>
        <w:t>2</w:t>
      </w:r>
      <w:r>
        <w:rPr>
          <w:rFonts w:ascii="Times New Roman" w:hAnsi="Times New Roman"/>
          <w:noProof/>
          <w:color w:val="000000"/>
          <w:sz w:val="24"/>
        </w:rPr>
        <w:t>/MJ za žitarice i druge kulture bogate škrobom te 13 g ekvivalenta CO</w:t>
      </w:r>
      <w:r>
        <w:rPr>
          <w:rFonts w:ascii="Times New Roman" w:hAnsi="Times New Roman"/>
          <w:noProof/>
          <w:color w:val="000000"/>
          <w:sz w:val="24"/>
          <w:vertAlign w:val="subscript"/>
        </w:rPr>
        <w:t>2</w:t>
      </w:r>
      <w:r>
        <w:rPr>
          <w:rFonts w:ascii="Times New Roman" w:hAnsi="Times New Roman"/>
          <w:noProof/>
          <w:color w:val="000000"/>
          <w:sz w:val="24"/>
        </w:rPr>
        <w:t xml:space="preserve">/MJ za šećere. Preispitivanje sadrži dodatne informacije o neizravnim učincima biogoriva.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Uzgoj sirovina z</w:t>
      </w:r>
      <w:r>
        <w:rPr>
          <w:rFonts w:ascii="Times New Roman" w:hAnsi="Times New Roman"/>
          <w:noProof/>
          <w:sz w:val="24"/>
        </w:rPr>
        <w:t>a proizvodnju biogoriva potrošenog u EU-u može potencijalno imati negativne utjecaje na okoliš, koji su specifični za lokaciju i ovise o primijenjenoj poljoprivrednoj praksi</w:t>
      </w:r>
      <w:r>
        <w:rPr>
          <w:rStyle w:val="FootnoteReference"/>
          <w:rFonts w:ascii="Times New Roman" w:hAnsi="Times New Roman"/>
          <w:noProof/>
          <w:sz w:val="24"/>
        </w:rPr>
        <w:footnoteReference w:id="38"/>
      </w:r>
      <w:r>
        <w:rPr>
          <w:rFonts w:ascii="Times New Roman" w:hAnsi="Times New Roman"/>
          <w:noProof/>
          <w:sz w:val="24"/>
        </w:rPr>
        <w:t>. Većina država članica u svojim izvješćima o napretku ističe ograničeni uzgoj sir</w:t>
      </w:r>
      <w:r>
        <w:rPr>
          <w:rFonts w:ascii="Times New Roman" w:hAnsi="Times New Roman"/>
          <w:noProof/>
          <w:sz w:val="24"/>
        </w:rPr>
        <w:t>ovina za proizvodnju biogoriva u odnosu na ukupne poljoprivredne djelatnosti, zbog čega povezane utjecaje na okoliš smatra neznatnima. Nekoliko država članica ističe da je cjelokupna poljoprivredna proizvodnja uređena u pogledu utjecaja na okoliš i stoga s</w:t>
      </w:r>
      <w:r>
        <w:rPr>
          <w:rFonts w:ascii="Times New Roman" w:hAnsi="Times New Roman"/>
          <w:noProof/>
          <w:sz w:val="24"/>
        </w:rPr>
        <w:t>matraju da proizvodnja kultura za biogorivo ne bi trebala imati veće utjecaje od proizvodnje drugih kultura</w:t>
      </w:r>
      <w:r>
        <w:rPr>
          <w:rStyle w:val="FootnoteReference"/>
          <w:rFonts w:ascii="Times New Roman" w:hAnsi="Times New Roman"/>
          <w:noProof/>
          <w:sz w:val="24"/>
        </w:rPr>
        <w:footnoteReference w:id="39"/>
      </w:r>
      <w:r>
        <w:rPr>
          <w:rFonts w:ascii="Times New Roman" w:hAnsi="Times New Roman"/>
          <w:noProof/>
          <w:sz w:val="24"/>
        </w:rPr>
        <w:t>. Vanjska studija sadržava detaljnu procjenu učinka proizvodnje biogoriva potrošenih unutar EU-a na okoliš</w:t>
      </w:r>
      <w:r>
        <w:rPr>
          <w:rStyle w:val="FootnoteReference"/>
          <w:rFonts w:ascii="Times New Roman" w:hAnsi="Times New Roman"/>
          <w:noProof/>
          <w:sz w:val="24"/>
        </w:rPr>
        <w:footnoteReference w:id="40"/>
      </w:r>
      <w:r>
        <w:rPr>
          <w:rFonts w:ascii="Times New Roman" w:hAnsi="Times New Roman"/>
          <w:noProof/>
          <w:sz w:val="24"/>
        </w:rPr>
        <w:t>. Komisija je nedavno objavila sveobuhvat</w:t>
      </w:r>
      <w:r>
        <w:rPr>
          <w:rFonts w:ascii="Times New Roman" w:hAnsi="Times New Roman"/>
          <w:noProof/>
          <w:sz w:val="24"/>
        </w:rPr>
        <w:t>no izvješće s najnovijim dostupnim podacima i procjenom stanja u pogledu proširenja proizvodnje hrane i životinjske hrane diljem svijeta</w:t>
      </w:r>
      <w:r>
        <w:rPr>
          <w:rStyle w:val="FootnoteReference"/>
          <w:rFonts w:ascii="Times New Roman" w:hAnsi="Times New Roman"/>
          <w:noProof/>
          <w:sz w:val="24"/>
        </w:rPr>
        <w:footnoteReference w:id="41"/>
      </w:r>
      <w:r>
        <w:rPr>
          <w:rFonts w:ascii="Times New Roman" w:hAnsi="Times New Roman"/>
          <w:noProof/>
          <w:sz w:val="24"/>
        </w:rPr>
        <w:t>.</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Okvir EU-a za održivost bioenergije ojačan je preinačenom Direktivom o obnovljivoj energiji. Konkretno, Direktivom se</w:t>
      </w:r>
      <w:r>
        <w:rPr>
          <w:rFonts w:ascii="Times New Roman" w:hAnsi="Times New Roman"/>
          <w:noProof/>
          <w:sz w:val="24"/>
        </w:rPr>
        <w:t xml:space="preserve"> utvrđuju nacionalna ograničenja koja će se do 2030. postupno smanjiti na nulu za biogoriva, tekuća biogoriva i goriva iz biomase s visokim rizikom od neizravne promjene uporabe zemljišta proizvedena od kultura za proizvodnju hrane i hrane za životinje za </w:t>
      </w:r>
      <w:r>
        <w:rPr>
          <w:rFonts w:ascii="Times New Roman" w:hAnsi="Times New Roman"/>
          <w:noProof/>
          <w:sz w:val="24"/>
        </w:rPr>
        <w:t>koje je uočeno znatno širenje proizvodnog područja na zemljište s velikim zalihama ugljika. Ta će ograničenja utjecati na količinu tih goriva koja se može uzeti u obzir pri izračunu ukupnog udjela obnovljivih izvora energije i udjela obnovljivih izvora ene</w:t>
      </w:r>
      <w:r>
        <w:rPr>
          <w:rFonts w:ascii="Times New Roman" w:hAnsi="Times New Roman"/>
          <w:noProof/>
          <w:sz w:val="24"/>
        </w:rPr>
        <w:t xml:space="preserve">rgije u prometu. Međutim, Direktivom se omogućuje da se od primjene nacionalnih gornjih vrijednosti izuzmu ona biogoriva, tekuća biogoriva i goriva iz biomase koja su certificirana kao goriva s niskim rizikom od neizravne promjene uporabe zemljišta.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Za pr</w:t>
      </w:r>
      <w:r>
        <w:rPr>
          <w:rFonts w:ascii="Times New Roman" w:hAnsi="Times New Roman"/>
          <w:noProof/>
          <w:sz w:val="24"/>
        </w:rPr>
        <w:t>ovedbu tog pristupa Komisija je 13. ožujka 2019. donijela Delegirani akt o biogorivima s visokim i niskim rizikom od neizravne promjene uporabe zemljišta</w:t>
      </w:r>
      <w:r>
        <w:rPr>
          <w:rStyle w:val="FootnoteReference"/>
          <w:rFonts w:ascii="Times New Roman" w:hAnsi="Times New Roman"/>
          <w:noProof/>
          <w:sz w:val="24"/>
        </w:rPr>
        <w:footnoteReference w:id="42"/>
      </w:r>
      <w:r>
        <w:rPr>
          <w:rFonts w:ascii="Times New Roman" w:hAnsi="Times New Roman"/>
          <w:noProof/>
          <w:sz w:val="24"/>
        </w:rPr>
        <w:t xml:space="preserve"> koji je proslijeđen Vijeću i Parlamentu na razmatranje. EU je u načelu odlučio da će se u budućnosti </w:t>
      </w:r>
      <w:r>
        <w:rPr>
          <w:rFonts w:ascii="Times New Roman" w:hAnsi="Times New Roman"/>
          <w:noProof/>
          <w:sz w:val="24"/>
        </w:rPr>
        <w:t>usmjeriti na promicanje naprednih biogoriva i drugih niskougljičnih goriva, kao što su obnovljiva električna energija te obnovljiva tekuća i plinovita goriva nebiološkog podrijetla namijenjena uporabi u prometu. Napredna biogoriva danas imaju samo vrlo mal</w:t>
      </w:r>
      <w:r>
        <w:rPr>
          <w:rFonts w:ascii="Times New Roman" w:hAnsi="Times New Roman"/>
          <w:noProof/>
          <w:sz w:val="24"/>
        </w:rPr>
        <w:t>i tržišni udio, ali postoji znatan potencijal za povećanje proizvodnje. Komisija će nastaviti promicati razvoj naprednih biogoriva, među ostalim i istraživanjem izvora za potencijalne nove sirovine. Iako u ovoj fazi nije dostupno dovoljno znanstvenih dokaz</w:t>
      </w:r>
      <w:r>
        <w:rPr>
          <w:rFonts w:ascii="Times New Roman" w:hAnsi="Times New Roman"/>
          <w:noProof/>
          <w:sz w:val="24"/>
        </w:rPr>
        <w:t>a kojima se opravdava proširenje sirovinske osnove za napredna biogoriva koja je utvrđena u Prilogu IX. Direktivi RED II, Komisija će nastaviti ocjenjivati mogućnost uporabe dodatnih sirovina za proizvodnju naprednih biogoriva u budućnosti</w:t>
      </w:r>
      <w:r>
        <w:rPr>
          <w:rStyle w:val="FootnoteReference"/>
          <w:rFonts w:ascii="Times New Roman" w:hAnsi="Times New Roman"/>
          <w:noProof/>
          <w:sz w:val="24"/>
        </w:rPr>
        <w:footnoteReference w:id="43"/>
      </w:r>
      <w:r>
        <w:rPr>
          <w:rFonts w:ascii="Times New Roman" w:hAnsi="Times New Roman"/>
          <w:noProof/>
          <w:sz w:val="24"/>
        </w:rPr>
        <w:t>.</w:t>
      </w:r>
    </w:p>
    <w:p w:rsidR="00B86E54" w:rsidRDefault="00ED2FDB">
      <w:pPr>
        <w:pStyle w:val="Heading2"/>
        <w:numPr>
          <w:ilvl w:val="0"/>
          <w:numId w:val="28"/>
        </w:numPr>
        <w:spacing w:after="120"/>
        <w:rPr>
          <w:noProof/>
        </w:rPr>
      </w:pPr>
      <w:r>
        <w:rPr>
          <w:noProof/>
        </w:rPr>
        <w:t>Provedba dobro</w:t>
      </w:r>
      <w:r>
        <w:rPr>
          <w:noProof/>
        </w:rPr>
        <w:t xml:space="preserve">voljnih programa koje priznaje Komisija </w:t>
      </w:r>
    </w:p>
    <w:p w:rsidR="00B86E54" w:rsidRDefault="00ED2FDB">
      <w:pPr>
        <w:spacing w:before="240"/>
        <w:jc w:val="both"/>
        <w:rPr>
          <w:rFonts w:ascii="Times New Roman" w:eastAsia="Calibri" w:hAnsi="Times New Roman" w:cs="Times New Roman"/>
          <w:noProof/>
          <w:sz w:val="24"/>
          <w:szCs w:val="24"/>
        </w:rPr>
      </w:pPr>
      <w:r>
        <w:rPr>
          <w:rFonts w:ascii="Times New Roman" w:hAnsi="Times New Roman"/>
          <w:noProof/>
          <w:sz w:val="24"/>
        </w:rPr>
        <w:t>Komisija je u skladu s Direktivom RED I ovlaštena priznati međunarodne ili nacionalne programe certificiranja, odnosno dobrovoljne programe, koje operatori mogu upotrijebiti kako bi dokazali usklađenost s kriterijim</w:t>
      </w:r>
      <w:r>
        <w:rPr>
          <w:rFonts w:ascii="Times New Roman" w:hAnsi="Times New Roman"/>
          <w:noProof/>
          <w:sz w:val="24"/>
        </w:rPr>
        <w:t>a održivosti i ušteda emisija stakleničkih plinova iz Direktive o biogorivima i tekućim biogorivima. Trenutačno je u tu svrhu priznato 14 dobrovoljnih programa</w:t>
      </w:r>
      <w:r>
        <w:rPr>
          <w:noProof/>
          <w:vertAlign w:val="superscript"/>
        </w:rPr>
        <w:footnoteReference w:id="44"/>
      </w:r>
      <w:r>
        <w:rPr>
          <w:rFonts w:ascii="Times New Roman" w:hAnsi="Times New Roman"/>
          <w:noProof/>
          <w:sz w:val="24"/>
        </w:rPr>
        <w:t>. Od država članica zahtijeva se da prihvate dokaze u pogledu kriterija održivosti koje su opera</w:t>
      </w:r>
      <w:r>
        <w:rPr>
          <w:rFonts w:ascii="Times New Roman" w:hAnsi="Times New Roman"/>
          <w:noProof/>
          <w:sz w:val="24"/>
        </w:rPr>
        <w:t>tori dobili sudjelovanjem u tim programima. Tom se odredbom uvelike olakšava provedba kriterija održivosti jer se operatorima omogućuju pružanje potrebnih dokaza u skladu s jedinstvenim upravnim postupkom u svim državama članicama EU-a</w:t>
      </w:r>
      <w:r>
        <w:rPr>
          <w:noProof/>
          <w:vertAlign w:val="superscript"/>
        </w:rPr>
        <w:footnoteReference w:id="45"/>
      </w:r>
      <w:r>
        <w:rPr>
          <w:rFonts w:ascii="Times New Roman" w:hAnsi="Times New Roman"/>
          <w:noProof/>
          <w:sz w:val="24"/>
        </w:rPr>
        <w:t xml:space="preserve">. Svaki dobrovoljni </w:t>
      </w:r>
      <w:r>
        <w:rPr>
          <w:rFonts w:ascii="Times New Roman" w:hAnsi="Times New Roman"/>
          <w:noProof/>
          <w:sz w:val="24"/>
        </w:rPr>
        <w:t>program o kojem je donesena odluka i koji se provodi posljednjih dvanaest mjeseci dužan je svake godine dostaviti izvješće Komisiji</w:t>
      </w:r>
      <w:r>
        <w:rPr>
          <w:rStyle w:val="FootnoteReference"/>
          <w:rFonts w:ascii="Times New Roman" w:hAnsi="Times New Roman"/>
          <w:noProof/>
          <w:sz w:val="24"/>
        </w:rPr>
        <w:footnoteReference w:id="46"/>
      </w:r>
      <w:r>
        <w:rPr>
          <w:rFonts w:ascii="Times New Roman" w:hAnsi="Times New Roman"/>
          <w:noProof/>
          <w:sz w:val="24"/>
        </w:rPr>
        <w:t xml:space="preserve">.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 xml:space="preserve">U posljednjih nekoliko godina dobrovoljni programi postali su glavni alat za dokazivanje usklađenosti s kriterijima </w:t>
      </w:r>
      <w:r>
        <w:rPr>
          <w:rFonts w:ascii="Times New Roman" w:hAnsi="Times New Roman"/>
          <w:noProof/>
          <w:sz w:val="24"/>
        </w:rPr>
        <w:t>održivosti biogoriva EU-a. U kalendarskoj godini 2017. potvrđeno je da 21 429 kilotona (kt) tekućih biogoriva (uključujući čisto biljno ulje), 140 045 tisuća m</w:t>
      </w:r>
      <w:r>
        <w:rPr>
          <w:rFonts w:ascii="Times New Roman" w:hAnsi="Times New Roman"/>
          <w:noProof/>
          <w:sz w:val="24"/>
          <w:vertAlign w:val="superscript"/>
        </w:rPr>
        <w:t>3</w:t>
      </w:r>
      <w:r>
        <w:rPr>
          <w:rFonts w:ascii="Times New Roman" w:hAnsi="Times New Roman"/>
          <w:noProof/>
          <w:sz w:val="24"/>
        </w:rPr>
        <w:t xml:space="preserve"> biometana (što odgovara količini od oko 100,8 kt) i 119 119 kt sirovina udovoljava kriterijima </w:t>
      </w:r>
      <w:r>
        <w:rPr>
          <w:rFonts w:ascii="Times New Roman" w:hAnsi="Times New Roman"/>
          <w:noProof/>
          <w:sz w:val="24"/>
        </w:rPr>
        <w:t>održivosti EU-a iz članka 17. stavaka od 2. do 5. Direktive o obnovljivoj energiji. Analizirajući detaljnije certificirana tekuća biogoriva, biodizel je iznosio 12 198 kt (57 % ukupne količine), a bioetanol 6 224 kt (29 %). Ostatak su činila biogoriva iz b</w:t>
      </w:r>
      <w:r>
        <w:rPr>
          <w:rFonts w:ascii="Times New Roman" w:hAnsi="Times New Roman"/>
          <w:noProof/>
          <w:sz w:val="24"/>
        </w:rPr>
        <w:t>iljnog ulja obrađenog vodikom (1 784 kt, 8 %), čisto biljno ulje (1 053 kt, 5 %) i druga goriva. Prema količini certificiranih sirovina koje se upotrebljavaju za proizvodnju biogoriva najzastupljeniji su bili uljana repica (27 %), palmino ulje (16 %), upot</w:t>
      </w:r>
      <w:r>
        <w:rPr>
          <w:rFonts w:ascii="Times New Roman" w:hAnsi="Times New Roman"/>
          <w:noProof/>
          <w:sz w:val="24"/>
        </w:rPr>
        <w:t xml:space="preserve">rijebljeno ulje za kuhanje (13 %) i kukuruz (12 %). </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 xml:space="preserve">Komisija priznaje samo programe koji ispunjuju odgovarajuće standarde pouzdanosti, transparentnost i neovisne revizije. Komisija u tu svrhu provodi temeljito procjenjivanje dobrovoljnih programa za koje </w:t>
      </w:r>
      <w:r>
        <w:rPr>
          <w:rFonts w:ascii="Times New Roman" w:hAnsi="Times New Roman"/>
          <w:noProof/>
          <w:sz w:val="24"/>
        </w:rPr>
        <w:t>se traži priznavanje</w:t>
      </w:r>
      <w:r>
        <w:rPr>
          <w:rStyle w:val="FootnoteReference"/>
          <w:rFonts w:ascii="Times New Roman" w:hAnsi="Times New Roman"/>
          <w:noProof/>
          <w:sz w:val="24"/>
        </w:rPr>
        <w:footnoteReference w:id="47"/>
      </w:r>
      <w:r>
        <w:rPr>
          <w:rFonts w:ascii="Times New Roman" w:hAnsi="Times New Roman"/>
          <w:noProof/>
          <w:sz w:val="24"/>
        </w:rPr>
        <w:t>. Time se osigurava, među ostalim, poštovanje kriterija održivosti iz Direktive RED I među proizvođačima, sljedivost informacija o svojstvima održivosti do podrijetla sirovine, revizija poduzeća prije početka njegova sudjelovanja u pro</w:t>
      </w:r>
      <w:r>
        <w:rPr>
          <w:rFonts w:ascii="Times New Roman" w:hAnsi="Times New Roman"/>
          <w:noProof/>
          <w:sz w:val="24"/>
        </w:rPr>
        <w:t>gramu, redovita provedba retroaktivnih revizija i vanjski neovisni revizori.</w:t>
      </w:r>
    </w:p>
    <w:p w:rsidR="00B86E54" w:rsidRDefault="00ED2FDB">
      <w:pPr>
        <w:jc w:val="both"/>
        <w:rPr>
          <w:rFonts w:ascii="Times New Roman" w:eastAsia="Calibri" w:hAnsi="Times New Roman" w:cs="Times New Roman"/>
          <w:noProof/>
          <w:sz w:val="24"/>
          <w:szCs w:val="24"/>
        </w:rPr>
      </w:pPr>
      <w:r>
        <w:rPr>
          <w:rFonts w:ascii="Times New Roman" w:hAnsi="Times New Roman"/>
          <w:noProof/>
          <w:sz w:val="24"/>
        </w:rPr>
        <w:t>Posljednjih godina upravljanje dobrovoljnim programima pod pojačanim je javnim nadzorom</w:t>
      </w:r>
      <w:r>
        <w:rPr>
          <w:rStyle w:val="FootnoteReference"/>
          <w:rFonts w:ascii="Times New Roman" w:hAnsi="Times New Roman"/>
          <w:noProof/>
          <w:sz w:val="24"/>
        </w:rPr>
        <w:footnoteReference w:id="48"/>
      </w:r>
      <w:r>
        <w:rPr>
          <w:rFonts w:ascii="Times New Roman" w:hAnsi="Times New Roman"/>
          <w:noProof/>
          <w:sz w:val="24"/>
        </w:rPr>
        <w:t>. Kako bi se riješila ta pitanja i zajamčila stroga provedba, članak 30. Direktive RED II uključuje pooštrena pravila za provjeru kriterija održivosti bioenergije, uključujući pojačani nadzor dobrovoljnih programa na nacionalnoj razini i razini EU-a te rev</w:t>
      </w:r>
      <w:r>
        <w:rPr>
          <w:rFonts w:ascii="Times New Roman" w:hAnsi="Times New Roman"/>
          <w:noProof/>
          <w:sz w:val="24"/>
        </w:rPr>
        <w:t>izije koje obavlja treća strana. Osim toga, Komisija je obvezna donijeti detaljna provedbena pravila o odgovarajućim standardima pouzdanosti, transparentnosti i neovisne revizije te zahtijevati da ih primjenjuju svi priznati dobrovoljni programi. Naposljet</w:t>
      </w:r>
      <w:r>
        <w:rPr>
          <w:rFonts w:ascii="Times New Roman" w:hAnsi="Times New Roman"/>
          <w:noProof/>
          <w:sz w:val="24"/>
        </w:rPr>
        <w:t xml:space="preserve">ku, Komisija će uspostaviti europsku bazu podataka kako bi se poboljšala sljedivost održivih biogoriva. </w:t>
      </w:r>
    </w:p>
    <w:p w:rsidR="00B86E54" w:rsidRDefault="00B86E54">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2660"/>
        <w:gridCol w:w="2126"/>
        <w:gridCol w:w="1843"/>
        <w:gridCol w:w="2613"/>
      </w:tblGrid>
      <w:tr w:rsidR="00B86E54">
        <w:trPr>
          <w:trHeight w:val="435"/>
        </w:trPr>
        <w:tc>
          <w:tcPr>
            <w:tcW w:w="2660" w:type="dxa"/>
          </w:tcPr>
          <w:p w:rsidR="00B86E54" w:rsidRDefault="00ED2FDB">
            <w:pPr>
              <w:keepNext/>
              <w:jc w:val="center"/>
              <w:rPr>
                <w:rFonts w:ascii="Times New Roman" w:eastAsia="Calibri" w:hAnsi="Times New Roman" w:cs="Times New Roman"/>
                <w:b/>
                <w:bCs/>
                <w:noProof/>
                <w:sz w:val="20"/>
                <w:szCs w:val="20"/>
              </w:rPr>
            </w:pPr>
            <w:bookmarkStart w:id="12" w:name="RANGE!B1:E16"/>
            <w:r>
              <w:rPr>
                <w:rFonts w:ascii="Times New Roman" w:hAnsi="Times New Roman"/>
                <w:b/>
                <w:noProof/>
                <w:sz w:val="20"/>
              </w:rPr>
              <w:t>Dobrovoljni programi</w:t>
            </w:r>
            <w:bookmarkEnd w:id="12"/>
          </w:p>
        </w:tc>
        <w:tc>
          <w:tcPr>
            <w:tcW w:w="6582" w:type="dxa"/>
            <w:gridSpan w:val="3"/>
          </w:tcPr>
          <w:p w:rsidR="00B86E54" w:rsidRDefault="00ED2FDB">
            <w:pPr>
              <w:keepNext/>
              <w:jc w:val="center"/>
              <w:rPr>
                <w:rFonts w:ascii="Times New Roman" w:eastAsia="Calibri" w:hAnsi="Times New Roman" w:cs="Times New Roman"/>
                <w:b/>
                <w:bCs/>
                <w:noProof/>
                <w:sz w:val="20"/>
                <w:szCs w:val="20"/>
              </w:rPr>
            </w:pPr>
            <w:r>
              <w:rPr>
                <w:rFonts w:ascii="Times New Roman" w:hAnsi="Times New Roman"/>
                <w:b/>
                <w:noProof/>
                <w:sz w:val="20"/>
              </w:rPr>
              <w:t>Područje primjene</w:t>
            </w:r>
          </w:p>
        </w:tc>
      </w:tr>
      <w:tr w:rsidR="00B86E54">
        <w:trPr>
          <w:trHeight w:val="265"/>
        </w:trPr>
        <w:tc>
          <w:tcPr>
            <w:tcW w:w="2660" w:type="dxa"/>
          </w:tcPr>
          <w:p w:rsidR="00B86E54" w:rsidRDefault="00ED2FDB">
            <w:pPr>
              <w:keepNext/>
              <w:jc w:val="center"/>
              <w:rPr>
                <w:rFonts w:ascii="Times New Roman" w:eastAsia="Calibri" w:hAnsi="Times New Roman"/>
                <w:i/>
                <w:noProof/>
                <w:sz w:val="20"/>
              </w:rPr>
            </w:pPr>
            <w:r>
              <w:rPr>
                <w:rFonts w:ascii="Times New Roman" w:hAnsi="Times New Roman"/>
                <w:i/>
                <w:noProof/>
                <w:sz w:val="20"/>
              </w:rPr>
              <w:t>Naziv</w:t>
            </w:r>
          </w:p>
        </w:tc>
        <w:tc>
          <w:tcPr>
            <w:tcW w:w="2126" w:type="dxa"/>
          </w:tcPr>
          <w:p w:rsidR="00B86E54" w:rsidRDefault="00ED2FDB">
            <w:pPr>
              <w:keepNext/>
              <w:jc w:val="center"/>
              <w:rPr>
                <w:rFonts w:ascii="Times New Roman" w:eastAsia="Calibri" w:hAnsi="Times New Roman"/>
                <w:i/>
                <w:noProof/>
                <w:sz w:val="20"/>
              </w:rPr>
            </w:pPr>
            <w:r>
              <w:rPr>
                <w:rFonts w:ascii="Times New Roman" w:hAnsi="Times New Roman"/>
                <w:i/>
                <w:noProof/>
                <w:sz w:val="20"/>
              </w:rPr>
              <w:t>Vrsta sirovine</w:t>
            </w:r>
          </w:p>
        </w:tc>
        <w:tc>
          <w:tcPr>
            <w:tcW w:w="1843" w:type="dxa"/>
          </w:tcPr>
          <w:p w:rsidR="00B86E54" w:rsidRDefault="00ED2FDB">
            <w:pPr>
              <w:keepNext/>
              <w:jc w:val="center"/>
              <w:rPr>
                <w:rFonts w:ascii="Times New Roman" w:eastAsia="Calibri" w:hAnsi="Times New Roman"/>
                <w:i/>
                <w:noProof/>
                <w:sz w:val="20"/>
              </w:rPr>
            </w:pPr>
            <w:r>
              <w:rPr>
                <w:rFonts w:ascii="Times New Roman" w:hAnsi="Times New Roman"/>
                <w:i/>
                <w:noProof/>
                <w:sz w:val="20"/>
              </w:rPr>
              <w:t>Podrijetlo sirovine</w:t>
            </w:r>
          </w:p>
        </w:tc>
        <w:tc>
          <w:tcPr>
            <w:tcW w:w="2613" w:type="dxa"/>
          </w:tcPr>
          <w:p w:rsidR="00B86E54" w:rsidRDefault="00ED2FDB">
            <w:pPr>
              <w:keepNext/>
              <w:jc w:val="center"/>
              <w:rPr>
                <w:rFonts w:ascii="Times New Roman" w:eastAsia="Calibri" w:hAnsi="Times New Roman"/>
                <w:i/>
                <w:noProof/>
                <w:sz w:val="20"/>
              </w:rPr>
            </w:pPr>
            <w:r>
              <w:rPr>
                <w:rFonts w:ascii="Times New Roman" w:hAnsi="Times New Roman"/>
                <w:i/>
                <w:noProof/>
                <w:sz w:val="20"/>
              </w:rPr>
              <w:t>Obuhvaćeni lanac opskrbe</w:t>
            </w:r>
          </w:p>
        </w:tc>
      </w:tr>
      <w:tr w:rsidR="00B86E54">
        <w:trPr>
          <w:trHeight w:val="555"/>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„International Sustainability and Carbon Ce</w:t>
            </w:r>
            <w:r>
              <w:rPr>
                <w:rFonts w:ascii="Times New Roman" w:hAnsi="Times New Roman"/>
                <w:noProof/>
                <w:sz w:val="20"/>
              </w:rPr>
              <w:t>rtification” (ISCC)</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„Bonsucro EU”</w:t>
            </w:r>
          </w:p>
        </w:tc>
        <w:tc>
          <w:tcPr>
            <w:tcW w:w="2126" w:type="dxa"/>
            <w:noWrap/>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Šećerna trska</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555"/>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„Roundtable on Sustainable Biomaterials EU RED” (RSB EU RED)</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 xml:space="preserve">RTRS EU </w:t>
            </w:r>
            <w:r>
              <w:rPr>
                <w:rFonts w:ascii="Times New Roman" w:hAnsi="Times New Roman"/>
                <w:noProof/>
                <w:sz w:val="20"/>
              </w:rPr>
              <w:t>RED</w:t>
            </w:r>
          </w:p>
        </w:tc>
        <w:tc>
          <w:tcPr>
            <w:tcW w:w="2126" w:type="dxa"/>
            <w:noWrap/>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Soja</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72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Protokol SAD-a za osiguranje održivosti soje (</w:t>
            </w:r>
            <w:r>
              <w:rPr>
                <w:rFonts w:ascii="Times New Roman" w:hAnsi="Times New Roman"/>
                <w:i/>
                <w:noProof/>
                <w:sz w:val="20"/>
              </w:rPr>
              <w:t>U.S. Soybean Sustainability Assurance Protocol</w:t>
            </w:r>
            <w:r>
              <w:rPr>
                <w:rFonts w:ascii="Times New Roman" w:hAnsi="Times New Roman"/>
                <w:noProof/>
                <w:sz w:val="20"/>
              </w:rPr>
              <w:t>) (SSAP)</w:t>
            </w:r>
          </w:p>
        </w:tc>
        <w:tc>
          <w:tcPr>
            <w:tcW w:w="2126" w:type="dxa"/>
            <w:noWrap/>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 xml:space="preserve">Soja </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SAD</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Od uzgoja do mjesta izvoza</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„Biomass Biofuels voluntary scheme” (2BSvs)</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noWrap/>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69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„Scottish Quality Farm Assured Combinable Crops Limited” (SQC)</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Sve žitarice i uljarice</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Sjeverna Velika Britanija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Do prve točke isporuke sirovina</w:t>
            </w:r>
          </w:p>
        </w:tc>
      </w:tr>
      <w:tr w:rsidR="00B86E54">
        <w:trPr>
          <w:trHeight w:val="555"/>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„Red Tractor Farm Assurance Combinable Crops &amp; Sugar Beet” („Red Tractor”)</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 xml:space="preserve">Žitarice, </w:t>
            </w:r>
            <w:r>
              <w:rPr>
                <w:rFonts w:ascii="Times New Roman" w:hAnsi="Times New Roman"/>
                <w:noProof/>
                <w:sz w:val="18"/>
              </w:rPr>
              <w:t>uljarice, šećerna repa</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Ujedinjena Kraljevina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Do prve točke isporuke sirovina</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„REDcert”</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„Better Biomass”</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538"/>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„Gafta Trade Assurance Scheme”</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 xml:space="preserve">Široki raspon sirovina </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Globalno</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Dostavni lanac od poljoprivrednoga gospodarstva do prvog prerađivača</w:t>
            </w:r>
          </w:p>
        </w:tc>
      </w:tr>
      <w:tr w:rsidR="00B86E54">
        <w:trPr>
          <w:trHeight w:val="360"/>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Sustav KZR INiG</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Široki raspon sirovina</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Europa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Cijeli lanac opskrbe</w:t>
            </w:r>
          </w:p>
        </w:tc>
      </w:tr>
      <w:tr w:rsidR="00B86E54">
        <w:trPr>
          <w:trHeight w:val="766"/>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„Trade Assurance Scheme for Combinable Crops” (TASC)</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 xml:space="preserve">Kombinirane kulture, kao što su </w:t>
            </w:r>
            <w:r>
              <w:rPr>
                <w:rFonts w:ascii="Times New Roman" w:hAnsi="Times New Roman"/>
                <w:noProof/>
                <w:sz w:val="18"/>
              </w:rPr>
              <w:t>žitarice, uljarice i šećerna repa</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Ujedinjena Kraljevina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Dostavni lanac od poljoprivrednoga gospodarstva do prvog prerađivača</w:t>
            </w:r>
          </w:p>
        </w:tc>
      </w:tr>
      <w:tr w:rsidR="00B86E54">
        <w:trPr>
          <w:trHeight w:val="738"/>
        </w:trPr>
        <w:tc>
          <w:tcPr>
            <w:tcW w:w="2660"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„Universal Feed Assurance Scheme” (UFAS)</w:t>
            </w:r>
          </w:p>
        </w:tc>
        <w:tc>
          <w:tcPr>
            <w:tcW w:w="2126" w:type="dxa"/>
          </w:tcPr>
          <w:p w:rsidR="00B86E54" w:rsidRDefault="00ED2FDB">
            <w:pPr>
              <w:keepNext/>
              <w:rPr>
                <w:rFonts w:ascii="Times New Roman" w:eastAsia="Calibri" w:hAnsi="Times New Roman" w:cs="Times New Roman"/>
                <w:noProof/>
                <w:sz w:val="18"/>
                <w:szCs w:val="20"/>
              </w:rPr>
            </w:pPr>
            <w:r>
              <w:rPr>
                <w:rFonts w:ascii="Times New Roman" w:hAnsi="Times New Roman"/>
                <w:noProof/>
                <w:sz w:val="18"/>
              </w:rPr>
              <w:t>Sastojci hrane za životinje i krmne smjese kao i kombinirane kulture</w:t>
            </w:r>
          </w:p>
        </w:tc>
        <w:tc>
          <w:tcPr>
            <w:tcW w:w="184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 xml:space="preserve">Ujedinjena </w:t>
            </w:r>
            <w:r>
              <w:rPr>
                <w:rFonts w:ascii="Times New Roman" w:hAnsi="Times New Roman"/>
                <w:noProof/>
                <w:sz w:val="20"/>
              </w:rPr>
              <w:t>Kraljevina</w:t>
            </w:r>
          </w:p>
        </w:tc>
        <w:tc>
          <w:tcPr>
            <w:tcW w:w="2613" w:type="dxa"/>
          </w:tcPr>
          <w:p w:rsidR="00B86E54" w:rsidRDefault="00ED2FDB">
            <w:pPr>
              <w:keepNext/>
              <w:rPr>
                <w:rFonts w:ascii="Times New Roman" w:eastAsia="Calibri" w:hAnsi="Times New Roman" w:cs="Times New Roman"/>
                <w:noProof/>
                <w:sz w:val="20"/>
                <w:szCs w:val="20"/>
              </w:rPr>
            </w:pPr>
            <w:r>
              <w:rPr>
                <w:rFonts w:ascii="Times New Roman" w:hAnsi="Times New Roman"/>
                <w:noProof/>
                <w:sz w:val="20"/>
              </w:rPr>
              <w:t>Dostavni lanac od poljoprivrednoga gospodarstva do prvog prerađivača</w:t>
            </w:r>
          </w:p>
        </w:tc>
      </w:tr>
    </w:tbl>
    <w:p w:rsidR="00B86E54" w:rsidRDefault="00ED2FDB">
      <w:pPr>
        <w:keepNext/>
        <w:jc w:val="both"/>
        <w:rPr>
          <w:rFonts w:ascii="Times New Roman" w:eastAsia="Calibri" w:hAnsi="Times New Roman" w:cs="Times New Roman"/>
          <w:i/>
          <w:noProof/>
          <w:sz w:val="24"/>
          <w:szCs w:val="24"/>
        </w:rPr>
      </w:pPr>
      <w:r>
        <w:rPr>
          <w:b/>
          <w:i/>
          <w:noProof/>
        </w:rPr>
        <w:t>Tablica 3.:</w:t>
      </w:r>
      <w:r>
        <w:rPr>
          <w:rFonts w:ascii="Times New Roman" w:hAnsi="Times New Roman"/>
          <w:i/>
          <w:noProof/>
          <w:sz w:val="24"/>
        </w:rPr>
        <w:t xml:space="preserve"> Dobrovoljni programi koje trenutačno priznaje Komisija</w:t>
      </w:r>
    </w:p>
    <w:p w:rsidR="00B86E54" w:rsidRDefault="00ED2FDB">
      <w:pPr>
        <w:rPr>
          <w:rFonts w:ascii="Times New Roman" w:eastAsia="Calibri" w:hAnsi="Times New Roman" w:cs="Times New Roman"/>
          <w:b/>
          <w:noProof/>
          <w:sz w:val="24"/>
          <w:szCs w:val="24"/>
        </w:rPr>
      </w:pPr>
      <w:r>
        <w:rPr>
          <w:noProof/>
        </w:rPr>
        <w:br w:type="page"/>
      </w:r>
    </w:p>
    <w:p w:rsidR="00B86E54" w:rsidRDefault="00ED2FDB">
      <w:pPr>
        <w:pStyle w:val="Heading1"/>
        <w:rPr>
          <w:noProof/>
          <w:sz w:val="22"/>
        </w:rPr>
      </w:pPr>
      <w:bookmarkStart w:id="13" w:name="_Toc1149228"/>
      <w:r>
        <w:rPr>
          <w:noProof/>
        </w:rPr>
        <w:t>5. ZAKLJUČCI</w:t>
      </w:r>
      <w:bookmarkEnd w:id="13"/>
    </w:p>
    <w:p w:rsidR="00B86E54" w:rsidRDefault="00ED2FDB">
      <w:pPr>
        <w:spacing w:after="120"/>
        <w:jc w:val="both"/>
        <w:rPr>
          <w:rFonts w:ascii="Times New Roman" w:hAnsi="Times New Roman" w:cs="Times New Roman"/>
          <w:noProof/>
          <w:sz w:val="24"/>
          <w:szCs w:val="24"/>
        </w:rPr>
      </w:pPr>
      <w:r>
        <w:rPr>
          <w:rFonts w:ascii="Times New Roman" w:hAnsi="Times New Roman"/>
          <w:noProof/>
          <w:sz w:val="24"/>
        </w:rPr>
        <w:t xml:space="preserve">EU je na putu da ostvari svoj cilj obnovljive energije za 2020. Udio obnovljive energije u </w:t>
      </w:r>
      <w:r>
        <w:rPr>
          <w:rFonts w:ascii="Times New Roman" w:hAnsi="Times New Roman"/>
          <w:noProof/>
          <w:sz w:val="24"/>
        </w:rPr>
        <w:t>kombinaciji izvora energije EU-a 2017. iznosio je 17,52 %. Ulaganja u obnovljivu energiju sve se više povećavaju pod utjecajem tržišta, dok se udio javnih subvencija smanjuje. Do toga je došlo zbog znatnog smanjenja troškova tehnologija obnovljive energije</w:t>
      </w:r>
      <w:r>
        <w:rPr>
          <w:rFonts w:ascii="Times New Roman" w:hAnsi="Times New Roman"/>
          <w:noProof/>
          <w:sz w:val="24"/>
        </w:rPr>
        <w:t xml:space="preserve"> i smanjenja subvencija zahvaljujući konkurentnijim programima potpore, što je vidljivo iz brojnih rezultata dražbi s malim ili nikakvim troškovima u nekoliko europskih zemalja.</w:t>
      </w:r>
    </w:p>
    <w:p w:rsidR="00B86E54" w:rsidRDefault="00ED2FDB">
      <w:pPr>
        <w:spacing w:after="120"/>
        <w:jc w:val="both"/>
        <w:rPr>
          <w:rFonts w:ascii="Times New Roman" w:hAnsi="Times New Roman" w:cs="Times New Roman"/>
          <w:noProof/>
          <w:sz w:val="24"/>
          <w:szCs w:val="24"/>
        </w:rPr>
      </w:pPr>
      <w:r>
        <w:rPr>
          <w:rFonts w:ascii="Times New Roman" w:hAnsi="Times New Roman"/>
          <w:noProof/>
          <w:sz w:val="24"/>
        </w:rPr>
        <w:t>Međutim, brzina povećanja udjela obnovljive energije smanjila se od 2014. Iako</w:t>
      </w:r>
      <w:r>
        <w:rPr>
          <w:rFonts w:ascii="Times New Roman" w:hAnsi="Times New Roman"/>
          <w:noProof/>
          <w:sz w:val="24"/>
        </w:rPr>
        <w:t xml:space="preserve"> je EU i dalje na putu da ostvari svoje ciljeve obnovljive energije za 2020., trebalo bi pojačati djelovanje tijekom preostalog razdoblja do 2020. kako bi se to osiguralo te s obzirom na očekivanu veću potrošnju energije u budućnosti. Već 11 država članica</w:t>
      </w:r>
      <w:r>
        <w:rPr>
          <w:rFonts w:ascii="Times New Roman" w:hAnsi="Times New Roman"/>
          <w:noProof/>
          <w:sz w:val="24"/>
        </w:rPr>
        <w:t xml:space="preserve"> imalo je 2017. udio obnovljive energije veći od svojih ciljeva za 2020. Još je deset država članica ostvarilo ili premašilo svoju prosječnu okvirnu putanju iz Direktive o obnovljivoj energiji za dvogodišnje razdoblje od 2017. do 2018. Međutim, sedam držav</w:t>
      </w:r>
      <w:r>
        <w:rPr>
          <w:rFonts w:ascii="Times New Roman" w:hAnsi="Times New Roman"/>
          <w:noProof/>
          <w:sz w:val="24"/>
        </w:rPr>
        <w:t xml:space="preserve">a članica (Belgija, Francuska, Irska, Luksemburg, Nizozemska, Poljska i Slovenija) trebat će uložiti dodatne napore kako bi ostvarile prosječnu okvirnu putanju za razdoblje od 2017. do 2018. prema cilju za 2020. </w:t>
      </w:r>
    </w:p>
    <w:p w:rsidR="00B86E54" w:rsidRDefault="00ED2FDB">
      <w:pPr>
        <w:jc w:val="both"/>
        <w:rPr>
          <w:rFonts w:ascii="Times New Roman" w:hAnsi="Times New Roman" w:cs="Times New Roman"/>
          <w:noProof/>
          <w:sz w:val="24"/>
          <w:szCs w:val="24"/>
        </w:rPr>
      </w:pPr>
      <w:r>
        <w:rPr>
          <w:rFonts w:ascii="Times New Roman" w:hAnsi="Times New Roman"/>
          <w:noProof/>
          <w:sz w:val="24"/>
        </w:rPr>
        <w:t>Kako bi se ostvarili ciljevi obnovljive ene</w:t>
      </w:r>
      <w:r>
        <w:rPr>
          <w:rFonts w:ascii="Times New Roman" w:hAnsi="Times New Roman"/>
          <w:noProof/>
          <w:sz w:val="24"/>
        </w:rPr>
        <w:t>rgije za 2020. i te razine zadržale kao polazna vrijednost za 2021. i nadalje, većinu država članica potiče se da budu još aktivnije u pogledu uporabe obnovljivih izvora energije u trima sektorima i istovremenog smanjenja potrošnje energije. Nedavno modeli</w:t>
      </w:r>
      <w:r>
        <w:rPr>
          <w:rFonts w:ascii="Times New Roman" w:hAnsi="Times New Roman"/>
          <w:noProof/>
          <w:sz w:val="24"/>
        </w:rPr>
        <w:t>ranje pokazalo je da politike u području obnovljive energije koje se trenutačno provode i inicijative politike u području obnovljive energije koje su već u planu možda određenom broju država članica nisu dovoljne za pravodobno ostvarivanje nacionalnih obve</w:t>
      </w:r>
      <w:r>
        <w:rPr>
          <w:rFonts w:ascii="Times New Roman" w:hAnsi="Times New Roman"/>
          <w:noProof/>
          <w:sz w:val="24"/>
        </w:rPr>
        <w:t xml:space="preserve">zujućih ciljeva ako se u obzir uzme samo domaća opskrba bez mehanizama suradnje. Naposljetku, države članice trebale bi razmotriti mogućnost uporabe statističkih prijenosa predviđenih Direktivom o obnovljivim izvorima energije za osiguravanje ostvarivanja </w:t>
      </w:r>
      <w:r>
        <w:rPr>
          <w:rFonts w:ascii="Times New Roman" w:hAnsi="Times New Roman"/>
          <w:noProof/>
          <w:sz w:val="24"/>
        </w:rPr>
        <w:t xml:space="preserve">ciljeva tamo gdje postoji manjak ili prodaje potencijalnog viška drugim državama članicama. Komisija je spremna aktivno poduprijeti države članice u tom pogledu i olakšati potrebnu suradnju. </w:t>
      </w:r>
    </w:p>
    <w:p w:rsidR="00B86E54" w:rsidRDefault="00ED2FDB">
      <w:pPr>
        <w:spacing w:after="120"/>
        <w:jc w:val="both"/>
        <w:rPr>
          <w:rFonts w:ascii="Times New Roman" w:hAnsi="Times New Roman" w:cs="Times New Roman"/>
          <w:noProof/>
          <w:sz w:val="24"/>
          <w:szCs w:val="24"/>
        </w:rPr>
      </w:pPr>
      <w:r>
        <w:rPr>
          <w:rFonts w:ascii="Times New Roman" w:hAnsi="Times New Roman"/>
          <w:noProof/>
          <w:sz w:val="24"/>
        </w:rPr>
        <w:t xml:space="preserve">Trenutačno se u tom kontekstu mobiliziraju nove snage na svim </w:t>
      </w:r>
      <w:r>
        <w:rPr>
          <w:rFonts w:ascii="Times New Roman" w:hAnsi="Times New Roman"/>
          <w:noProof/>
          <w:sz w:val="24"/>
        </w:rPr>
        <w:t>razinama i u cijeloj Europskoj uniji. To se odvija, među ostalim, preko posebne radne skupine za energetsku učinkovitost koju je osnovala Komisija i s pomoću novih dražbi za obnovljivu energiju koje su već najavljene u nekoliko država članica, na primjer u</w:t>
      </w:r>
      <w:r>
        <w:rPr>
          <w:rFonts w:ascii="Times New Roman" w:hAnsi="Times New Roman"/>
          <w:noProof/>
          <w:sz w:val="24"/>
        </w:rPr>
        <w:t xml:space="preserve"> Francuskoj, Nizozemskoj i Portugalu, ili šire uporabe korporativnih sporazuma o kupnji električne energije na temelju kojih su europska poduzeća 2018. kupila rekordan iznos kapaciteta električne energije iz energije vjetra. Očekuje se da će se tim mjerama</w:t>
      </w:r>
      <w:r>
        <w:rPr>
          <w:rFonts w:ascii="Times New Roman" w:hAnsi="Times New Roman"/>
          <w:noProof/>
          <w:sz w:val="24"/>
        </w:rPr>
        <w:t xml:space="preserve"> ostvariti rezultati u predstojećim godinama.</w:t>
      </w:r>
    </w:p>
    <w:p w:rsidR="00B86E54" w:rsidRDefault="00ED2FDB">
      <w:pPr>
        <w:jc w:val="both"/>
        <w:rPr>
          <w:rFonts w:ascii="Times New Roman" w:hAnsi="Times New Roman" w:cs="Times New Roman"/>
          <w:noProof/>
          <w:sz w:val="24"/>
          <w:szCs w:val="24"/>
        </w:rPr>
      </w:pPr>
      <w:r>
        <w:rPr>
          <w:rFonts w:ascii="Times New Roman" w:hAnsi="Times New Roman"/>
          <w:noProof/>
          <w:sz w:val="24"/>
        </w:rPr>
        <w:t>Biogoriva koja se troše u EU-u i dalje se u velikoj mjeri proizvode iz domaćih sirovina. Kriterijima održivosti EU-a uspješno je smanjen rizik znatnih izravnih utjecaja na okoliš povezanih s biogorivima, neovis</w:t>
      </w:r>
      <w:r>
        <w:rPr>
          <w:rFonts w:ascii="Times New Roman" w:hAnsi="Times New Roman"/>
          <w:noProof/>
          <w:sz w:val="24"/>
        </w:rPr>
        <w:t xml:space="preserve">no o tome proizvode li se na nacionalnoj razini ili se uvoze iz trećih zemalja. U posljednjih nekoliko godina dobrovoljni programi koje priznaje Europska komisija postali su glavni alat za dokazivanje usklađenosti s kriterijima održivosti biogoriva EU-a i </w:t>
      </w:r>
      <w:r>
        <w:rPr>
          <w:rFonts w:ascii="Times New Roman" w:hAnsi="Times New Roman"/>
          <w:noProof/>
          <w:sz w:val="24"/>
        </w:rPr>
        <w:t>stoga podliježu pojačanom javnom nadzoru. Nadalje, u Direktivu RED II uključen je ojačan okvir za održivost svih uporaba bioenergije (koji nije ograničen na biogoriva, već obuhvaća sve uporabe biomase i bioplina za grijanje i električnu energiju), uključuj</w:t>
      </w:r>
      <w:r>
        <w:rPr>
          <w:rFonts w:ascii="Times New Roman" w:hAnsi="Times New Roman"/>
          <w:noProof/>
          <w:sz w:val="24"/>
        </w:rPr>
        <w:t>ući novi pristup kojim se ograničava uloga biogoriva s visokim rizikom od neizravne promjene uporabe zemljišta. Ojačano je upravljanje dobrovoljnim programima, uključujući pouzdanost revizija koje obavlja treća strana.</w:t>
      </w:r>
    </w:p>
    <w:sectPr w:rsidR="00B86E5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54" w:rsidRDefault="00ED2FDB">
      <w:pPr>
        <w:spacing w:after="0" w:line="240" w:lineRule="auto"/>
      </w:pPr>
      <w:r>
        <w:separator/>
      </w:r>
    </w:p>
  </w:endnote>
  <w:endnote w:type="continuationSeparator" w:id="0">
    <w:p w:rsidR="00B86E54" w:rsidRDefault="00ED2FDB">
      <w:pPr>
        <w:spacing w:after="0" w:line="240" w:lineRule="auto"/>
      </w:pPr>
      <w:r>
        <w:continuationSeparator/>
      </w:r>
    </w:p>
  </w:endnote>
  <w:endnote w:type="continuationNotice" w:id="1">
    <w:p w:rsidR="00B86E54" w:rsidRDefault="00B86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ED2FDB">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8997"/>
      <w:docPartObj>
        <w:docPartGallery w:val="Page Numbers (Bottom of Page)"/>
        <w:docPartUnique/>
      </w:docPartObj>
    </w:sdtPr>
    <w:sdtEndPr>
      <w:rPr>
        <w:noProof/>
      </w:rPr>
    </w:sdtEndPr>
    <w:sdtContent>
      <w:p w:rsidR="00B86E54" w:rsidRDefault="00ED2F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6E54" w:rsidRDefault="00B86E54">
    <w:pPr>
      <w:pStyle w:val="Footer"/>
      <w:tabs>
        <w:tab w:val="center" w:pos="4638"/>
      </w:tabs>
      <w:rPr>
        <w:rFonts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54" w:rsidRDefault="00ED2FDB">
      <w:pPr>
        <w:spacing w:after="0" w:line="240" w:lineRule="auto"/>
      </w:pPr>
      <w:r>
        <w:separator/>
      </w:r>
    </w:p>
  </w:footnote>
  <w:footnote w:type="continuationSeparator" w:id="0">
    <w:p w:rsidR="00B86E54" w:rsidRDefault="00ED2FDB">
      <w:pPr>
        <w:spacing w:after="0" w:line="240" w:lineRule="auto"/>
      </w:pPr>
      <w:r>
        <w:continuationSeparator/>
      </w:r>
    </w:p>
  </w:footnote>
  <w:footnote w:type="continuationNotice" w:id="1">
    <w:p w:rsidR="00B86E54" w:rsidRDefault="00B86E54">
      <w:pPr>
        <w:spacing w:after="0" w:line="240" w:lineRule="auto"/>
      </w:pPr>
    </w:p>
  </w:footnote>
  <w:footnote w:id="2">
    <w:p w:rsidR="00B86E54" w:rsidRDefault="00ED2FDB">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1">
        <w:r>
          <w:rPr>
            <w:rStyle w:val="Hyperlink"/>
          </w:rPr>
          <w:t>https://ec.europa.eu/energy/en/topics/energy-strategy-and-energy-union/clean-energy-all-europeans</w:t>
        </w:r>
      </w:hyperlink>
      <w:r>
        <w:rPr>
          <w:rFonts w:ascii="Times New Roman" w:hAnsi="Times New Roman"/>
        </w:rPr>
        <w:t xml:space="preserve"> </w:t>
      </w:r>
    </w:p>
  </w:footnote>
  <w:footnote w:id="3">
    <w:p w:rsidR="00B86E54" w:rsidRDefault="00ED2FDB">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Direktiva 2009/28/EZ Euro</w:t>
      </w:r>
      <w:r>
        <w:rPr>
          <w:rFonts w:ascii="Times New Roman" w:hAnsi="Times New Roman"/>
        </w:rPr>
        <w:t xml:space="preserve">pskog parlamenta i Vijeća od 23. travnja 2009. o promicanju uporabe energije iz obnovljivih izvora, SL L 140, str. 16.–62. </w:t>
      </w:r>
    </w:p>
  </w:footnote>
  <w:footnote w:id="4">
    <w:p w:rsidR="00B86E54" w:rsidRDefault="00ED2FDB">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https://www.eea.europa.eu/publications/r</w:t>
        </w:r>
        <w:r>
          <w:rPr>
            <w:rStyle w:val="Hyperlink"/>
            <w:rFonts w:ascii="Times New Roman" w:hAnsi="Times New Roman"/>
          </w:rPr>
          <w:t>enewable-energy-in-europe-2018</w:t>
        </w:r>
      </w:hyperlink>
      <w:r>
        <w:rPr>
          <w:rFonts w:ascii="Times New Roman" w:hAnsi="Times New Roman"/>
        </w:rPr>
        <w:t xml:space="preserve"> </w:t>
      </w:r>
    </w:p>
  </w:footnote>
  <w:footnote w:id="5">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Čist planet za sve. Europska dugoročna strateška vizija za prosperitetno, moderno, konkurentno i klimatski neutralno gospodarstvo.</w:t>
      </w:r>
    </w:p>
  </w:footnote>
  <w:footnote w:id="6">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w:t>
      </w:r>
    </w:p>
  </w:footnote>
  <w:footnote w:id="7">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Priopćenje za javnost poduzeća Energinet.dk od 31. kolovoza 2018.</w:t>
      </w:r>
    </w:p>
  </w:footnote>
  <w:footnote w:id="8">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hyperlink r:id="rId3">
        <w:r>
          <w:rPr>
            <w:rStyle w:val="Hyperlink"/>
            <w:rFonts w:ascii="Times New Roman" w:hAnsi="Times New Roman"/>
            <w:color w:val="000000" w:themeColor="text1"/>
          </w:rPr>
          <w:t>https://www.eea.europa.eu/publications/renewable-energy-in-europe-2018/</w:t>
        </w:r>
      </w:hyperlink>
      <w:r>
        <w:rPr>
          <w:rFonts w:ascii="Times New Roman" w:hAnsi="Times New Roman"/>
          <w:color w:val="000000" w:themeColor="text1"/>
        </w:rPr>
        <w:t xml:space="preserve"> </w:t>
      </w:r>
    </w:p>
  </w:footnote>
  <w:footnote w:id="9">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Europska agencija za </w:t>
      </w:r>
      <w:r>
        <w:rPr>
          <w:rFonts w:ascii="Times New Roman" w:hAnsi="Times New Roman"/>
          <w:color w:val="000000" w:themeColor="text1"/>
        </w:rPr>
        <w:t>okoliš (EEA), procjene za 2017.</w:t>
      </w:r>
    </w:p>
  </w:footnote>
  <w:footnote w:id="10">
    <w:p w:rsidR="00B86E54" w:rsidRDefault="00ED2FDB">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Zajednički istraživački centar (JRC) (2017.), „Monitoring R&amp;I in Low-Carbon Energy Technologies” (Praćenje istraživanja i inovacija u području tehnologija niskougljične energije), </w:t>
      </w:r>
      <w:hyperlink r:id="rId4">
        <w:r>
          <w:rPr>
            <w:rStyle w:val="Hyperlink"/>
            <w:rFonts w:ascii="Times New Roman" w:hAnsi="Times New Roman"/>
            <w:color w:val="auto"/>
          </w:rPr>
          <w:t>http://publications.jrc.ec.europa.eu/repository/handle/JRC105642</w:t>
        </w:r>
      </w:hyperlink>
      <w:r>
        <w:t>.</w:t>
      </w:r>
      <w:r>
        <w:rPr>
          <w:rFonts w:ascii="Times New Roman" w:hAnsi="Times New Roman"/>
        </w:rPr>
        <w:t xml:space="preserve">   </w:t>
      </w:r>
    </w:p>
  </w:footnote>
  <w:footnote w:id="11">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Sjedinjene Američke Države, Japan, Južna Koreja, Kina.</w:t>
      </w:r>
    </w:p>
  </w:footnote>
  <w:footnote w:id="12">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IRENA (2019.), Izvješće o </w:t>
      </w:r>
      <w:hyperlink r:id="rId5">
        <w:r>
          <w:rPr>
            <w:rStyle w:val="Hyperlink"/>
            <w:rFonts w:ascii="Times New Roman" w:hAnsi="Times New Roman"/>
            <w:color w:val="auto"/>
            <w:u w:val="none"/>
          </w:rPr>
          <w:t>inovacijskom okruženju za budućnost utemeljenu na obnovljivoj energiji:</w:t>
        </w:r>
      </w:hyperlink>
      <w:hyperlink r:id="rId6">
        <w:r>
          <w:rPr>
            <w:rStyle w:val="Hyperlink"/>
            <w:rFonts w:ascii="Times New Roman" w:hAnsi="Times New Roman"/>
            <w:color w:val="auto"/>
            <w:u w:val="none"/>
          </w:rPr>
          <w:t xml:space="preserve"> Rješenja za integracij</w:t>
        </w:r>
        <w:r>
          <w:rPr>
            <w:rStyle w:val="Hyperlink"/>
            <w:rFonts w:ascii="Times New Roman" w:hAnsi="Times New Roman"/>
            <w:color w:val="auto"/>
            <w:u w:val="none"/>
          </w:rPr>
          <w:t>u različitih obnovljivih izvora energije</w:t>
        </w:r>
      </w:hyperlink>
      <w:r>
        <w:rPr>
          <w:rStyle w:val="Hyperlink"/>
          <w:rFonts w:ascii="Times New Roman" w:hAnsi="Times New Roman"/>
          <w:color w:val="auto"/>
          <w:u w:val="none"/>
        </w:rPr>
        <w:t xml:space="preserve">, </w:t>
      </w:r>
      <w:r>
        <w:rPr>
          <w:rStyle w:val="Emphasis"/>
          <w:rFonts w:ascii="Times New Roman" w:hAnsi="Times New Roman"/>
          <w:i w:val="0"/>
        </w:rPr>
        <w:t>predstavljeno 19. veljače 2019. u Bruxellesu</w:t>
      </w:r>
      <w:r>
        <w:t>.</w:t>
      </w:r>
    </w:p>
  </w:footnote>
  <w:footnote w:id="13">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 Lanac opskrbe tehnologija u području obnovljive energije u Europi.</w:t>
      </w:r>
    </w:p>
  </w:footnote>
  <w:footnote w:id="14">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Hoogland O., Van der Lijn, N., Rademaekers, K., Gentili, P., Colozza, P., Morichi, C., „Assessment of Photovoltaics (PV) Task F Strategies to rebuild the European PV sector” (Procjena fotonaponske energije – Projekt F: Strategije za izgradnju europskog fo</w:t>
      </w:r>
      <w:r>
        <w:rPr>
          <w:rFonts w:ascii="Times New Roman" w:hAnsi="Times New Roman"/>
          <w:color w:val="000000" w:themeColor="text1"/>
        </w:rPr>
        <w:t>tonaponskog sektora), 2017., Trinomics</w:t>
      </w:r>
    </w:p>
  </w:footnote>
  <w:footnote w:id="15">
    <w:p w:rsidR="00B86E54" w:rsidRDefault="00ED2FDB">
      <w:pPr>
        <w:pStyle w:val="FootnoteText"/>
      </w:pPr>
      <w:r>
        <w:rPr>
          <w:rStyle w:val="FootnoteReference"/>
        </w:rPr>
        <w:footnoteRef/>
      </w:r>
      <w:r>
        <w:t xml:space="preserve"> </w:t>
      </w:r>
      <w:hyperlink r:id="rId7">
        <w:r>
          <w:rPr>
            <w:rStyle w:val="Hyperlink"/>
            <w:rFonts w:ascii="Times New Roman" w:hAnsi="Times New Roman"/>
          </w:rPr>
          <w:t>https://ec.europa.eu/energy/en/topics/technology-and-innovation/strategic-energy-technology-plan</w:t>
        </w:r>
      </w:hyperlink>
      <w:r>
        <w:t xml:space="preserve"> </w:t>
      </w:r>
    </w:p>
  </w:footnote>
  <w:footnote w:id="16">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Barometar Eurobserv’ER-a (2019.) za 2018. https://www.eurobserv-er.org/18th-annual-overview-barometer/.</w:t>
      </w:r>
    </w:p>
  </w:footnote>
  <w:footnote w:id="17">
    <w:p w:rsidR="00B86E54" w:rsidRDefault="00ED2FDB">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https://ec.europa.eu/energy/en/data-analysis/energy-prices-and-costs.</w:t>
      </w:r>
    </w:p>
  </w:footnote>
  <w:footnote w:id="18">
    <w:p w:rsidR="00B86E54" w:rsidRDefault="00ED2FDB">
      <w:pPr>
        <w:pStyle w:val="FootnoteText"/>
      </w:pPr>
      <w:r>
        <w:rPr>
          <w:rStyle w:val="FootnoteReference"/>
          <w:rFonts w:ascii="Times New Roman" w:hAnsi="Times New Roman"/>
        </w:rPr>
        <w:footnoteRef/>
      </w:r>
      <w:r>
        <w:rPr>
          <w:rFonts w:ascii="Times New Roman" w:hAnsi="Times New Roman"/>
        </w:rPr>
        <w:t xml:space="preserve"> IRENA (2019.). </w:t>
      </w:r>
      <w:r>
        <w:rPr>
          <w:rFonts w:ascii="Times New Roman" w:hAnsi="Times New Roman"/>
          <w:color w:val="333333"/>
        </w:rPr>
        <w:t>Novi svijet: geopolitika energetske transformacije.</w:t>
      </w:r>
    </w:p>
  </w:footnote>
  <w:footnote w:id="19">
    <w:p w:rsidR="00B86E54" w:rsidRDefault="00ED2FDB">
      <w:pPr>
        <w:autoSpaceDE w:val="0"/>
        <w:autoSpaceDN w:val="0"/>
        <w:adjustRightInd w:val="0"/>
        <w:spacing w:after="0" w:line="240" w:lineRule="auto"/>
        <w:rPr>
          <w:rFonts w:ascii="Times New Roman" w:hAnsi="Times New Roman" w:cs="Times New Roman"/>
        </w:rPr>
      </w:pPr>
      <w:r>
        <w:rPr>
          <w:rStyle w:val="FootnoteReference"/>
          <w:rFonts w:ascii="Times New Roman" w:hAnsi="Times New Roman"/>
          <w:color w:val="000000" w:themeColor="text1"/>
          <w:sz w:val="20"/>
        </w:rPr>
        <w:footnoteRef/>
      </w:r>
      <w:r>
        <w:rPr>
          <w:rFonts w:ascii="Times New Roman" w:hAnsi="Times New Roman"/>
          <w:color w:val="000000" w:themeColor="text1"/>
          <w:sz w:val="20"/>
        </w:rPr>
        <w:t xml:space="preserve"> IRENA (2</w:t>
      </w:r>
      <w:r>
        <w:rPr>
          <w:rFonts w:ascii="Times New Roman" w:hAnsi="Times New Roman"/>
          <w:color w:val="000000" w:themeColor="text1"/>
          <w:sz w:val="20"/>
        </w:rPr>
        <w:t>018.), Rješenja za obnovljivu energiju izvan mreže: Globalni i regionalni status i trendovi.</w:t>
      </w:r>
    </w:p>
  </w:footnote>
  <w:footnote w:id="20">
    <w:p w:rsidR="00B86E54" w:rsidRDefault="00ED2FDB">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Međunarodna agencija za energiju (IEA) (2017.), Posebno izvješće u okviru Svjetske energetske prognoze (WEO) za 2017.: Prognoza za pristup energiji.</w:t>
      </w:r>
    </w:p>
  </w:footnote>
  <w:footnote w:id="21">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w:t>
      </w:r>
      <w:r>
        <w:rPr>
          <w:rFonts w:ascii="Times New Roman" w:hAnsi="Times New Roman"/>
        </w:rPr>
        <w:t>(EU) 2015/1513.</w:t>
      </w:r>
    </w:p>
  </w:footnote>
  <w:footnote w:id="22">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3">
    <w:p w:rsidR="00B86E54" w:rsidRDefault="00ED2FDB">
      <w:pPr>
        <w:pStyle w:val="FootnoteText"/>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https://ec.europa.eu/energy/en/topics/renewable-energy/national-action-plans</w:t>
        </w:r>
      </w:hyperlink>
      <w:r>
        <w:rPr>
          <w:rFonts w:ascii="Times New Roman" w:hAnsi="Times New Roman"/>
        </w:rPr>
        <w:t xml:space="preserve">   </w:t>
      </w:r>
    </w:p>
  </w:footnote>
  <w:footnote w:id="24">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SHARES 2017. Primijenjeni su faktori množenja utvrđeni u Direktivi RED I.</w:t>
      </w:r>
    </w:p>
  </w:footnote>
  <w:footnote w:id="25">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Uključujući Norvešku.</w:t>
      </w:r>
    </w:p>
  </w:footnote>
  <w:footnote w:id="26">
    <w:p w:rsidR="00B86E54" w:rsidRDefault="00ED2FDB">
      <w:pPr>
        <w:pStyle w:val="FootnoteText"/>
      </w:pPr>
      <w:r>
        <w:rPr>
          <w:rStyle w:val="FootnoteReference"/>
          <w:rFonts w:ascii="Times New Roman" w:hAnsi="Times New Roman"/>
        </w:rPr>
        <w:footnoteRef/>
      </w:r>
      <w:r>
        <w:rPr>
          <w:rFonts w:ascii="Times New Roman" w:hAnsi="Times New Roman"/>
        </w:rPr>
        <w:t xml:space="preserve"> </w:t>
      </w:r>
      <w:hyperlink r:id="rId10">
        <w:r>
          <w:rPr>
            <w:rStyle w:val="Hyperlink"/>
            <w:rFonts w:ascii="Times New Roman" w:hAnsi="Times New Roman"/>
          </w:rPr>
          <w:t>https://ec.europa.eu/energy/en/topics/renewable-energy/progress-reports</w:t>
        </w:r>
      </w:hyperlink>
      <w:r>
        <w:rPr>
          <w:rFonts w:ascii="Times New Roman" w:hAnsi="Times New Roman"/>
        </w:rPr>
        <w:t xml:space="preserve"> </w:t>
      </w:r>
    </w:p>
  </w:footnote>
  <w:footnote w:id="27">
    <w:p w:rsidR="00B86E54" w:rsidRDefault="00ED2FDB">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Navigant 2019.: </w:t>
      </w:r>
      <w:hyperlink r:id="rId11">
        <w:r>
          <w:rPr>
            <w:rStyle w:val="Hyperlink"/>
            <w:rFonts w:ascii="Times New Roman" w:hAnsi="Times New Roman"/>
          </w:rPr>
          <w:t>Tehnička pomoć u izradi 4. izvješća o napretku u području obnovljive en</w:t>
        </w:r>
        <w:r>
          <w:rPr>
            <w:rStyle w:val="Hyperlink"/>
            <w:rFonts w:ascii="Times New Roman" w:hAnsi="Times New Roman"/>
          </w:rPr>
          <w:t>ergije u EU-u, završno izvješće.</w:t>
        </w:r>
      </w:hyperlink>
      <w:r>
        <w:rPr>
          <w:rFonts w:ascii="Times New Roman" w:hAnsi="Times New Roman"/>
        </w:rPr>
        <w:t xml:space="preserve"> </w:t>
      </w:r>
    </w:p>
  </w:footnote>
  <w:footnote w:id="28">
    <w:p w:rsidR="00B86E54" w:rsidRDefault="00ED2FDB">
      <w:pPr>
        <w:pStyle w:val="FootnoteText"/>
      </w:pPr>
      <w:r>
        <w:rPr>
          <w:rStyle w:val="FootnoteReference"/>
        </w:rPr>
        <w:footnoteRef/>
      </w:r>
      <w:r>
        <w:t xml:space="preserve"> </w:t>
      </w:r>
      <w:r>
        <w:rPr>
          <w:rFonts w:ascii="Times New Roman" w:hAnsi="Times New Roman"/>
        </w:rPr>
        <w:t>Tablica uključuje samo države članice koje se u svojem izvješću o napretku navele te informacije.</w:t>
      </w:r>
    </w:p>
  </w:footnote>
  <w:footnote w:id="29">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Izračun u scenariju temelji se na primjeni modela Green-X, simulacijskog alata za instrumente politike u području obnovl</w:t>
      </w:r>
      <w:r>
        <w:rPr>
          <w:rFonts w:ascii="Times New Roman" w:hAnsi="Times New Roman"/>
        </w:rPr>
        <w:t xml:space="preserve">jive energije u Europi </w:t>
      </w:r>
      <w:hyperlink r:id="rId12">
        <w:r>
          <w:rPr>
            <w:rStyle w:val="Hyperlink"/>
            <w:rFonts w:ascii="Times New Roman" w:hAnsi="Times New Roman"/>
          </w:rPr>
          <w:t>https://green-x.at/</w:t>
        </w:r>
      </w:hyperlink>
      <w:r>
        <w:rPr>
          <w:rStyle w:val="Hyperlink"/>
          <w:rFonts w:ascii="Times New Roman" w:hAnsi="Times New Roman"/>
        </w:rPr>
        <w:t>.</w:t>
      </w:r>
    </w:p>
  </w:footnote>
  <w:footnote w:id="30">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Raspon ukazuje na nesigurnost povezanu s ključnim ulaznim parametrom za procjenjivanje budućeg napretka u području obnovljive energije koje se temelji na modelu. Buduća po</w:t>
      </w:r>
      <w:r>
        <w:rPr>
          <w:rFonts w:ascii="Times New Roman" w:hAnsi="Times New Roman"/>
        </w:rPr>
        <w:t>tražnja za energijom (rast) i provedba politike imaju odlučujuću ulogu u tom pogledu.</w:t>
      </w:r>
    </w:p>
  </w:footnote>
  <w:footnote w:id="31">
    <w:p w:rsidR="00B86E54" w:rsidRDefault="00ED2FDB">
      <w:pPr>
        <w:pStyle w:val="FootnoteText"/>
      </w:pPr>
      <w:r>
        <w:rPr>
          <w:rStyle w:val="FootnoteReference"/>
        </w:rPr>
        <w:footnoteRef/>
      </w:r>
      <w:r>
        <w:t xml:space="preserve"> </w:t>
      </w:r>
      <w:r>
        <w:rPr>
          <w:rFonts w:ascii="Times New Roman" w:hAnsi="Times New Roman"/>
        </w:rPr>
        <w:t xml:space="preserve">Navigant 2019.: </w:t>
      </w:r>
      <w:hyperlink r:id="rId13">
        <w:r>
          <w:rPr>
            <w:rStyle w:val="Hyperlink"/>
            <w:rFonts w:ascii="Times New Roman" w:hAnsi="Times New Roman"/>
          </w:rPr>
          <w:t>Tehnička pomoć u izradi 4. izvješća o napretku u području obnovljive energije u EU-u, završno izvješće.</w:t>
        </w:r>
      </w:hyperlink>
    </w:p>
  </w:footnote>
  <w:footnote w:id="32">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https://ec.europa.eu/energy/en/topics/energy-strategy-and-energy-union/governance-energy-union/national-energy-clim</w:t>
      </w:r>
      <w:r>
        <w:rPr>
          <w:rFonts w:ascii="Times New Roman" w:hAnsi="Times New Roman"/>
        </w:rPr>
        <w:t>ate-plans.</w:t>
      </w:r>
    </w:p>
  </w:footnote>
  <w:footnote w:id="33">
    <w:p w:rsidR="00B86E54" w:rsidRDefault="00ED2FDB">
      <w:pPr>
        <w:pStyle w:val="FootnoteText"/>
      </w:pPr>
      <w:r>
        <w:rPr>
          <w:rStyle w:val="FootnoteReference"/>
          <w:rFonts w:ascii="Times New Roman" w:hAnsi="Times New Roman"/>
        </w:rPr>
        <w:footnoteRef/>
      </w:r>
      <w:r>
        <w:rPr>
          <w:rFonts w:ascii="Times New Roman" w:hAnsi="Times New Roman"/>
        </w:rPr>
        <w:t xml:space="preserve"> Navigant 2019.</w:t>
      </w:r>
    </w:p>
  </w:footnote>
  <w:footnote w:id="34">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Glavni izvor podataka i procjena iz ovog odjeljka: Navigant, 2019: tehnička pomoć u izradi izvješća o održivosti biogoriva za 2018.</w:t>
      </w:r>
    </w:p>
  </w:footnote>
  <w:footnote w:id="35">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 analizi sirovina za proizvodnju biogoriva u obzir se uzimaju međunarodna trgovina biogor</w:t>
      </w:r>
      <w:r>
        <w:rPr>
          <w:rFonts w:ascii="Times New Roman" w:hAnsi="Times New Roman"/>
        </w:rPr>
        <w:t>ivima i njihovim sirovinama te učinkovitost konverzije.</w:t>
      </w:r>
    </w:p>
  </w:footnote>
  <w:footnote w:id="36">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Izračun se temelji na privremenim procijenjenim emisijama od sirovina za biogorivo, tekuće biogorivo i gorivo u vezi s neizravnom promjenom uporabe zemljišta (g ekvivalenta CO</w:t>
      </w:r>
      <w:r>
        <w:rPr>
          <w:rFonts w:ascii="Times New Roman" w:hAnsi="Times New Roman"/>
          <w:vertAlign w:val="subscript"/>
        </w:rPr>
        <w:t>2</w:t>
      </w:r>
      <w:r>
        <w:rPr>
          <w:rFonts w:ascii="Times New Roman" w:hAnsi="Times New Roman"/>
        </w:rPr>
        <w:t xml:space="preserve">/MJ) iz Priloga VIII. </w:t>
      </w:r>
      <w:r>
        <w:rPr>
          <w:rFonts w:ascii="Times New Roman" w:hAnsi="Times New Roman"/>
        </w:rPr>
        <w:t>Direktivi (EU) 2018/2001. Dodatne pojedinosti potražite u izvješću poduzeća Navigant 2019.</w:t>
      </w:r>
    </w:p>
  </w:footnote>
  <w:footnote w:id="37">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Studija o izvješćivanju o zahtjevima u pogledu biogoriva i tekućih biogoriva koji proizlaze iz Direktive (EU) 2015/1513, Wageningen Research, Nizozemska agencija z</w:t>
      </w:r>
      <w:r>
        <w:rPr>
          <w:rFonts w:ascii="Times New Roman" w:hAnsi="Times New Roman"/>
        </w:rPr>
        <w:t>a procjenu utjecaja na okoliš i CENER 2017.</w:t>
      </w:r>
    </w:p>
  </w:footnote>
  <w:footnote w:id="38">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Međutim, trebalo bi napomenuti da nisu dostupni podaci specifični za lokaciju ni podaci koji se konkretno odnose na utjecaje uzgoja sirovina za proizvodnju biogoriva na lokalni okoliš.</w:t>
      </w:r>
    </w:p>
  </w:footnote>
  <w:footnote w:id="39">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Trenutačna zajednička po</w:t>
      </w:r>
      <w:r>
        <w:rPr>
          <w:rFonts w:ascii="Times New Roman" w:hAnsi="Times New Roman"/>
        </w:rPr>
        <w:t>ljoprivredna politika (ZPP) znatno pridonosi podupiranju biološke raznolikosti i promicanju sustavâ održive poljoprivrede komplementarnim djelovanjima niza različitih instrumenata. Kad je riječ o budućem ZPP-u nakon 2020., jedan od devet posebnih ciljeva Z</w:t>
      </w:r>
      <w:r>
        <w:rPr>
          <w:rFonts w:ascii="Times New Roman" w:hAnsi="Times New Roman"/>
        </w:rPr>
        <w:t>PP-a jest doprinos zaštiti biološke raznolikosti, poboljšanje usluga ekosustava te očuvanje staništa i krajobraza. Politikom se nastoji povećati razina ambicioznosti ciljeva u području klime i okoliša.</w:t>
      </w:r>
    </w:p>
  </w:footnote>
  <w:footnote w:id="40">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Navigant 2019.</w:t>
      </w:r>
    </w:p>
  </w:footnote>
  <w:footnote w:id="41">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EK, 2019., Izvješće o stanju proširenja proizvodnje relevantnih kultura za proizvodnju hrane i hrane za životinje u svijetu,</w:t>
      </w:r>
    </w:p>
  </w:footnote>
  <w:footnote w:id="42">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C(2019) 2055 final.</w:t>
      </w:r>
    </w:p>
  </w:footnote>
  <w:footnote w:id="43">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 lipnju 2021. provest će se sljedeće preispitivanje popisa sirovina utvrđenog u dijelovima A i B Priloga </w:t>
      </w:r>
      <w:r>
        <w:rPr>
          <w:rFonts w:ascii="Times New Roman" w:hAnsi="Times New Roman"/>
        </w:rPr>
        <w:t>IX. Direktivi radi dodavanja sirovina koje ispunjuju skup strogih kriterija.</w:t>
      </w:r>
    </w:p>
  </w:footnote>
  <w:footnote w:id="44">
    <w:p w:rsidR="00B86E54" w:rsidRDefault="00ED2FD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https://ec.europa.eu/energy/sites/ener/files/documents/voluntary_schemes_overview_february_2019.pdf.</w:t>
      </w:r>
    </w:p>
  </w:footnote>
  <w:footnote w:id="45">
    <w:p w:rsidR="00B86E54" w:rsidRDefault="00ED2FD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 Komunikaciji Komisije o dobrovoljnim programima i zadanim vrijednostima </w:t>
      </w:r>
      <w:r>
        <w:rPr>
          <w:rFonts w:ascii="Times New Roman" w:hAnsi="Times New Roman"/>
        </w:rPr>
        <w:t>(2010/C 160/01) utvrđena su načela u skladu s kojima Komisija izvršava svoje odgovornosti koje dovode do takvih odluka. Taj je dokument dopunjen komunikacijom o praktičnoj provedbi programa održivosti EU‐a za biogoriva i tekuća biogoriva (2010/C 160/02).</w:t>
      </w:r>
    </w:p>
  </w:footnote>
  <w:footnote w:id="46">
    <w:p w:rsidR="00B86E54" w:rsidRDefault="00ED2FDB">
      <w:pPr>
        <w:pStyle w:val="FootnoteText"/>
        <w:jc w:val="both"/>
      </w:pPr>
      <w:r>
        <w:rPr>
          <w:rStyle w:val="FootnoteReference"/>
          <w:rFonts w:ascii="Times New Roman" w:hAnsi="Times New Roman"/>
        </w:rPr>
        <w:footnoteRef/>
      </w:r>
      <w:r>
        <w:rPr>
          <w:rFonts w:ascii="Times New Roman" w:hAnsi="Times New Roman"/>
        </w:rPr>
        <w:t xml:space="preserve"> Navigant, 2019. Preispitivanje godišnjih izvješća o dobrovoljnim programima.</w:t>
      </w:r>
    </w:p>
  </w:footnote>
  <w:footnote w:id="47">
    <w:p w:rsidR="00B86E54" w:rsidRDefault="00ED2FDB">
      <w:pPr>
        <w:pStyle w:val="FootnoteText"/>
      </w:pPr>
      <w:r>
        <w:rPr>
          <w:rStyle w:val="FootnoteReference"/>
        </w:rPr>
        <w:footnoteRef/>
      </w:r>
      <w:r>
        <w:t xml:space="preserve"> </w:t>
      </w:r>
      <w:r>
        <w:rPr>
          <w:rFonts w:ascii="Times New Roman" w:hAnsi="Times New Roman"/>
        </w:rPr>
        <w:t xml:space="preserve">Pojedinosti o postupku priznavanja dobrovoljnih programa mogu se pronaći na sljedećem </w:t>
      </w:r>
      <w:r>
        <w:rPr>
          <w:rFonts w:ascii="Times New Roman" w:hAnsi="Times New Roman"/>
          <w:i/>
        </w:rPr>
        <w:t>web</w:t>
      </w:r>
      <w:r>
        <w:rPr>
          <w:rFonts w:ascii="Times New Roman" w:hAnsi="Times New Roman"/>
        </w:rPr>
        <w:t>-mjestu Komisije:</w:t>
      </w:r>
      <w:r>
        <w:rPr>
          <w:rStyle w:val="Hyperlink"/>
          <w:rFonts w:ascii="Times New Roman" w:hAnsi="Times New Roman"/>
          <w:sz w:val="16"/>
        </w:rPr>
        <w:t xml:space="preserve"> </w:t>
      </w:r>
      <w:hyperlink r:id="rId14">
        <w:r>
          <w:rPr>
            <w:rStyle w:val="Hyperlink"/>
            <w:rFonts w:ascii="Times New Roman" w:hAnsi="Times New Roman"/>
          </w:rPr>
          <w:t>https://ec.europa.eu/energy/en/topics/renewable-energy/biofuels/voluntary-schemes</w:t>
        </w:r>
      </w:hyperlink>
      <w:r>
        <w:rPr>
          <w:rStyle w:val="Hyperlink"/>
          <w:rFonts w:ascii="Times New Roman" w:hAnsi="Times New Roman"/>
        </w:rPr>
        <w:t>.</w:t>
      </w:r>
    </w:p>
  </w:footnote>
  <w:footnote w:id="48">
    <w:p w:rsidR="00B86E54" w:rsidRDefault="00ED2FDB">
      <w:pPr>
        <w:pStyle w:val="FootnoteText"/>
        <w:jc w:val="both"/>
      </w:pPr>
      <w:r>
        <w:rPr>
          <w:rStyle w:val="FootnoteReference"/>
          <w:rFonts w:ascii="Times New Roman" w:hAnsi="Times New Roman"/>
        </w:rPr>
        <w:footnoteRef/>
      </w:r>
      <w:r>
        <w:rPr>
          <w:rFonts w:ascii="Times New Roman" w:hAnsi="Times New Roman"/>
        </w:rPr>
        <w:t xml:space="preserve"> Europski revizorski sud, 2016., Tematsko izvješće br. 18/2016: Sustav EU</w:t>
      </w:r>
      <w:r>
        <w:rPr>
          <w:rFonts w:ascii="Times New Roman" w:hAnsi="Times New Roman"/>
        </w:rPr>
        <w:t>-a za certifikaciju održivih biogoriva.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B86E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ED2FDB">
    <w:pPr>
      <w:pStyle w:val="Header"/>
    </w:pPr>
    <w:r>
      <w:rPr>
        <w:noProof/>
        <w:lang w:val="fr-BE" w:eastAsia="fr-BE" w:bidi="ar-SA"/>
      </w:rPr>
      <w:drawing>
        <wp:anchor distT="0" distB="0" distL="114300" distR="114300" simplePos="0" relativeHeight="251658242" behindDoc="0" locked="1" layoutInCell="1" allowOverlap="1">
          <wp:simplePos x="0" y="0"/>
          <wp:positionH relativeFrom="page">
            <wp:posOffset>3625850</wp:posOffset>
          </wp:positionH>
          <wp:positionV relativeFrom="page">
            <wp:posOffset>395605</wp:posOffset>
          </wp:positionV>
          <wp:extent cx="2520000" cy="576000"/>
          <wp:effectExtent l="0" t="0" r="0" b="0"/>
          <wp:wrapNone/>
          <wp:docPr id="3" name="Bild 109"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COFYS Logo WTTS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0000" cy="576000"/>
                  </a:xfrm>
                  <a:prstGeom prst="rect">
                    <a:avLst/>
                  </a:prstGeom>
                  <a:noFill/>
                  <a:ln>
                    <a:noFill/>
                  </a:ln>
                </pic:spPr>
              </pic:pic>
            </a:graphicData>
          </a:graphic>
        </wp:anchor>
      </w:drawing>
    </w:r>
    <w:r>
      <w:rPr>
        <w:noProof/>
        <w:lang w:val="fr-BE" w:eastAsia="fr-BE" w:bidi="ar-SA"/>
      </w:rPr>
      <w:drawing>
        <wp:anchor distT="0" distB="0" distL="114300" distR="114300" simplePos="0" relativeHeight="251658241" behindDoc="0" locked="1" layoutInCell="1" allowOverlap="1">
          <wp:simplePos x="0" y="0"/>
          <wp:positionH relativeFrom="page">
            <wp:posOffset>3625850</wp:posOffset>
          </wp:positionH>
          <wp:positionV relativeFrom="page">
            <wp:posOffset>395605</wp:posOffset>
          </wp:positionV>
          <wp:extent cx="2520000" cy="575122"/>
          <wp:effectExtent l="0" t="0" r="0" b="0"/>
          <wp:wrapNone/>
          <wp:docPr id="4" name="Bild 102"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FYS Logo WTTS b/w" hidden="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0000" cy="575122"/>
                  </a:xfrm>
                  <a:prstGeom prst="rect">
                    <a:avLst/>
                  </a:prstGeom>
                  <a:noFill/>
                  <a:ln>
                    <a:noFill/>
                  </a:ln>
                </pic:spPr>
              </pic:pic>
            </a:graphicData>
          </a:graphic>
        </wp:anchor>
      </w:drawing>
    </w:r>
    <w:r>
      <w:rPr>
        <w:noProof/>
        <w:lang w:val="fr-BE" w:eastAsia="fr-BE" w:bidi="ar-SA"/>
      </w:rPr>
      <w:drawing>
        <wp:anchor distT="0" distB="0" distL="114300" distR="114300" simplePos="0" relativeHeight="251658240" behindDoc="0" locked="1" layoutInCell="1" allowOverlap="1">
          <wp:simplePos x="0" y="0"/>
          <wp:positionH relativeFrom="page">
            <wp:posOffset>4086225</wp:posOffset>
          </wp:positionH>
          <wp:positionV relativeFrom="page">
            <wp:posOffset>450215</wp:posOffset>
          </wp:positionV>
          <wp:extent cx="1969200" cy="723600"/>
          <wp:effectExtent l="0" t="0" r="0" b="635"/>
          <wp:wrapNone/>
          <wp:docPr id="5" name="Bild 99"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FYS Logo b/w" hidden="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69200" cy="7236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4" w:rsidRDefault="00ED2FDB">
    <w:pPr>
      <w:pStyle w:val="Header"/>
    </w:pPr>
    <w:r>
      <w:rPr>
        <w:noProof/>
        <w:lang w:val="fr-BE" w:eastAsia="fr-BE" w:bidi="ar-SA"/>
      </w:rPr>
      <w:drawing>
        <wp:anchor distT="0" distB="0" distL="114300" distR="114300" simplePos="0" relativeHeight="251658244"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6" name="Bild 80"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OFYS Logo b/w" hidden="1"/>
                  <pic:cNvPicPr>
                    <a:picLocks noChangeAspect="1" noChangeArrowheads="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r>
      <w:rPr>
        <w:noProof/>
        <w:lang w:val="fr-BE" w:eastAsia="fr-BE" w:bidi="ar-SA"/>
      </w:rPr>
      <w:drawing>
        <wp:anchor distT="0" distB="0" distL="114300" distR="114300" simplePos="0" relativeHeight="251658243" behindDoc="0" locked="1" layoutInCell="1" allowOverlap="1">
          <wp:simplePos x="0" y="0"/>
          <wp:positionH relativeFrom="page">
            <wp:posOffset>4086225</wp:posOffset>
          </wp:positionH>
          <wp:positionV relativeFrom="page">
            <wp:posOffset>450215</wp:posOffset>
          </wp:positionV>
          <wp:extent cx="2516505" cy="717550"/>
          <wp:effectExtent l="0" t="0" r="0" b="6350"/>
          <wp:wrapNone/>
          <wp:docPr id="7" name="Bild 79" descr="ECOFY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OFYS Logo Colour" hidden="1"/>
                  <pic:cNvPicPr>
                    <a:picLocks noChangeAspect="1" noChangeArrowheads="1"/>
                  </pic:cNvPicPr>
                </pic:nvPicPr>
                <pic:blipFill>
                  <a:blip r:embed="rId2">
                    <a:extLst>
                      <a:ext uri="{28A0092B-C50C-407E-A947-70E740481C1C}">
                        <a14:useLocalDpi xmlns:a14="http://schemas.microsoft.com/office/drawing/2010/main" val="0"/>
                      </a:ext>
                    </a:extLst>
                  </a:blip>
                  <a:srcRect l="1335" t="4370" r="1335" b="4370"/>
                  <a:stretch>
                    <a:fillRect/>
                  </a:stretch>
                </pic:blipFill>
                <pic:spPr bwMode="auto">
                  <a:xfrm>
                    <a:off x="0" y="0"/>
                    <a:ext cx="251650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AF"/>
    <w:multiLevelType w:val="hybridMultilevel"/>
    <w:tmpl w:val="B464EC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D9715E"/>
    <w:multiLevelType w:val="hybridMultilevel"/>
    <w:tmpl w:val="980221A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C21EE"/>
    <w:multiLevelType w:val="hybridMultilevel"/>
    <w:tmpl w:val="C760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33CB"/>
    <w:multiLevelType w:val="hybridMultilevel"/>
    <w:tmpl w:val="6CC41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B41578"/>
    <w:multiLevelType w:val="hybridMultilevel"/>
    <w:tmpl w:val="AB9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A39"/>
    <w:multiLevelType w:val="hybridMultilevel"/>
    <w:tmpl w:val="A6FC826A"/>
    <w:lvl w:ilvl="0" w:tplc="D8642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13306"/>
    <w:multiLevelType w:val="hybridMultilevel"/>
    <w:tmpl w:val="50647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30E6AF9"/>
    <w:multiLevelType w:val="hybridMultilevel"/>
    <w:tmpl w:val="5D76CBDE"/>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BAA"/>
    <w:multiLevelType w:val="hybridMultilevel"/>
    <w:tmpl w:val="11566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967031"/>
    <w:multiLevelType w:val="hybridMultilevel"/>
    <w:tmpl w:val="D4C4DE1A"/>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6EAB"/>
    <w:multiLevelType w:val="hybridMultilevel"/>
    <w:tmpl w:val="E30840D4"/>
    <w:lvl w:ilvl="0" w:tplc="8EC0EF94">
      <w:start w:val="1"/>
      <w:numFmt w:val="bullet"/>
      <w:lvlText w:val=""/>
      <w:lvlJc w:val="left"/>
      <w:pPr>
        <w:tabs>
          <w:tab w:val="num" w:pos="720"/>
        </w:tabs>
        <w:ind w:left="720" w:hanging="360"/>
      </w:pPr>
      <w:rPr>
        <w:rFonts w:ascii="Wingdings" w:hAnsi="Wingdings" w:hint="default"/>
      </w:rPr>
    </w:lvl>
    <w:lvl w:ilvl="1" w:tplc="81A05D08">
      <w:start w:val="244"/>
      <w:numFmt w:val="bullet"/>
      <w:lvlText w:val="•"/>
      <w:lvlJc w:val="left"/>
      <w:pPr>
        <w:tabs>
          <w:tab w:val="num" w:pos="1440"/>
        </w:tabs>
        <w:ind w:left="1440" w:hanging="360"/>
      </w:pPr>
      <w:rPr>
        <w:rFonts w:ascii="Arial" w:hAnsi="Arial" w:hint="default"/>
      </w:rPr>
    </w:lvl>
    <w:lvl w:ilvl="2" w:tplc="6CFA2202" w:tentative="1">
      <w:start w:val="1"/>
      <w:numFmt w:val="bullet"/>
      <w:lvlText w:val=""/>
      <w:lvlJc w:val="left"/>
      <w:pPr>
        <w:tabs>
          <w:tab w:val="num" w:pos="2160"/>
        </w:tabs>
        <w:ind w:left="2160" w:hanging="360"/>
      </w:pPr>
      <w:rPr>
        <w:rFonts w:ascii="Wingdings" w:hAnsi="Wingdings" w:hint="default"/>
      </w:rPr>
    </w:lvl>
    <w:lvl w:ilvl="3" w:tplc="0E0091D2" w:tentative="1">
      <w:start w:val="1"/>
      <w:numFmt w:val="bullet"/>
      <w:lvlText w:val=""/>
      <w:lvlJc w:val="left"/>
      <w:pPr>
        <w:tabs>
          <w:tab w:val="num" w:pos="2880"/>
        </w:tabs>
        <w:ind w:left="2880" w:hanging="360"/>
      </w:pPr>
      <w:rPr>
        <w:rFonts w:ascii="Wingdings" w:hAnsi="Wingdings" w:hint="default"/>
      </w:rPr>
    </w:lvl>
    <w:lvl w:ilvl="4" w:tplc="CED67C7A" w:tentative="1">
      <w:start w:val="1"/>
      <w:numFmt w:val="bullet"/>
      <w:lvlText w:val=""/>
      <w:lvlJc w:val="left"/>
      <w:pPr>
        <w:tabs>
          <w:tab w:val="num" w:pos="3600"/>
        </w:tabs>
        <w:ind w:left="3600" w:hanging="360"/>
      </w:pPr>
      <w:rPr>
        <w:rFonts w:ascii="Wingdings" w:hAnsi="Wingdings" w:hint="default"/>
      </w:rPr>
    </w:lvl>
    <w:lvl w:ilvl="5" w:tplc="DCFA0DDE" w:tentative="1">
      <w:start w:val="1"/>
      <w:numFmt w:val="bullet"/>
      <w:lvlText w:val=""/>
      <w:lvlJc w:val="left"/>
      <w:pPr>
        <w:tabs>
          <w:tab w:val="num" w:pos="4320"/>
        </w:tabs>
        <w:ind w:left="4320" w:hanging="360"/>
      </w:pPr>
      <w:rPr>
        <w:rFonts w:ascii="Wingdings" w:hAnsi="Wingdings" w:hint="default"/>
      </w:rPr>
    </w:lvl>
    <w:lvl w:ilvl="6" w:tplc="6E66DE3E" w:tentative="1">
      <w:start w:val="1"/>
      <w:numFmt w:val="bullet"/>
      <w:lvlText w:val=""/>
      <w:lvlJc w:val="left"/>
      <w:pPr>
        <w:tabs>
          <w:tab w:val="num" w:pos="5040"/>
        </w:tabs>
        <w:ind w:left="5040" w:hanging="360"/>
      </w:pPr>
      <w:rPr>
        <w:rFonts w:ascii="Wingdings" w:hAnsi="Wingdings" w:hint="default"/>
      </w:rPr>
    </w:lvl>
    <w:lvl w:ilvl="7" w:tplc="82D6BF40" w:tentative="1">
      <w:start w:val="1"/>
      <w:numFmt w:val="bullet"/>
      <w:lvlText w:val=""/>
      <w:lvlJc w:val="left"/>
      <w:pPr>
        <w:tabs>
          <w:tab w:val="num" w:pos="5760"/>
        </w:tabs>
        <w:ind w:left="5760" w:hanging="360"/>
      </w:pPr>
      <w:rPr>
        <w:rFonts w:ascii="Wingdings" w:hAnsi="Wingdings" w:hint="default"/>
      </w:rPr>
    </w:lvl>
    <w:lvl w:ilvl="8" w:tplc="819810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C9A"/>
    <w:multiLevelType w:val="hybridMultilevel"/>
    <w:tmpl w:val="8EEA27E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3260FC"/>
    <w:multiLevelType w:val="hybridMultilevel"/>
    <w:tmpl w:val="E3086BCC"/>
    <w:lvl w:ilvl="0" w:tplc="08090017">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B3F5C66"/>
    <w:multiLevelType w:val="hybridMultilevel"/>
    <w:tmpl w:val="212856A8"/>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C31C9"/>
    <w:multiLevelType w:val="hybridMultilevel"/>
    <w:tmpl w:val="4B5451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016EB"/>
    <w:multiLevelType w:val="hybridMultilevel"/>
    <w:tmpl w:val="D4D6AEFE"/>
    <w:lvl w:ilvl="0" w:tplc="EE12E508">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1C7667"/>
    <w:multiLevelType w:val="hybridMultilevel"/>
    <w:tmpl w:val="4F086370"/>
    <w:lvl w:ilvl="0" w:tplc="0809000F">
      <w:start w:val="1"/>
      <w:numFmt w:val="decimal"/>
      <w:lvlText w:val="%1."/>
      <w:lvlJc w:val="left"/>
      <w:pPr>
        <w:ind w:left="720" w:hanging="360"/>
      </w:pPr>
      <w:rPr>
        <w:rFonts w:hint="default"/>
      </w:rPr>
    </w:lvl>
    <w:lvl w:ilvl="1" w:tplc="E9421F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29AA"/>
    <w:multiLevelType w:val="hybridMultilevel"/>
    <w:tmpl w:val="275E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4"/>
  </w:num>
  <w:num w:numId="12">
    <w:abstractNumId w:val="13"/>
  </w:num>
  <w:num w:numId="13">
    <w:abstractNumId w:val="12"/>
  </w:num>
  <w:num w:numId="14">
    <w:abstractNumId w:val="10"/>
  </w:num>
  <w:num w:numId="15">
    <w:abstractNumId w:val="16"/>
  </w:num>
  <w:num w:numId="16">
    <w:abstractNumId w:val="17"/>
  </w:num>
  <w:num w:numId="17">
    <w:abstractNumId w:val="8"/>
  </w:num>
  <w:num w:numId="18">
    <w:abstractNumId w:val="6"/>
  </w:num>
  <w:num w:numId="19">
    <w:abstractNumId w:val="3"/>
  </w:num>
  <w:num w:numId="20">
    <w:abstractNumId w:val="2"/>
  </w:num>
  <w:num w:numId="21">
    <w:abstractNumId w:val="15"/>
  </w:num>
  <w:num w:numId="22">
    <w:abstractNumId w:val="15"/>
  </w:num>
  <w:num w:numId="23">
    <w:abstractNumId w:val="15"/>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lvlOverride w:ilvl="0">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AE05519-CCC4-48F7-9920-88EF33C35ECB"/>
    <w:docVar w:name="LW_COVERPAGE_TYPE" w:val="1"/>
    <w:docVar w:name="LW_CROSSREFERENCE" w:val="&lt;UNUSED&gt;"/>
    <w:docVar w:name="LW_DATE.ADOPT.CP_ISODATE" w:val="&lt;EMPTY&gt;"/>
    <w:docVar w:name="LW_DocType" w:val="NORMAL"/>
    <w:docVar w:name="LW_EMISSION" w:val="9.4.2019."/>
    <w:docVar w:name="LW_EMISSION_ISODATE" w:val="2019-04-09"/>
    <w:docVar w:name="LW_EMISSION_LOCATION" w:val="BRX"/>
    <w:docVar w:name="LW_EMISSION_PREFIX" w:val="Bruxelles, "/>
    <w:docVar w:name="LW_EMISSION_SUFFIX" w:val="&lt;EMPTY&gt;"/>
    <w:docVar w:name="LW_ID_DOCTYPE_NONLW" w:val="CP-008"/>
    <w:docVar w:name="LW_INTERETEEE.CP" w:val="&lt;UNUSED&gt;"/>
    <w:docVar w:name="LW_LANGUE" w:val="HR"/>
    <w:docVar w:name="LW_LANGUESFAISANTFOI.CP" w:val="&lt;UNUSED&gt;"/>
    <w:docVar w:name="LW_LEVEL_OF_SENSITIVITY" w:val="Standard treatment"/>
    <w:docVar w:name="LW_NOM.INST" w:val="EUROPSKA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zvje\u353?\u263?e o napretku u podru\u269?ju obnovljive energije"/>
    <w:docVar w:name="LW_TYPE.DOC.CP" w:val="IZVJE\u352?\u262?E KOMISIJE EUROPSKOM PARLAMENTU, VIJE\u262?U, EUROPSKOM GOSPODARSKOM I SOCIJALNOM ODBORU I ODBORU REGIJA"/>
    <w:docVar w:name="LW_TYPEACTEPRINCIPAL.CP" w:val="&lt;UNUSED&gt;"/>
  </w:docVars>
  <w:rsids>
    <w:rsidRoot w:val="00B86E54"/>
    <w:rsid w:val="00B86E54"/>
    <w:rsid w:val="00ED2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4C2797-732A-487F-BF84-925CCFB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hr-H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sz w:val="20"/>
      <w:szCs w:val="20"/>
    </w:rPr>
  </w:style>
  <w:style w:type="character" w:styleId="FootnoteReference">
    <w:name w:val="footnote reference"/>
    <w:aliases w:val="number,SUPERS,Footnote Reference Superscript,stylish,Footnote symbol,Footnote Reference Number,Footnote reference number,note TESI,-E Fußnotenzeichen,ftref,EN Footnote Reference,(Diplomarbeit FZ),(Diplomarbeit FZ)1,(Diplomarbeit FZ)2"/>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customStyle="1" w:styleId="Tablestylegreen2">
    <w:name w:val="Tablestyle_green2"/>
    <w:basedOn w:val="TableNormal"/>
    <w:pPr>
      <w:spacing w:before="100" w:beforeAutospacing="1" w:after="100" w:afterAutospacing="1" w:line="240" w:lineRule="auto"/>
      <w:contextualSpacing/>
    </w:pPr>
    <w:rPr>
      <w:rFonts w:ascii="Arial" w:eastAsia="Times New Roman" w:hAnsi="Arial" w:cs="Times New Roman"/>
      <w:color w:val="000000"/>
      <w:sz w:val="16"/>
      <w:szCs w:val="18"/>
    </w:rPr>
    <w:tblPr>
      <w:tblStyleRowBandSize w:val="1"/>
      <w:tblStyleColBandSize w:val="1"/>
      <w:tblInd w:w="108" w:type="dxa"/>
      <w:tblBorders>
        <w:bottom w:val="single" w:sz="18" w:space="0" w:color="648C1A"/>
      </w:tblBorders>
    </w:tblPr>
    <w:tcPr>
      <w:vAlign w:val="center"/>
    </w:tcPr>
    <w:tblStylePr w:type="firstRow">
      <w:rPr>
        <w:rFonts w:ascii="Arial" w:hAnsi="Arial"/>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Arial" w:hAnsi="Arial"/>
        <w:sz w:val="16"/>
      </w:rPr>
      <w:tblPr/>
      <w:tcPr>
        <w:tcBorders>
          <w:top w:val="nil"/>
          <w:left w:val="single" w:sz="4" w:space="0" w:color="8B8D8E"/>
          <w:bottom w:val="single" w:sz="18" w:space="0" w:color="648C1A"/>
          <w:right w:val="single" w:sz="4" w:space="0" w:color="8B8D8E"/>
          <w:insideH w:val="nil"/>
          <w:insideV w:val="single" w:sz="4" w:space="0" w:color="8B8D8E"/>
          <w:tl2br w:val="nil"/>
          <w:tr2bl w:val="nil"/>
        </w:tcBorders>
      </w:tcPr>
    </w:tblStylePr>
    <w:tblStylePr w:type="firstCol">
      <w:rPr>
        <w:rFonts w:ascii="Arial" w:hAnsi="Arial"/>
        <w:b/>
        <w:i w:val="0"/>
        <w:color w:val="FFFFFF"/>
        <w:sz w:val="16"/>
      </w:rPr>
      <w:tblPr/>
      <w:tcPr>
        <w:tcBorders>
          <w:bottom w:val="nil"/>
          <w:insideH w:val="single" w:sz="4" w:space="0" w:color="FFFFFF" w:themeColor="background1"/>
        </w:tcBorders>
        <w:shd w:val="clear" w:color="auto" w:fill="648C1A"/>
      </w:tc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Arial" w:hAnsi="Arial"/>
      </w:rPr>
    </w:tblStylePr>
    <w:tblStylePr w:type="nwCell">
      <w:rPr>
        <w:rFonts w:ascii="Arial" w:hAnsi="Arial"/>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eCell">
      <w:rPr>
        <w:rFonts w:ascii="Arial" w:hAnsi="Arial"/>
      </w:rPr>
    </w:tblStylePr>
    <w:tblStylePr w:type="swCell">
      <w:rPr>
        <w:rFonts w:ascii="Arial" w:hAnsi="Arial"/>
      </w:rPr>
      <w:tblPr/>
      <w:tcPr>
        <w:tcBorders>
          <w:top w:val="single" w:sz="4" w:space="0" w:color="FFFFFF"/>
          <w:left w:val="single" w:sz="4" w:space="0" w:color="7AB800"/>
          <w:bottom w:val="single" w:sz="18" w:space="0" w:color="648C1A"/>
          <w:right w:val="single" w:sz="4" w:space="0" w:color="7AB800"/>
          <w:insideH w:val="nil"/>
          <w:insideV w:val="nil"/>
          <w:tl2br w:val="nil"/>
          <w:tr2bl w:val="nil"/>
        </w:tcBorders>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
    <w:name w:val="m"/>
    <w:basedOn w:val="Normal"/>
    <w:pPr>
      <w:jc w:val="both"/>
    </w:pPr>
    <w:rPr>
      <w:rFonts w:ascii="Times New Roman" w:hAnsi="Times New Roman" w:cs="Times New Roman"/>
      <w:b/>
      <w:sz w:val="24"/>
      <w:szCs w:val="24"/>
      <w:u w:val="single"/>
    </w:rPr>
  </w:style>
  <w:style w:type="character" w:customStyle="1" w:styleId="Heading1Char">
    <w:name w:val="Heading 1 Char"/>
    <w:basedOn w:val="DefaultParagraphFont"/>
    <w:link w:val="Heading1"/>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itleChar"/>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itleChar"/>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itleChar"/>
    <w:link w:val="HeaderSensitivity"/>
    <w:rPr>
      <w:rFonts w:ascii="Times New Roman" w:eastAsiaTheme="majorEastAsia" w:hAnsi="Times New Roman" w:cs="Times New Roman"/>
      <w:b/>
      <w:spacing w:val="-10"/>
      <w:kern w:val="28"/>
      <w:sz w:val="32"/>
      <w:szCs w:val="56"/>
    </w:rPr>
  </w:style>
  <w:style w:type="table" w:customStyle="1" w:styleId="Tablestylegreen">
    <w:name w:val="Tablestyle_green"/>
    <w:basedOn w:val="TableNormal"/>
    <w:pPr>
      <w:spacing w:before="100" w:beforeAutospacing="1" w:after="100" w:afterAutospacing="1" w:line="283" w:lineRule="atLeast"/>
      <w:contextualSpacing/>
    </w:pPr>
    <w:rPr>
      <w:rFonts w:ascii="Verdana" w:eastAsia="Times New Roman" w:hAnsi="Verdana" w:cs="Times New Roman"/>
      <w:color w:val="000000"/>
      <w:sz w:val="16"/>
      <w:szCs w:val="20"/>
    </w:rPr>
    <w:tblPr>
      <w:tblStyleRowBandSize w:val="1"/>
      <w:tblStyleColBandSize w:val="1"/>
      <w:tblInd w:w="108" w:type="dxa"/>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sz w:val="16"/>
      </w:rPr>
    </w:tblStylePr>
    <w:tblStylePr w:type="lastCol">
      <w:rPr>
        <w:rFonts w:ascii="Cambria" w:hAnsi="Cambria"/>
        <w:sz w:val="16"/>
      </w:rPr>
    </w:tblStylePr>
    <w:tblStylePr w:type="band1Vert">
      <w:rPr>
        <w:rFonts w:ascii="Cambria" w:hAnsi="Cambria"/>
        <w:sz w:val="16"/>
      </w:rPr>
    </w:tblStylePr>
    <w:tblStylePr w:type="band2Vert">
      <w:rPr>
        <w:rFonts w:ascii="Cambria" w:hAnsi="Cambria"/>
        <w:sz w:val="16"/>
      </w:r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Cambria" w:hAnsi="Cambria"/>
        <w:sz w:val="16"/>
      </w:rPr>
    </w:tblStylePr>
    <w:tblStylePr w:type="nwCell">
      <w:rPr>
        <w:rFonts w:ascii="Cambria" w:hAnsi="Cambria"/>
        <w:sz w:val="16"/>
      </w:rPr>
    </w:tblStylePr>
    <w:tblStylePr w:type="seCell">
      <w:rPr>
        <w:rFonts w:ascii="Cambria" w:hAnsi="Cambria"/>
        <w:sz w:val="16"/>
      </w:rPr>
    </w:tblStylePr>
    <w:tblStylePr w:type="swCell">
      <w:rPr>
        <w:rFonts w:ascii="Cambria" w:hAnsi="Cambria"/>
        <w:sz w:val="16"/>
      </w:r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645">
      <w:bodyDiv w:val="1"/>
      <w:marLeft w:val="0"/>
      <w:marRight w:val="0"/>
      <w:marTop w:val="0"/>
      <w:marBottom w:val="0"/>
      <w:divBdr>
        <w:top w:val="none" w:sz="0" w:space="0" w:color="auto"/>
        <w:left w:val="none" w:sz="0" w:space="0" w:color="auto"/>
        <w:bottom w:val="none" w:sz="0" w:space="0" w:color="auto"/>
        <w:right w:val="none" w:sz="0" w:space="0" w:color="auto"/>
      </w:divBdr>
    </w:div>
    <w:div w:id="164974368">
      <w:bodyDiv w:val="1"/>
      <w:marLeft w:val="0"/>
      <w:marRight w:val="0"/>
      <w:marTop w:val="0"/>
      <w:marBottom w:val="0"/>
      <w:divBdr>
        <w:top w:val="none" w:sz="0" w:space="0" w:color="auto"/>
        <w:left w:val="none" w:sz="0" w:space="0" w:color="auto"/>
        <w:bottom w:val="none" w:sz="0" w:space="0" w:color="auto"/>
        <w:right w:val="none" w:sz="0" w:space="0" w:color="auto"/>
      </w:divBdr>
    </w:div>
    <w:div w:id="225191113">
      <w:bodyDiv w:val="1"/>
      <w:marLeft w:val="0"/>
      <w:marRight w:val="0"/>
      <w:marTop w:val="0"/>
      <w:marBottom w:val="0"/>
      <w:divBdr>
        <w:top w:val="none" w:sz="0" w:space="0" w:color="auto"/>
        <w:left w:val="none" w:sz="0" w:space="0" w:color="auto"/>
        <w:bottom w:val="none" w:sz="0" w:space="0" w:color="auto"/>
        <w:right w:val="none" w:sz="0" w:space="0" w:color="auto"/>
      </w:divBdr>
    </w:div>
    <w:div w:id="320473223">
      <w:bodyDiv w:val="1"/>
      <w:marLeft w:val="0"/>
      <w:marRight w:val="0"/>
      <w:marTop w:val="0"/>
      <w:marBottom w:val="0"/>
      <w:divBdr>
        <w:top w:val="none" w:sz="0" w:space="0" w:color="auto"/>
        <w:left w:val="none" w:sz="0" w:space="0" w:color="auto"/>
        <w:bottom w:val="none" w:sz="0" w:space="0" w:color="auto"/>
        <w:right w:val="none" w:sz="0" w:space="0" w:color="auto"/>
      </w:divBdr>
    </w:div>
    <w:div w:id="394857189">
      <w:bodyDiv w:val="1"/>
      <w:marLeft w:val="0"/>
      <w:marRight w:val="0"/>
      <w:marTop w:val="0"/>
      <w:marBottom w:val="0"/>
      <w:divBdr>
        <w:top w:val="none" w:sz="0" w:space="0" w:color="auto"/>
        <w:left w:val="none" w:sz="0" w:space="0" w:color="auto"/>
        <w:bottom w:val="none" w:sz="0" w:space="0" w:color="auto"/>
        <w:right w:val="none" w:sz="0" w:space="0" w:color="auto"/>
      </w:divBdr>
      <w:divsChild>
        <w:div w:id="902058367">
          <w:marLeft w:val="446"/>
          <w:marRight w:val="0"/>
          <w:marTop w:val="0"/>
          <w:marBottom w:val="0"/>
          <w:divBdr>
            <w:top w:val="none" w:sz="0" w:space="0" w:color="auto"/>
            <w:left w:val="none" w:sz="0" w:space="0" w:color="auto"/>
            <w:bottom w:val="none" w:sz="0" w:space="0" w:color="auto"/>
            <w:right w:val="none" w:sz="0" w:space="0" w:color="auto"/>
          </w:divBdr>
        </w:div>
        <w:div w:id="1232037879">
          <w:marLeft w:val="1166"/>
          <w:marRight w:val="0"/>
          <w:marTop w:val="120"/>
          <w:marBottom w:val="0"/>
          <w:divBdr>
            <w:top w:val="none" w:sz="0" w:space="0" w:color="auto"/>
            <w:left w:val="none" w:sz="0" w:space="0" w:color="auto"/>
            <w:bottom w:val="none" w:sz="0" w:space="0" w:color="auto"/>
            <w:right w:val="none" w:sz="0" w:space="0" w:color="auto"/>
          </w:divBdr>
        </w:div>
        <w:div w:id="1272587569">
          <w:marLeft w:val="1166"/>
          <w:marRight w:val="0"/>
          <w:marTop w:val="120"/>
          <w:marBottom w:val="0"/>
          <w:divBdr>
            <w:top w:val="none" w:sz="0" w:space="0" w:color="auto"/>
            <w:left w:val="none" w:sz="0" w:space="0" w:color="auto"/>
            <w:bottom w:val="none" w:sz="0" w:space="0" w:color="auto"/>
            <w:right w:val="none" w:sz="0" w:space="0" w:color="auto"/>
          </w:divBdr>
        </w:div>
        <w:div w:id="1600016838">
          <w:marLeft w:val="1166"/>
          <w:marRight w:val="0"/>
          <w:marTop w:val="120"/>
          <w:marBottom w:val="0"/>
          <w:divBdr>
            <w:top w:val="none" w:sz="0" w:space="0" w:color="auto"/>
            <w:left w:val="none" w:sz="0" w:space="0" w:color="auto"/>
            <w:bottom w:val="none" w:sz="0" w:space="0" w:color="auto"/>
            <w:right w:val="none" w:sz="0" w:space="0" w:color="auto"/>
          </w:divBdr>
        </w:div>
        <w:div w:id="1443575271">
          <w:marLeft w:val="1166"/>
          <w:marRight w:val="0"/>
          <w:marTop w:val="120"/>
          <w:marBottom w:val="0"/>
          <w:divBdr>
            <w:top w:val="none" w:sz="0" w:space="0" w:color="auto"/>
            <w:left w:val="none" w:sz="0" w:space="0" w:color="auto"/>
            <w:bottom w:val="none" w:sz="0" w:space="0" w:color="auto"/>
            <w:right w:val="none" w:sz="0" w:space="0" w:color="auto"/>
          </w:divBdr>
        </w:div>
        <w:div w:id="2097700191">
          <w:marLeft w:val="446"/>
          <w:marRight w:val="0"/>
          <w:marTop w:val="0"/>
          <w:marBottom w:val="0"/>
          <w:divBdr>
            <w:top w:val="none" w:sz="0" w:space="0" w:color="auto"/>
            <w:left w:val="none" w:sz="0" w:space="0" w:color="auto"/>
            <w:bottom w:val="none" w:sz="0" w:space="0" w:color="auto"/>
            <w:right w:val="none" w:sz="0" w:space="0" w:color="auto"/>
          </w:divBdr>
        </w:div>
        <w:div w:id="346250767">
          <w:marLeft w:val="446"/>
          <w:marRight w:val="0"/>
          <w:marTop w:val="0"/>
          <w:marBottom w:val="0"/>
          <w:divBdr>
            <w:top w:val="none" w:sz="0" w:space="0" w:color="auto"/>
            <w:left w:val="none" w:sz="0" w:space="0" w:color="auto"/>
            <w:bottom w:val="none" w:sz="0" w:space="0" w:color="auto"/>
            <w:right w:val="none" w:sz="0" w:space="0" w:color="auto"/>
          </w:divBdr>
        </w:div>
        <w:div w:id="593049214">
          <w:marLeft w:val="446"/>
          <w:marRight w:val="0"/>
          <w:marTop w:val="0"/>
          <w:marBottom w:val="0"/>
          <w:divBdr>
            <w:top w:val="none" w:sz="0" w:space="0" w:color="auto"/>
            <w:left w:val="none" w:sz="0" w:space="0" w:color="auto"/>
            <w:bottom w:val="none" w:sz="0" w:space="0" w:color="auto"/>
            <w:right w:val="none" w:sz="0" w:space="0" w:color="auto"/>
          </w:divBdr>
        </w:div>
      </w:divsChild>
    </w:div>
    <w:div w:id="461772440">
      <w:bodyDiv w:val="1"/>
      <w:marLeft w:val="0"/>
      <w:marRight w:val="0"/>
      <w:marTop w:val="0"/>
      <w:marBottom w:val="0"/>
      <w:divBdr>
        <w:top w:val="none" w:sz="0" w:space="0" w:color="auto"/>
        <w:left w:val="none" w:sz="0" w:space="0" w:color="auto"/>
        <w:bottom w:val="none" w:sz="0" w:space="0" w:color="auto"/>
        <w:right w:val="none" w:sz="0" w:space="0" w:color="auto"/>
      </w:divBdr>
    </w:div>
    <w:div w:id="657808420">
      <w:bodyDiv w:val="1"/>
      <w:marLeft w:val="0"/>
      <w:marRight w:val="0"/>
      <w:marTop w:val="0"/>
      <w:marBottom w:val="0"/>
      <w:divBdr>
        <w:top w:val="none" w:sz="0" w:space="0" w:color="auto"/>
        <w:left w:val="none" w:sz="0" w:space="0" w:color="auto"/>
        <w:bottom w:val="none" w:sz="0" w:space="0" w:color="auto"/>
        <w:right w:val="none" w:sz="0" w:space="0" w:color="auto"/>
      </w:divBdr>
    </w:div>
    <w:div w:id="790173814">
      <w:bodyDiv w:val="1"/>
      <w:marLeft w:val="0"/>
      <w:marRight w:val="0"/>
      <w:marTop w:val="0"/>
      <w:marBottom w:val="0"/>
      <w:divBdr>
        <w:top w:val="none" w:sz="0" w:space="0" w:color="auto"/>
        <w:left w:val="none" w:sz="0" w:space="0" w:color="auto"/>
        <w:bottom w:val="none" w:sz="0" w:space="0" w:color="auto"/>
        <w:right w:val="none" w:sz="0" w:space="0" w:color="auto"/>
      </w:divBdr>
      <w:divsChild>
        <w:div w:id="105933229">
          <w:marLeft w:val="0"/>
          <w:marRight w:val="0"/>
          <w:marTop w:val="0"/>
          <w:marBottom w:val="0"/>
          <w:divBdr>
            <w:top w:val="none" w:sz="0" w:space="0" w:color="auto"/>
            <w:left w:val="none" w:sz="0" w:space="0" w:color="auto"/>
            <w:bottom w:val="none" w:sz="0" w:space="0" w:color="auto"/>
            <w:right w:val="none" w:sz="0" w:space="0" w:color="auto"/>
          </w:divBdr>
        </w:div>
        <w:div w:id="723679239">
          <w:marLeft w:val="0"/>
          <w:marRight w:val="0"/>
          <w:marTop w:val="0"/>
          <w:marBottom w:val="0"/>
          <w:divBdr>
            <w:top w:val="none" w:sz="0" w:space="0" w:color="auto"/>
            <w:left w:val="none" w:sz="0" w:space="0" w:color="auto"/>
            <w:bottom w:val="none" w:sz="0" w:space="0" w:color="auto"/>
            <w:right w:val="none" w:sz="0" w:space="0" w:color="auto"/>
          </w:divBdr>
        </w:div>
        <w:div w:id="1353192411">
          <w:marLeft w:val="0"/>
          <w:marRight w:val="0"/>
          <w:marTop w:val="0"/>
          <w:marBottom w:val="0"/>
          <w:divBdr>
            <w:top w:val="none" w:sz="0" w:space="0" w:color="auto"/>
            <w:left w:val="none" w:sz="0" w:space="0" w:color="auto"/>
            <w:bottom w:val="none" w:sz="0" w:space="0" w:color="auto"/>
            <w:right w:val="none" w:sz="0" w:space="0" w:color="auto"/>
          </w:divBdr>
        </w:div>
        <w:div w:id="1339038297">
          <w:marLeft w:val="0"/>
          <w:marRight w:val="0"/>
          <w:marTop w:val="0"/>
          <w:marBottom w:val="0"/>
          <w:divBdr>
            <w:top w:val="none" w:sz="0" w:space="0" w:color="auto"/>
            <w:left w:val="none" w:sz="0" w:space="0" w:color="auto"/>
            <w:bottom w:val="none" w:sz="0" w:space="0" w:color="auto"/>
            <w:right w:val="none" w:sz="0" w:space="0" w:color="auto"/>
          </w:divBdr>
        </w:div>
        <w:div w:id="1463038868">
          <w:marLeft w:val="0"/>
          <w:marRight w:val="0"/>
          <w:marTop w:val="0"/>
          <w:marBottom w:val="0"/>
          <w:divBdr>
            <w:top w:val="none" w:sz="0" w:space="0" w:color="auto"/>
            <w:left w:val="none" w:sz="0" w:space="0" w:color="auto"/>
            <w:bottom w:val="none" w:sz="0" w:space="0" w:color="auto"/>
            <w:right w:val="none" w:sz="0" w:space="0" w:color="auto"/>
          </w:divBdr>
        </w:div>
        <w:div w:id="1090080788">
          <w:marLeft w:val="0"/>
          <w:marRight w:val="0"/>
          <w:marTop w:val="0"/>
          <w:marBottom w:val="0"/>
          <w:divBdr>
            <w:top w:val="none" w:sz="0" w:space="0" w:color="auto"/>
            <w:left w:val="none" w:sz="0" w:space="0" w:color="auto"/>
            <w:bottom w:val="none" w:sz="0" w:space="0" w:color="auto"/>
            <w:right w:val="none" w:sz="0" w:space="0" w:color="auto"/>
          </w:divBdr>
        </w:div>
      </w:divsChild>
    </w:div>
    <w:div w:id="870532033">
      <w:bodyDiv w:val="1"/>
      <w:marLeft w:val="0"/>
      <w:marRight w:val="0"/>
      <w:marTop w:val="0"/>
      <w:marBottom w:val="0"/>
      <w:divBdr>
        <w:top w:val="none" w:sz="0" w:space="0" w:color="auto"/>
        <w:left w:val="none" w:sz="0" w:space="0" w:color="auto"/>
        <w:bottom w:val="none" w:sz="0" w:space="0" w:color="auto"/>
        <w:right w:val="none" w:sz="0" w:space="0" w:color="auto"/>
      </w:divBdr>
    </w:div>
    <w:div w:id="892428815">
      <w:bodyDiv w:val="1"/>
      <w:marLeft w:val="0"/>
      <w:marRight w:val="0"/>
      <w:marTop w:val="0"/>
      <w:marBottom w:val="0"/>
      <w:divBdr>
        <w:top w:val="none" w:sz="0" w:space="0" w:color="auto"/>
        <w:left w:val="none" w:sz="0" w:space="0" w:color="auto"/>
        <w:bottom w:val="none" w:sz="0" w:space="0" w:color="auto"/>
        <w:right w:val="none" w:sz="0" w:space="0" w:color="auto"/>
      </w:divBdr>
    </w:div>
    <w:div w:id="902184038">
      <w:bodyDiv w:val="1"/>
      <w:marLeft w:val="0"/>
      <w:marRight w:val="0"/>
      <w:marTop w:val="0"/>
      <w:marBottom w:val="0"/>
      <w:divBdr>
        <w:top w:val="none" w:sz="0" w:space="0" w:color="auto"/>
        <w:left w:val="none" w:sz="0" w:space="0" w:color="auto"/>
        <w:bottom w:val="none" w:sz="0" w:space="0" w:color="auto"/>
        <w:right w:val="none" w:sz="0" w:space="0" w:color="auto"/>
      </w:divBdr>
    </w:div>
    <w:div w:id="1181815246">
      <w:bodyDiv w:val="1"/>
      <w:marLeft w:val="0"/>
      <w:marRight w:val="0"/>
      <w:marTop w:val="0"/>
      <w:marBottom w:val="0"/>
      <w:divBdr>
        <w:top w:val="none" w:sz="0" w:space="0" w:color="auto"/>
        <w:left w:val="none" w:sz="0" w:space="0" w:color="auto"/>
        <w:bottom w:val="none" w:sz="0" w:space="0" w:color="auto"/>
        <w:right w:val="none" w:sz="0" w:space="0" w:color="auto"/>
      </w:divBdr>
    </w:div>
    <w:div w:id="1253509040">
      <w:bodyDiv w:val="1"/>
      <w:marLeft w:val="0"/>
      <w:marRight w:val="0"/>
      <w:marTop w:val="0"/>
      <w:marBottom w:val="0"/>
      <w:divBdr>
        <w:top w:val="none" w:sz="0" w:space="0" w:color="auto"/>
        <w:left w:val="none" w:sz="0" w:space="0" w:color="auto"/>
        <w:bottom w:val="none" w:sz="0" w:space="0" w:color="auto"/>
        <w:right w:val="none" w:sz="0" w:space="0" w:color="auto"/>
      </w:divBdr>
    </w:div>
    <w:div w:id="1385910443">
      <w:bodyDiv w:val="1"/>
      <w:marLeft w:val="0"/>
      <w:marRight w:val="0"/>
      <w:marTop w:val="0"/>
      <w:marBottom w:val="0"/>
      <w:divBdr>
        <w:top w:val="none" w:sz="0" w:space="0" w:color="auto"/>
        <w:left w:val="none" w:sz="0" w:space="0" w:color="auto"/>
        <w:bottom w:val="none" w:sz="0" w:space="0" w:color="auto"/>
        <w:right w:val="none" w:sz="0" w:space="0" w:color="auto"/>
      </w:divBdr>
    </w:div>
    <w:div w:id="1740126237">
      <w:bodyDiv w:val="1"/>
      <w:marLeft w:val="0"/>
      <w:marRight w:val="0"/>
      <w:marTop w:val="0"/>
      <w:marBottom w:val="0"/>
      <w:divBdr>
        <w:top w:val="none" w:sz="0" w:space="0" w:color="auto"/>
        <w:left w:val="none" w:sz="0" w:space="0" w:color="auto"/>
        <w:bottom w:val="none" w:sz="0" w:space="0" w:color="auto"/>
        <w:right w:val="none" w:sz="0" w:space="0" w:color="auto"/>
      </w:divBdr>
    </w:div>
    <w:div w:id="1965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renewable-energy/progress-reports" TargetMode="External"/><Relationship Id="rId13" Type="http://schemas.openxmlformats.org/officeDocument/2006/relationships/hyperlink" Target="https://ec.europa.eu/energy/sites/ener/files/documents/technical_assistance_in_realisation_of_the_4th_report_on_progress_of_renewable_energy_in_the_eu-final_report.pdf" TargetMode="External"/><Relationship Id="rId3" Type="http://schemas.openxmlformats.org/officeDocument/2006/relationships/hyperlink" Target="https://www.eea.europa.eu/publications/renewable-energy-in-europe-2018/" TargetMode="External"/><Relationship Id="rId7" Type="http://schemas.openxmlformats.org/officeDocument/2006/relationships/hyperlink" Target="https://ec.europa.eu/energy/en/topics/technology-and-innovation/strategic-energy-technology-plan" TargetMode="External"/><Relationship Id="rId12" Type="http://schemas.openxmlformats.org/officeDocument/2006/relationships/hyperlink" Target="https://green-x.at/" TargetMode="External"/><Relationship Id="rId2" Type="http://schemas.openxmlformats.org/officeDocument/2006/relationships/hyperlink" Target="https://www.eea.europa.eu/publications/renewable-energy-in-europe-2018" TargetMode="External"/><Relationship Id="rId1" Type="http://schemas.openxmlformats.org/officeDocument/2006/relationships/hyperlink" Target="https://ec.europa.eu/energy/en/topics/energy-strategy-and-energy-union/clean-energy-all-europeans" TargetMode="External"/><Relationship Id="rId6" Type="http://schemas.openxmlformats.org/officeDocument/2006/relationships/hyperlink" Target="https://irena.org/publications/2019/Feb/Innovation-landscape-for-a-renewable-powered-future" TargetMode="External"/><Relationship Id="rId11" Type="http://schemas.openxmlformats.org/officeDocument/2006/relationships/hyperlink" Target="https://ec.europa.eu/energy/sites/ener/files/documents/technical_assistance_in_realisation_of_the_4th_report_on_progress_of_renewable_energy_in_the_eu-final_report.pdf" TargetMode="External"/><Relationship Id="rId5" Type="http://schemas.openxmlformats.org/officeDocument/2006/relationships/hyperlink" Target="https://irena.org/publications/2019/Feb/Innovation-landscape-for-a-renewable-powered-future" TargetMode="External"/><Relationship Id="rId10" Type="http://schemas.openxmlformats.org/officeDocument/2006/relationships/hyperlink" Target="https://ec.europa.eu/energy/en/topics/renewable-energy/progress-reports" TargetMode="External"/><Relationship Id="rId4" Type="http://schemas.openxmlformats.org/officeDocument/2006/relationships/hyperlink" Target="http://publications.jrc.ec.europa.eu/repository/handle/JRC105642" TargetMode="External"/><Relationship Id="rId9" Type="http://schemas.openxmlformats.org/officeDocument/2006/relationships/hyperlink" Target="https://ec.europa.eu/energy/en/topics/renewable-energy/national-action-plans" TargetMode="External"/><Relationship Id="rId14" Type="http://schemas.openxmlformats.org/officeDocument/2006/relationships/hyperlink" Target="https://ec.europa.eu/energy/en/topics/renewable-energy/biofuels/voluntary-scheme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01b05e8-1b4f-451b-82dc-925fd82222d6" xsi:nil="true"/>
    <EC_Collab_Status xmlns="201b05e8-1b4f-451b-82dc-925fd82222d6">Not Started</EC_Collab_Status>
    <EC_Collab_DocumentLanguage xmlns="201b05e8-1b4f-451b-82dc-925fd82222d6">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4F0F68B67CF1945B8B4A078243B88F3" ma:contentTypeVersion="1" ma:contentTypeDescription="Create a new document in this library." ma:contentTypeScope="" ma:versionID="37c2f5fd27b3e91ad37b4e6c7f736fd8">
  <xsd:schema xmlns:xsd="http://www.w3.org/2001/XMLSchema" xmlns:xs="http://www.w3.org/2001/XMLSchema" xmlns:p="http://schemas.microsoft.com/office/2006/metadata/properties" xmlns:ns3="201b05e8-1b4f-451b-82dc-925fd82222d6" targetNamespace="http://schemas.microsoft.com/office/2006/metadata/properties" ma:root="true" ma:fieldsID="16ef9ff56465373dd39a16ec5d63ee94" ns3:_="">
    <xsd:import namespace="201b05e8-1b4f-451b-82dc-925fd82222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05e8-1b4f-451b-82dc-925fd82222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F53A68-698E-46B4-9BA1-4254F2386410}">
  <ds:schemaRefs>
    <ds:schemaRef ds:uri="http://purl.org/dc/terms/"/>
    <ds:schemaRef ds:uri="http://schemas.openxmlformats.org/package/2006/metadata/core-properties"/>
    <ds:schemaRef ds:uri="201b05e8-1b4f-451b-82dc-925fd8222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DE0A63-2D4F-4242-96BD-7AE45F24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05e8-1b4f-451b-82dc-925fd822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3D722-B8B6-49F5-8C14-46C143A28125}">
  <ds:schemaRefs>
    <ds:schemaRef ds:uri="http://schemas.microsoft.com/sharepoint/v3/contenttype/forms"/>
  </ds:schemaRefs>
</ds:datastoreItem>
</file>

<file path=customXml/itemProps4.xml><?xml version="1.0" encoding="utf-8"?>
<ds:datastoreItem xmlns:ds="http://schemas.openxmlformats.org/officeDocument/2006/customXml" ds:itemID="{14756B67-187D-4201-8273-A5715F0C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5859</Words>
  <Characters>33045</Characters>
  <Application>Microsoft Office Word</Application>
  <DocSecurity>0</DocSecurity>
  <Lines>971</Lines>
  <Paragraphs>563</Paragraphs>
  <ScaleCrop>false</ScaleCrop>
  <HeadingPairs>
    <vt:vector size="2" baseType="variant">
      <vt:variant>
        <vt:lpstr>Title</vt:lpstr>
      </vt:variant>
      <vt:variant>
        <vt:i4>1</vt:i4>
      </vt:variant>
    </vt:vector>
  </HeadingPairs>
  <TitlesOfParts>
    <vt:vector size="1" baseType="lpstr">
      <vt:lpstr>RES progress report</vt:lpstr>
    </vt:vector>
  </TitlesOfParts>
  <Manager/>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progress report</dc:title>
  <dc:creator/>
  <cp:lastModifiedBy>KITRIMI Efstathia (SG)</cp:lastModifiedBy>
  <cp:revision>21</cp:revision>
  <cp:lastPrinted>2019-03-13T15:57:00Z</cp:lastPrinted>
  <dcterms:created xsi:type="dcterms:W3CDTF">2019-03-28T10:38:00Z</dcterms:created>
  <dcterms:modified xsi:type="dcterms:W3CDTF">2019-04-08T08:33:00Z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0x010100258AA79CEB83498886A3A086811232500084F0F68B67CF1945B8B4A078243B88F3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