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3A" w:rsidRDefault="004E78C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3330CF3-E079-42F7-8DD0-09E8358F85B9" style="width:450.6pt;height:320.4pt">
            <v:imagedata r:id="rId11" o:title=""/>
          </v:shape>
        </w:pict>
      </w:r>
    </w:p>
    <w:bookmarkEnd w:id="0"/>
    <w:p w:rsidR="001C1F3A" w:rsidRDefault="001C1F3A">
      <w:pPr>
        <w:pStyle w:val="Pagedecouverture"/>
        <w:rPr>
          <w:noProof/>
        </w:rPr>
        <w:sectPr w:rsidR="001C1F3A">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1C1F3A" w:rsidRDefault="001C1F3A">
      <w:pPr>
        <w:rPr>
          <w:noProof/>
        </w:rPr>
      </w:pPr>
      <w:bookmarkStart w:id="1" w:name="_GoBack"/>
      <w:bookmarkEnd w:id="1"/>
    </w:p>
    <w:p w:rsidR="001C1F3A" w:rsidRDefault="004E78CF">
      <w:pPr>
        <w:pStyle w:val="Heading1"/>
        <w:rPr>
          <w:noProof/>
        </w:rPr>
      </w:pPr>
      <w:bookmarkStart w:id="2" w:name="_Toc1149217"/>
      <w:r>
        <w:rPr>
          <w:noProof/>
        </w:rPr>
        <w:t>1. INTRODUCERE</w:t>
      </w:r>
      <w:bookmarkEnd w:id="2"/>
    </w:p>
    <w:p w:rsidR="001C1F3A" w:rsidRDefault="004E78CF">
      <w:pPr>
        <w:jc w:val="both"/>
        <w:rPr>
          <w:rFonts w:ascii="Times New Roman" w:hAnsi="Times New Roman" w:cs="Times New Roman"/>
          <w:noProof/>
          <w:sz w:val="24"/>
          <w:szCs w:val="24"/>
        </w:rPr>
      </w:pPr>
      <w:r>
        <w:rPr>
          <w:rFonts w:ascii="Times New Roman" w:hAnsi="Times New Roman"/>
          <w:noProof/>
          <w:sz w:val="24"/>
        </w:rPr>
        <w:t>Odată cu intrarea în vigoare a Directivei (UE) 2018/2001</w:t>
      </w:r>
      <w:r>
        <w:rPr>
          <w:noProof/>
        </w:rPr>
        <w:t xml:space="preserve"> </w:t>
      </w:r>
      <w:r>
        <w:rPr>
          <w:rFonts w:ascii="Times New Roman" w:hAnsi="Times New Roman"/>
          <w:noProof/>
          <w:sz w:val="24"/>
        </w:rPr>
        <w:t xml:space="preserve">privind promovarea utilizării energiei </w:t>
      </w:r>
      <w:r>
        <w:rPr>
          <w:rFonts w:ascii="Times New Roman" w:hAnsi="Times New Roman"/>
          <w:noProof/>
          <w:sz w:val="24"/>
        </w:rPr>
        <w:t>din surse regenerabile (Directiva privind energia din surse regenerabile II) la 24 decembrie 2018, s-a stabilit un nou cadru adaptat exigențelor viitorului în vederea realizării obiectivului obligatoriu al Uniunii privind o pondere de cel puțin 32 % a ener</w:t>
      </w:r>
      <w:r>
        <w:rPr>
          <w:rFonts w:ascii="Times New Roman" w:hAnsi="Times New Roman"/>
          <w:noProof/>
          <w:sz w:val="24"/>
        </w:rPr>
        <w:t>giei din surse regenerabile în cadrul consumului final brut de energie până în 2030. Acest cadru se va baza pe progresele realizate în temeiul directivei actuale, inclusiv, printre altele, pe obligația statelor membre de a menține obiectivele pentru 2020 c</w:t>
      </w:r>
      <w:r>
        <w:rPr>
          <w:rFonts w:ascii="Times New Roman" w:hAnsi="Times New Roman"/>
          <w:noProof/>
          <w:sz w:val="24"/>
        </w:rPr>
        <w:t>a referință pentru traiectoriile lor pentru următorul deceniu. Acest lucru este completat, de asemenea, de alte elemente din pachetul „Energie curată pentru toți europenii”</w:t>
      </w:r>
      <w:r>
        <w:rPr>
          <w:rStyle w:val="FootnoteReference"/>
          <w:rFonts w:ascii="Times New Roman" w:hAnsi="Times New Roman"/>
          <w:noProof/>
          <w:sz w:val="24"/>
        </w:rPr>
        <w:footnoteReference w:id="2"/>
      </w:r>
      <w:r>
        <w:rPr>
          <w:rFonts w:ascii="Times New Roman" w:hAnsi="Times New Roman"/>
          <w:noProof/>
          <w:sz w:val="24"/>
        </w:rPr>
        <w:t>.</w:t>
      </w:r>
    </w:p>
    <w:p w:rsidR="001C1F3A" w:rsidRDefault="004E78CF">
      <w:pPr>
        <w:jc w:val="both"/>
        <w:rPr>
          <w:rFonts w:ascii="Times New Roman" w:hAnsi="Times New Roman" w:cs="Times New Roman"/>
          <w:noProof/>
          <w:sz w:val="24"/>
          <w:szCs w:val="24"/>
        </w:rPr>
      </w:pPr>
      <w:r>
        <w:rPr>
          <w:rFonts w:ascii="Times New Roman" w:hAnsi="Times New Roman"/>
          <w:noProof/>
          <w:sz w:val="24"/>
        </w:rPr>
        <w:t xml:space="preserve">Energia din surse regenerabile se află în centrul priorităților uniunii </w:t>
      </w:r>
      <w:r>
        <w:rPr>
          <w:rFonts w:ascii="Times New Roman" w:hAnsi="Times New Roman"/>
          <w:noProof/>
          <w:sz w:val="24"/>
        </w:rPr>
        <w:t>energetice. Directiva 2009/28/CE privind promovarea utilizării energiei din surse regenerabile</w:t>
      </w:r>
      <w:r>
        <w:rPr>
          <w:rStyle w:val="FootnoteReference"/>
          <w:rFonts w:ascii="Times New Roman" w:hAnsi="Times New Roman"/>
          <w:noProof/>
          <w:sz w:val="24"/>
        </w:rPr>
        <w:footnoteReference w:id="3"/>
      </w:r>
      <w:r>
        <w:rPr>
          <w:rFonts w:ascii="Times New Roman" w:hAnsi="Times New Roman"/>
          <w:noProof/>
          <w:sz w:val="24"/>
        </w:rPr>
        <w:t xml:space="preserve"> (Directiva privind energia din surse regenerabile I) este un element central al politicii privind uniunea energetică și un factor-cheie pentru realizarea obiect</w:t>
      </w:r>
      <w:r>
        <w:rPr>
          <w:rFonts w:ascii="Times New Roman" w:hAnsi="Times New Roman"/>
          <w:noProof/>
          <w:sz w:val="24"/>
        </w:rPr>
        <w:t>ivelor privind energia din surse regenerabile până în 2020.</w:t>
      </w:r>
    </w:p>
    <w:p w:rsidR="001C1F3A" w:rsidRDefault="004E78CF">
      <w:pPr>
        <w:jc w:val="both"/>
        <w:rPr>
          <w:rFonts w:ascii="Calibri" w:hAnsi="Calibri" w:cs="Calibri"/>
          <w:noProof/>
          <w:color w:val="333333"/>
          <w:sz w:val="26"/>
          <w:szCs w:val="26"/>
        </w:rPr>
      </w:pPr>
      <w:r>
        <w:rPr>
          <w:rFonts w:ascii="Times New Roman" w:hAnsi="Times New Roman"/>
          <w:noProof/>
          <w:sz w:val="24"/>
        </w:rPr>
        <w:t>Prioritatea politică a Uniunii Europene de a deveni lider mondial al surselor regenerabile de energie este susținută de prezența surselor regenerabile de energie în toate cele cinci dimensiuni ale</w:t>
      </w:r>
      <w:r>
        <w:rPr>
          <w:rFonts w:ascii="Times New Roman" w:hAnsi="Times New Roman"/>
          <w:noProof/>
          <w:sz w:val="24"/>
        </w:rPr>
        <w:t xml:space="preserve"> uniunii energetice. În ceea ce privește </w:t>
      </w:r>
      <w:r>
        <w:rPr>
          <w:rFonts w:ascii="Times New Roman" w:hAnsi="Times New Roman"/>
          <w:i/>
          <w:noProof/>
          <w:sz w:val="24"/>
        </w:rPr>
        <w:t>securitatea energetică</w:t>
      </w:r>
      <w:r>
        <w:rPr>
          <w:rFonts w:ascii="Times New Roman" w:hAnsi="Times New Roman"/>
          <w:noProof/>
          <w:sz w:val="24"/>
        </w:rPr>
        <w:t>, sursele regenerabile de energie reduc dependența de importurile de combustibili fosili. Se estimează că creșterea utilizării energiei din surse regenerabile în comparație cu nivelul consumulu</w:t>
      </w:r>
      <w:r>
        <w:rPr>
          <w:rFonts w:ascii="Times New Roman" w:hAnsi="Times New Roman"/>
          <w:noProof/>
          <w:sz w:val="24"/>
        </w:rPr>
        <w:t>i de energie din surse regenerabile din 2005 a permis UE să își reducă cererea de combustibili fosili cu 143 Mtep în 2016</w:t>
      </w:r>
      <w:r>
        <w:rPr>
          <w:rStyle w:val="FootnoteReference"/>
          <w:rFonts w:ascii="Times New Roman" w:hAnsi="Times New Roman"/>
          <w:noProof/>
          <w:sz w:val="24"/>
        </w:rPr>
        <w:footnoteReference w:id="4"/>
      </w:r>
      <w:r>
        <w:rPr>
          <w:rFonts w:ascii="Times New Roman" w:hAnsi="Times New Roman"/>
          <w:noProof/>
          <w:sz w:val="24"/>
        </w:rPr>
        <w:t xml:space="preserve"> (aproximativ 12 % din consumul total de energie primară din combustibili fosili). În mod similar, dependența Europei de importul de e</w:t>
      </w:r>
      <w:r>
        <w:rPr>
          <w:rFonts w:ascii="Times New Roman" w:hAnsi="Times New Roman"/>
          <w:noProof/>
          <w:sz w:val="24"/>
        </w:rPr>
        <w:t>nergie, în special în ceea ce privește importurile de petrol și gaze, va scădea de la nivelul de 55 % din prezent la 20 % în 2050, datorită unei aprovizionări cu energie primară care ar proveni în mare parte din surse regenerabile de energie</w:t>
      </w:r>
      <w:r>
        <w:rPr>
          <w:rStyle w:val="FootnoteReference"/>
          <w:rFonts w:ascii="Times New Roman" w:hAnsi="Times New Roman"/>
          <w:noProof/>
          <w:sz w:val="24"/>
        </w:rPr>
        <w:footnoteReference w:id="5"/>
      </w:r>
      <w:r>
        <w:rPr>
          <w:rFonts w:ascii="Times New Roman" w:hAnsi="Times New Roman"/>
          <w:noProof/>
          <w:sz w:val="24"/>
        </w:rPr>
        <w:t xml:space="preserve">. Pentru </w:t>
      </w:r>
      <w:r>
        <w:rPr>
          <w:rFonts w:ascii="Times New Roman" w:hAnsi="Times New Roman"/>
          <w:i/>
          <w:noProof/>
          <w:sz w:val="24"/>
        </w:rPr>
        <w:t>piața</w:t>
      </w:r>
      <w:r>
        <w:rPr>
          <w:rFonts w:ascii="Times New Roman" w:hAnsi="Times New Roman"/>
          <w:i/>
          <w:noProof/>
          <w:sz w:val="24"/>
        </w:rPr>
        <w:t xml:space="preserve"> internă a energiei</w:t>
      </w:r>
      <w:r>
        <w:rPr>
          <w:rFonts w:ascii="Times New Roman" w:hAnsi="Times New Roman"/>
          <w:noProof/>
          <w:sz w:val="24"/>
        </w:rPr>
        <w:t>, sursele regenerabile de energie joacă un rol tot mai important, în special pe piața energiei, unde aproape o treime (30,8 %) din producția brută de energie electrică din UE-28 a fost generată de sursele regenerabile de energie în 2017</w:t>
      </w:r>
      <w:r>
        <w:rPr>
          <w:rStyle w:val="FootnoteReference"/>
          <w:rFonts w:ascii="Times New Roman" w:hAnsi="Times New Roman"/>
          <w:noProof/>
          <w:sz w:val="24"/>
        </w:rPr>
        <w:footnoteReference w:id="6"/>
      </w:r>
      <w:r>
        <w:rPr>
          <w:rFonts w:ascii="Times New Roman" w:hAnsi="Times New Roman"/>
          <w:noProof/>
          <w:sz w:val="24"/>
        </w:rPr>
        <w:t xml:space="preserve">. </w:t>
      </w:r>
    </w:p>
    <w:p w:rsidR="001C1F3A" w:rsidRDefault="004E78CF">
      <w:pPr>
        <w:jc w:val="both"/>
        <w:rPr>
          <w:rFonts w:ascii="Times New Roman" w:hAnsi="Times New Roman" w:cs="Times New Roman"/>
          <w:noProof/>
          <w:sz w:val="24"/>
          <w:szCs w:val="24"/>
        </w:rPr>
      </w:pPr>
      <w:r>
        <w:rPr>
          <w:rFonts w:ascii="Times New Roman" w:hAnsi="Times New Roman"/>
          <w:noProof/>
          <w:sz w:val="24"/>
        </w:rPr>
        <w:t xml:space="preserve">De asemenea, se observă un rol tot mai mare al gazelor din surse regenerabile. Un exemplu ilustrativ este acela că ponderea de biogaz în raport cu consumul total de gaz a fost de 18,6 % în iulie 2018 în Danemarca, ceea ce înseamnă o creștere de 50 % în </w:t>
      </w:r>
      <w:r>
        <w:rPr>
          <w:rFonts w:ascii="Times New Roman" w:hAnsi="Times New Roman"/>
          <w:noProof/>
          <w:sz w:val="24"/>
        </w:rPr>
        <w:t xml:space="preserve">comparație cu anul </w:t>
      </w:r>
      <w:r>
        <w:rPr>
          <w:rFonts w:ascii="Times New Roman" w:hAnsi="Times New Roman"/>
          <w:noProof/>
          <w:sz w:val="24"/>
        </w:rPr>
        <w:lastRenderedPageBreak/>
        <w:t>precedent</w:t>
      </w:r>
      <w:r>
        <w:rPr>
          <w:rStyle w:val="FootnoteReference"/>
          <w:rFonts w:ascii="Times New Roman" w:hAnsi="Times New Roman"/>
          <w:noProof/>
          <w:sz w:val="24"/>
        </w:rPr>
        <w:footnoteReference w:id="7"/>
      </w:r>
      <w:r>
        <w:rPr>
          <w:rFonts w:ascii="Times New Roman" w:hAnsi="Times New Roman"/>
          <w:noProof/>
          <w:sz w:val="24"/>
        </w:rPr>
        <w:t xml:space="preserve">. În ceea ce privește </w:t>
      </w:r>
      <w:r>
        <w:rPr>
          <w:rFonts w:ascii="Times New Roman" w:hAnsi="Times New Roman"/>
          <w:i/>
          <w:noProof/>
          <w:sz w:val="24"/>
        </w:rPr>
        <w:t>eficiența energetică</w:t>
      </w:r>
      <w:r>
        <w:rPr>
          <w:rFonts w:ascii="Times New Roman" w:hAnsi="Times New Roman"/>
          <w:noProof/>
          <w:sz w:val="24"/>
        </w:rPr>
        <w:t>, reducerea consumului de energie este strâns legată de atingerea unei ponderi mai mari de surse regenerabile de energie și de creșterea integrării surselor regenerabile de energie la scară mică în clădiri, îmbunătățind performanța energetică într-un mod e</w:t>
      </w:r>
      <w:r>
        <w:rPr>
          <w:rFonts w:ascii="Times New Roman" w:hAnsi="Times New Roman"/>
          <w:noProof/>
          <w:sz w:val="24"/>
        </w:rPr>
        <w:t xml:space="preserve">ficient din punctul de vedere al costurilor. În plus, energia din surse regenerabile joacă un rol semnificativ pentru </w:t>
      </w:r>
      <w:r>
        <w:rPr>
          <w:rFonts w:ascii="Times New Roman" w:hAnsi="Times New Roman"/>
          <w:i/>
          <w:noProof/>
          <w:sz w:val="24"/>
        </w:rPr>
        <w:t>decarbonizare</w:t>
      </w:r>
      <w:r>
        <w:rPr>
          <w:rFonts w:ascii="Times New Roman" w:hAnsi="Times New Roman"/>
          <w:noProof/>
          <w:sz w:val="24"/>
        </w:rPr>
        <w:t xml:space="preserve"> și, în 2016, sursele regenerabile de energie au contribuit la evitarea a 460 Mt de emisii de CO</w:t>
      </w:r>
      <w:r>
        <w:rPr>
          <w:rFonts w:ascii="Times New Roman" w:hAnsi="Times New Roman"/>
          <w:noProof/>
          <w:sz w:val="24"/>
          <w:vertAlign w:val="subscript"/>
        </w:rPr>
        <w:t>2</w:t>
      </w:r>
      <w:r>
        <w:rPr>
          <w:rFonts w:ascii="Times New Roman" w:hAnsi="Times New Roman"/>
          <w:noProof/>
          <w:sz w:val="24"/>
        </w:rPr>
        <w:t xml:space="preserve"> brute (peste cantitatea tot</w:t>
      </w:r>
      <w:r>
        <w:rPr>
          <w:rFonts w:ascii="Times New Roman" w:hAnsi="Times New Roman"/>
          <w:noProof/>
          <w:sz w:val="24"/>
        </w:rPr>
        <w:t>ală de emisii de GES din Italia din 2016)</w:t>
      </w:r>
      <w:r>
        <w:rPr>
          <w:rStyle w:val="FootnoteReference"/>
          <w:rFonts w:ascii="Times New Roman" w:hAnsi="Times New Roman"/>
          <w:noProof/>
          <w:sz w:val="24"/>
        </w:rPr>
        <w:footnoteReference w:id="8"/>
      </w:r>
      <w:r>
        <w:rPr>
          <w:rFonts w:ascii="Times New Roman" w:hAnsi="Times New Roman"/>
          <w:noProof/>
          <w:sz w:val="24"/>
        </w:rPr>
        <w:t>, estimându-se că această cantitate va crește la 499 Mt</w:t>
      </w:r>
      <w:r>
        <w:rPr>
          <w:rStyle w:val="FootnoteReference"/>
          <w:rFonts w:ascii="Times New Roman" w:hAnsi="Times New Roman"/>
          <w:noProof/>
          <w:sz w:val="24"/>
        </w:rPr>
        <w:footnoteReference w:id="9"/>
      </w:r>
      <w:r>
        <w:rPr>
          <w:rFonts w:ascii="Times New Roman" w:hAnsi="Times New Roman"/>
          <w:noProof/>
          <w:sz w:val="24"/>
        </w:rPr>
        <w:t xml:space="preserve"> în 2017. Totodată, sursele regenerabile de energie au o contribuție esențială în ceea ce privește </w:t>
      </w:r>
      <w:r>
        <w:rPr>
          <w:rFonts w:ascii="Times New Roman" w:hAnsi="Times New Roman"/>
          <w:i/>
          <w:noProof/>
          <w:sz w:val="24"/>
        </w:rPr>
        <w:t>inovarea</w:t>
      </w:r>
      <w:r>
        <w:rPr>
          <w:rFonts w:ascii="Times New Roman" w:hAnsi="Times New Roman"/>
          <w:noProof/>
          <w:sz w:val="24"/>
        </w:rPr>
        <w:t>. În domeniul surselor regenerabile de energie, 53 </w:t>
      </w:r>
      <w:r>
        <w:rPr>
          <w:rFonts w:ascii="Times New Roman" w:hAnsi="Times New Roman"/>
          <w:noProof/>
          <w:sz w:val="24"/>
        </w:rPr>
        <w:t>% dintre invențiile întreprinderilor cu sediul în UE dobândesc protecție prin brevet în afara Europei</w:t>
      </w:r>
      <w:r>
        <w:rPr>
          <w:rStyle w:val="FootnoteReference"/>
          <w:rFonts w:ascii="Times New Roman" w:hAnsi="Times New Roman"/>
          <w:noProof/>
          <w:sz w:val="24"/>
        </w:rPr>
        <w:footnoteReference w:id="10"/>
      </w:r>
      <w:r>
        <w:rPr>
          <w:rFonts w:ascii="Times New Roman" w:hAnsi="Times New Roman"/>
          <w:noProof/>
          <w:sz w:val="24"/>
        </w:rPr>
        <w:t>. Acest lucru demonstrează valoarea ridicată a inovării, deoarece protecția se realizează pentru ca inovarea să ajungă pe piețele străine și să aibă succe</w:t>
      </w:r>
      <w:r>
        <w:rPr>
          <w:rFonts w:ascii="Times New Roman" w:hAnsi="Times New Roman"/>
          <w:noProof/>
          <w:sz w:val="24"/>
        </w:rPr>
        <w:t>s acolo. Astfel, UE devine lider mondial în materie de inovare, deoarece are o cotă mai mare decât oricare dintre celelalte economii majore</w:t>
      </w:r>
      <w:r>
        <w:rPr>
          <w:rStyle w:val="FootnoteReference"/>
          <w:rFonts w:ascii="Times New Roman" w:hAnsi="Times New Roman"/>
          <w:noProof/>
          <w:sz w:val="24"/>
        </w:rPr>
        <w:footnoteReference w:id="11"/>
      </w:r>
      <w:r>
        <w:rPr>
          <w:rFonts w:ascii="Times New Roman" w:hAnsi="Times New Roman"/>
          <w:noProof/>
          <w:sz w:val="24"/>
        </w:rPr>
        <w:t xml:space="preserve">. În această privință, astfel cum recunoaște Agenția Internațională pentru Energie Regenerabilă (IRENA - </w:t>
      </w:r>
      <w:r>
        <w:rPr>
          <w:rFonts w:ascii="Times New Roman" w:hAnsi="Times New Roman"/>
          <w:i/>
          <w:noProof/>
          <w:sz w:val="24"/>
        </w:rPr>
        <w:t>Internation</w:t>
      </w:r>
      <w:r>
        <w:rPr>
          <w:rFonts w:ascii="Times New Roman" w:hAnsi="Times New Roman"/>
          <w:i/>
          <w:noProof/>
          <w:sz w:val="24"/>
        </w:rPr>
        <w:t>al Renewable Energy Agency</w:t>
      </w:r>
      <w:r>
        <w:rPr>
          <w:rFonts w:ascii="Times New Roman" w:hAnsi="Times New Roman"/>
          <w:noProof/>
          <w:sz w:val="24"/>
        </w:rPr>
        <w:t>), Europa a devenit un reper în ceea ce privește indicarea căilor de succes către un viitor energetic bazat pe surse regenerabile de energie, situându-se în avangarda inovării energetice</w:t>
      </w:r>
      <w:r>
        <w:rPr>
          <w:rStyle w:val="FootnoteReference"/>
          <w:rFonts w:ascii="Times New Roman" w:hAnsi="Times New Roman"/>
          <w:noProof/>
          <w:color w:val="333333"/>
          <w:sz w:val="24"/>
        </w:rPr>
        <w:footnoteReference w:id="12"/>
      </w:r>
      <w:r>
        <w:rPr>
          <w:rFonts w:ascii="Times New Roman" w:hAnsi="Times New Roman"/>
          <w:noProof/>
          <w:sz w:val="24"/>
        </w:rPr>
        <w:t>.</w:t>
      </w:r>
    </w:p>
    <w:p w:rsidR="001C1F3A" w:rsidRDefault="004E78CF">
      <w:pPr>
        <w:jc w:val="both"/>
        <w:rPr>
          <w:rFonts w:ascii="Times New Roman" w:hAnsi="Times New Roman" w:cs="Times New Roman"/>
          <w:noProof/>
          <w:sz w:val="24"/>
          <w:szCs w:val="24"/>
        </w:rPr>
      </w:pPr>
      <w:r>
        <w:rPr>
          <w:rFonts w:ascii="Times New Roman" w:hAnsi="Times New Roman"/>
          <w:noProof/>
          <w:sz w:val="24"/>
        </w:rPr>
        <w:t>De asemenea, UE ocupă poziția de lider în</w:t>
      </w:r>
      <w:r>
        <w:rPr>
          <w:rFonts w:ascii="Times New Roman" w:hAnsi="Times New Roman"/>
          <w:noProof/>
          <w:sz w:val="24"/>
        </w:rPr>
        <w:t xml:space="preserve"> ceea ce privește diferitele tehnologii regenerabile de-a lungul lanțurilor sale de aprovizionare. Pentru unele tehnologii, precum turbinele eoliene, producătorii din UE au fost responsabili pentru cel puțin 41 % din puterea nou instalată la nivel mondial </w:t>
      </w:r>
      <w:r>
        <w:rPr>
          <w:rFonts w:ascii="Times New Roman" w:hAnsi="Times New Roman"/>
          <w:noProof/>
          <w:sz w:val="24"/>
        </w:rPr>
        <w:t>în 2016</w:t>
      </w:r>
      <w:r>
        <w:rPr>
          <w:rStyle w:val="FootnoteReference"/>
          <w:rFonts w:ascii="Times New Roman" w:hAnsi="Times New Roman"/>
          <w:noProof/>
          <w:sz w:val="24"/>
        </w:rPr>
        <w:footnoteReference w:id="13"/>
      </w:r>
      <w:r>
        <w:rPr>
          <w:rFonts w:ascii="Times New Roman" w:hAnsi="Times New Roman"/>
          <w:noProof/>
          <w:sz w:val="24"/>
        </w:rPr>
        <w:t>. În ceea ce privește industria fotovoltaică din UE, producătorii de echipamente fotovoltaice din UE ocupă primul loc, deținând o cotă de piață la nivel mondial de 50 %, iar producătorii de invertoare din UE dețin o cotă de piață la nivel mondial d</w:t>
      </w:r>
      <w:r>
        <w:rPr>
          <w:rFonts w:ascii="Times New Roman" w:hAnsi="Times New Roman"/>
          <w:noProof/>
          <w:sz w:val="24"/>
        </w:rPr>
        <w:t>e peste 18 %</w:t>
      </w:r>
      <w:r>
        <w:rPr>
          <w:rStyle w:val="FootnoteReference"/>
          <w:rFonts w:ascii="Times New Roman" w:hAnsi="Times New Roman"/>
          <w:noProof/>
          <w:sz w:val="24"/>
        </w:rPr>
        <w:footnoteReference w:id="14"/>
      </w:r>
      <w:r>
        <w:rPr>
          <w:rFonts w:ascii="Times New Roman" w:hAnsi="Times New Roman"/>
          <w:noProof/>
          <w:sz w:val="24"/>
        </w:rPr>
        <w:t>. În plus, pentru a-și menține și a-și extinde poziția de lider mondial în domeniul tehnologiilor emergente legate de energia oceanică din surse regenerabile, de exemplu, Comisia s-a angajat, alături de statele membre, să își unească eforturil</w:t>
      </w:r>
      <w:r>
        <w:rPr>
          <w:rFonts w:ascii="Times New Roman" w:hAnsi="Times New Roman"/>
          <w:noProof/>
          <w:sz w:val="24"/>
        </w:rPr>
        <w:t>e pentru a spori utilizarea și pentru a realiza obiectivele de reducere a costurilor stabilite în Planul SET</w:t>
      </w:r>
      <w:r>
        <w:rPr>
          <w:rStyle w:val="FootnoteReference"/>
          <w:rFonts w:ascii="Times New Roman" w:hAnsi="Times New Roman"/>
          <w:noProof/>
          <w:sz w:val="24"/>
        </w:rPr>
        <w:footnoteReference w:id="15"/>
      </w:r>
      <w:r>
        <w:rPr>
          <w:rFonts w:ascii="Times New Roman" w:hAnsi="Times New Roman"/>
          <w:noProof/>
          <w:sz w:val="24"/>
        </w:rPr>
        <w:t>. Comisia a instituit Forumul industrial în materie de energie curată privind sursele regenerabile de energie pentru a consolida baza industrială p</w:t>
      </w:r>
      <w:r>
        <w:rPr>
          <w:rFonts w:ascii="Times New Roman" w:hAnsi="Times New Roman"/>
          <w:noProof/>
          <w:sz w:val="24"/>
        </w:rPr>
        <w:t xml:space="preserve">entru sursele regenerabile de energie din Europa. În strânsă cooperare cu actorii-cheie din sector, acest forum propune acțiuni de îmbunătățire a competitivității lanțului european de aprovizionare pentru surse regenerabile de energie. </w:t>
      </w:r>
    </w:p>
    <w:p w:rsidR="001C1F3A" w:rsidRDefault="004E78CF">
      <w:pPr>
        <w:autoSpaceDE w:val="0"/>
        <w:autoSpaceDN w:val="0"/>
        <w:adjustRightInd w:val="0"/>
        <w:jc w:val="both"/>
        <w:rPr>
          <w:rFonts w:ascii="Times New Roman" w:hAnsi="Times New Roman" w:cs="Times New Roman"/>
          <w:noProof/>
          <w:sz w:val="24"/>
          <w:szCs w:val="24"/>
        </w:rPr>
      </w:pPr>
      <w:r>
        <w:rPr>
          <w:rFonts w:ascii="Times New Roman" w:hAnsi="Times New Roman"/>
          <w:noProof/>
          <w:sz w:val="24"/>
        </w:rPr>
        <w:t>Beneficiile surselo</w:t>
      </w:r>
      <w:r>
        <w:rPr>
          <w:rFonts w:ascii="Times New Roman" w:hAnsi="Times New Roman"/>
          <w:noProof/>
          <w:sz w:val="24"/>
        </w:rPr>
        <w:t>r regenerabile de energie depășesc cu mult impactul asupra celor cinci dimensiuni politice de mai sus. Energiile din surse regenerabile sunt o sursă de creștere economică și de locuri de muncă pentru europeni, în special de locuri de muncă locale, peste 1,</w:t>
      </w:r>
      <w:r>
        <w:rPr>
          <w:rFonts w:ascii="Times New Roman" w:hAnsi="Times New Roman"/>
          <w:noProof/>
          <w:sz w:val="24"/>
        </w:rPr>
        <w:t>4 milioane de persoane lucrând în prezent în acest sector, iar cifra de afaceri conexă fiind estimată la 154,7 miliarde EUR</w:t>
      </w:r>
      <w:r>
        <w:rPr>
          <w:rStyle w:val="FootnoteReference"/>
          <w:rFonts w:ascii="Times New Roman" w:hAnsi="Times New Roman"/>
          <w:noProof/>
          <w:sz w:val="24"/>
        </w:rPr>
        <w:footnoteReference w:id="16"/>
      </w:r>
      <w:r>
        <w:rPr>
          <w:rFonts w:ascii="Times New Roman" w:hAnsi="Times New Roman"/>
          <w:noProof/>
          <w:sz w:val="24"/>
        </w:rPr>
        <w:t>. Raportul recent privind prețurile și costurile energiei din Europa</w:t>
      </w:r>
      <w:r>
        <w:rPr>
          <w:rStyle w:val="FootnoteReference"/>
          <w:rFonts w:ascii="Times New Roman" w:hAnsi="Times New Roman"/>
          <w:noProof/>
          <w:sz w:val="24"/>
        </w:rPr>
        <w:footnoteReference w:id="17"/>
      </w:r>
      <w:r>
        <w:rPr>
          <w:rFonts w:ascii="Times New Roman" w:hAnsi="Times New Roman"/>
          <w:noProof/>
          <w:sz w:val="24"/>
        </w:rPr>
        <w:t xml:space="preserve"> arată, în plus, un impact pozitiv asupra competitivității indu</w:t>
      </w:r>
      <w:r>
        <w:rPr>
          <w:rFonts w:ascii="Times New Roman" w:hAnsi="Times New Roman"/>
          <w:noProof/>
          <w:sz w:val="24"/>
        </w:rPr>
        <w:t>striale, deoarece cantitățile mai mari de energie din surse regenerabile reprezintă factorul-cheie care stă la baza scăderii prețurilor angro ale energiei din ultimii ani. Astfel cum subliniază IRENA, utilizarea pe scară tot mai largă a surselor regenerabi</w:t>
      </w:r>
      <w:r>
        <w:rPr>
          <w:rFonts w:ascii="Times New Roman" w:hAnsi="Times New Roman"/>
          <w:noProof/>
          <w:sz w:val="24"/>
        </w:rPr>
        <w:t>le de energie a determinat și o transformare energetică la nivel mondial, cu implicații geopolitice, iar UE deține în mod clar poziția de lider</w:t>
      </w:r>
      <w:r>
        <w:rPr>
          <w:rStyle w:val="FootnoteReference"/>
          <w:rFonts w:ascii="Times New Roman" w:hAnsi="Times New Roman"/>
          <w:noProof/>
          <w:sz w:val="24"/>
        </w:rPr>
        <w:footnoteReference w:id="18"/>
      </w:r>
      <w:r>
        <w:rPr>
          <w:rFonts w:ascii="Times New Roman" w:hAnsi="Times New Roman"/>
          <w:noProof/>
          <w:sz w:val="24"/>
        </w:rPr>
        <w:t>.</w:t>
      </w:r>
    </w:p>
    <w:p w:rsidR="001C1F3A" w:rsidRDefault="004E78CF">
      <w:pPr>
        <w:autoSpaceDE w:val="0"/>
        <w:autoSpaceDN w:val="0"/>
        <w:jc w:val="both"/>
        <w:rPr>
          <w:rFonts w:ascii="Times New Roman" w:hAnsi="Times New Roman" w:cs="Times New Roman"/>
          <w:noProof/>
          <w:sz w:val="24"/>
          <w:szCs w:val="24"/>
        </w:rPr>
      </w:pPr>
      <w:r>
        <w:rPr>
          <w:rFonts w:ascii="Times New Roman" w:hAnsi="Times New Roman"/>
          <w:noProof/>
          <w:sz w:val="24"/>
        </w:rPr>
        <w:t>Ele contribuie, de asemenea, la reducerea poluării atmosferice și ajută țările în curs de dezvoltare să aibă a</w:t>
      </w:r>
      <w:r>
        <w:rPr>
          <w:rFonts w:ascii="Times New Roman" w:hAnsi="Times New Roman"/>
          <w:noProof/>
          <w:sz w:val="24"/>
        </w:rPr>
        <w:t xml:space="preserve">cces la energie ieftină și curată. În perioada 2011-2016, capacitatea de producție de energie electrică din surse regenerabile a crescut cu aproximativ 10 GW iar numărul de persoane care beneficiază de soluții de energie din surse regenerabile neconectate </w:t>
      </w:r>
      <w:r>
        <w:rPr>
          <w:rFonts w:ascii="Times New Roman" w:hAnsi="Times New Roman"/>
          <w:noProof/>
          <w:sz w:val="24"/>
        </w:rPr>
        <w:t>la rețea a crescut de șase ori, ajungând la peste 133 de milioane</w:t>
      </w:r>
      <w:r>
        <w:rPr>
          <w:rStyle w:val="FootnoteReference"/>
          <w:rFonts w:ascii="Times New Roman" w:hAnsi="Times New Roman"/>
          <w:noProof/>
          <w:sz w:val="24"/>
        </w:rPr>
        <w:footnoteReference w:id="19"/>
      </w:r>
      <w:r>
        <w:rPr>
          <w:rFonts w:ascii="Times New Roman" w:hAnsi="Times New Roman"/>
          <w:noProof/>
          <w:sz w:val="24"/>
        </w:rPr>
        <w:t>. Se estimează că, până în 2030, sursele regenerabile de energie vor alimenta peste 60 % din noul acces la energie electrică și că sistemele de sine stătătoare și minirețelele de electricita</w:t>
      </w:r>
      <w:r>
        <w:rPr>
          <w:rFonts w:ascii="Times New Roman" w:hAnsi="Times New Roman"/>
          <w:noProof/>
          <w:sz w:val="24"/>
        </w:rPr>
        <w:t>te vor asigura mijloacele necesare pentru aproape jumătate din noul acces</w:t>
      </w:r>
      <w:r>
        <w:rPr>
          <w:rStyle w:val="FootnoteReference"/>
          <w:rFonts w:ascii="Times New Roman" w:hAnsi="Times New Roman"/>
          <w:noProof/>
          <w:sz w:val="24"/>
        </w:rPr>
        <w:footnoteReference w:id="20"/>
      </w:r>
      <w:r>
        <w:rPr>
          <w:rFonts w:ascii="Times New Roman" w:hAnsi="Times New Roman"/>
          <w:noProof/>
          <w:sz w:val="24"/>
        </w:rPr>
        <w:t>. Nu în ultimul rând, dar cel mai important, costul mai scăzut al tehnologiei, însoțit de digitalizare, transformă sursele regenerabile de energie în adevărata forță motrice pentru r</w:t>
      </w:r>
      <w:r>
        <w:rPr>
          <w:rFonts w:ascii="Times New Roman" w:hAnsi="Times New Roman"/>
          <w:noProof/>
          <w:sz w:val="24"/>
        </w:rPr>
        <w:t>esponsabilizarea consumatorilor și pentru ca aceștia să joace un rol esențial în tranziția energetică.</w:t>
      </w:r>
    </w:p>
    <w:p w:rsidR="001C1F3A" w:rsidRDefault="004E78CF">
      <w:pPr>
        <w:jc w:val="both"/>
        <w:rPr>
          <w:rFonts w:ascii="Times New Roman" w:hAnsi="Times New Roman" w:cs="Times New Roman"/>
          <w:noProof/>
          <w:sz w:val="24"/>
          <w:szCs w:val="24"/>
        </w:rPr>
      </w:pPr>
      <w:r>
        <w:rPr>
          <w:rFonts w:ascii="Times New Roman" w:hAnsi="Times New Roman"/>
          <w:noProof/>
          <w:sz w:val="24"/>
        </w:rPr>
        <w:t>Acest raport prezintă cele mai recente informații referitoare la progresele înregistrate până în 2017 cu privire la realizarea obiectivului de 20 % pentr</w:t>
      </w:r>
      <w:r>
        <w:rPr>
          <w:rFonts w:ascii="Times New Roman" w:hAnsi="Times New Roman"/>
          <w:noProof/>
          <w:sz w:val="24"/>
        </w:rPr>
        <w:t xml:space="preserve">u energia din surse regenerabile până în 2020 și abordează obligațiile de raportare ale Comisiei Europene în conformitate cu Directiva privind energia din surse regenerabile I și cu Directiva privind schimbarea indirectă a destinației terenurilor (ILUC - </w:t>
      </w:r>
      <w:r>
        <w:rPr>
          <w:rFonts w:ascii="Times New Roman" w:hAnsi="Times New Roman"/>
          <w:i/>
          <w:noProof/>
          <w:sz w:val="24"/>
        </w:rPr>
        <w:t>D</w:t>
      </w:r>
      <w:r>
        <w:rPr>
          <w:rFonts w:ascii="Times New Roman" w:hAnsi="Times New Roman"/>
          <w:i/>
          <w:noProof/>
          <w:sz w:val="24"/>
        </w:rPr>
        <w:t>irective on Indirect Land Use Change</w:t>
      </w:r>
      <w:r>
        <w:rPr>
          <w:rFonts w:ascii="Times New Roman" w:hAnsi="Times New Roman"/>
          <w:noProof/>
          <w:sz w:val="24"/>
        </w:rPr>
        <w:t>)</w:t>
      </w:r>
      <w:r>
        <w:rPr>
          <w:rStyle w:val="FootnoteReference"/>
          <w:rFonts w:ascii="Times New Roman" w:hAnsi="Times New Roman"/>
          <w:noProof/>
          <w:sz w:val="24"/>
        </w:rPr>
        <w:footnoteReference w:id="21"/>
      </w:r>
      <w:r>
        <w:rPr>
          <w:rFonts w:ascii="Times New Roman" w:hAnsi="Times New Roman"/>
          <w:noProof/>
          <w:sz w:val="24"/>
        </w:rPr>
        <w:t xml:space="preserve">. Statisticile privind energia, transmise de statele membre către Eurostat până în ianuarie 2019, sunt utilizate ca sursă primară de date pentru evaluarea progreselor înregistrate cu privire la realizarea obiectivului </w:t>
      </w:r>
      <w:r>
        <w:rPr>
          <w:rFonts w:ascii="Times New Roman" w:hAnsi="Times New Roman"/>
          <w:noProof/>
          <w:sz w:val="24"/>
        </w:rPr>
        <w:t>pentru 2020. Acest raport se bazează pe al patrulea raport bianual privind progresele înregistrate în domeniul energiei din surse regenerabile al statelor membre, care acoperă perioada 2015-2016</w:t>
      </w:r>
      <w:r>
        <w:rPr>
          <w:rStyle w:val="FootnoteReference"/>
          <w:rFonts w:ascii="Times New Roman" w:hAnsi="Times New Roman"/>
          <w:noProof/>
          <w:sz w:val="24"/>
        </w:rPr>
        <w:footnoteReference w:id="22"/>
      </w:r>
      <w:r>
        <w:rPr>
          <w:rFonts w:ascii="Times New Roman" w:hAnsi="Times New Roman"/>
          <w:noProof/>
          <w:sz w:val="24"/>
        </w:rPr>
        <w:t>, precum și pe analiza tehnică complementară efectuată în cur</w:t>
      </w:r>
      <w:r>
        <w:rPr>
          <w:rFonts w:ascii="Times New Roman" w:hAnsi="Times New Roman"/>
          <w:noProof/>
          <w:sz w:val="24"/>
        </w:rPr>
        <w:t xml:space="preserve">sul anului 2018. De asemenea, raportul include o prezentare generală a potențialului în ceea ce privește mecanismele de cooperare și evaluarea cadrelor administrative, precum și a durabilității biocombustibililor. </w:t>
      </w:r>
    </w:p>
    <w:p w:rsidR="001C1F3A" w:rsidRDefault="004E78CF">
      <w:pPr>
        <w:pStyle w:val="Heading1"/>
        <w:rPr>
          <w:noProof/>
        </w:rPr>
      </w:pPr>
      <w:bookmarkStart w:id="3" w:name="_Toc1149218"/>
      <w:r>
        <w:rPr>
          <w:noProof/>
        </w:rPr>
        <w:t>2. PROGRESELE ÎNREGISTRATE DE UE-28 ÎN CE</w:t>
      </w:r>
      <w:r>
        <w:rPr>
          <w:noProof/>
        </w:rPr>
        <w:t>EA CE PRIVEȘTE UTILIZAREA ENERGIEI DIN SURSE REGENERABILE</w:t>
      </w:r>
      <w:bookmarkEnd w:id="3"/>
      <w:r>
        <w:rPr>
          <w:noProof/>
        </w:rPr>
        <w:t xml:space="preserve"> </w:t>
      </w:r>
    </w:p>
    <w:p w:rsidR="001C1F3A" w:rsidRDefault="004E78CF">
      <w:pPr>
        <w:jc w:val="both"/>
        <w:rPr>
          <w:rFonts w:ascii="Times New Roman" w:hAnsi="Times New Roman" w:cs="Times New Roman"/>
          <w:noProof/>
          <w:sz w:val="24"/>
          <w:szCs w:val="24"/>
        </w:rPr>
      </w:pPr>
      <w:r>
        <w:rPr>
          <w:rFonts w:ascii="Times New Roman" w:hAnsi="Times New Roman"/>
          <w:noProof/>
          <w:sz w:val="24"/>
        </w:rPr>
        <w:t>În 2017, în UE, energia din surse regenerabile a atins o pondere de 17,52 % din consumul final brut de energie, în raport cu obiectivul de 20 % pentru 2020 și se situează peste traiectoria orientat</w:t>
      </w:r>
      <w:r>
        <w:rPr>
          <w:rFonts w:ascii="Times New Roman" w:hAnsi="Times New Roman"/>
          <w:noProof/>
          <w:sz w:val="24"/>
        </w:rPr>
        <w:t>ivă de 16 % pentru 2017-2018. În plus, UE în ansamblul său se situează peste traiectoria puțin mai ambițioasă definită chiar de statele membre în planurile lor naționale de acțiune privind energia din surse regenerabile (PNAESR)</w:t>
      </w:r>
      <w:r>
        <w:rPr>
          <w:rStyle w:val="FootnoteReference"/>
          <w:rFonts w:ascii="Times New Roman" w:hAnsi="Times New Roman"/>
          <w:noProof/>
          <w:sz w:val="24"/>
        </w:rPr>
        <w:footnoteReference w:id="23"/>
      </w:r>
      <w:r>
        <w:rPr>
          <w:rFonts w:ascii="Times New Roman" w:hAnsi="Times New Roman"/>
          <w:noProof/>
          <w:sz w:val="24"/>
        </w:rPr>
        <w:t>. UE este pe cale să își re</w:t>
      </w:r>
      <w:r>
        <w:rPr>
          <w:rFonts w:ascii="Times New Roman" w:hAnsi="Times New Roman"/>
          <w:noProof/>
          <w:sz w:val="24"/>
        </w:rPr>
        <w:t>alizeze obiectivul pentru 2020. În ultimii ani, la nivelul UE, a avut loc o creștere continuă a ponderii globale a surselor regenerabile de energie (SRE) și a ponderii la nivel sectorial a energiei din surse regenerabile de energie electrică (E-SRE), încăl</w:t>
      </w:r>
      <w:r>
        <w:rPr>
          <w:rFonts w:ascii="Times New Roman" w:hAnsi="Times New Roman"/>
          <w:noProof/>
          <w:sz w:val="24"/>
        </w:rPr>
        <w:t>zire și răcire (Î&amp;R-SRE) și, în mai mică măsură, din transporturi (T-SRE).</w:t>
      </w:r>
    </w:p>
    <w:p w:rsidR="001C1F3A" w:rsidRDefault="004E78CF">
      <w:pPr>
        <w:jc w:val="both"/>
        <w:rPr>
          <w:rFonts w:ascii="Times New Roman" w:hAnsi="Times New Roman" w:cs="Times New Roman"/>
          <w:noProof/>
          <w:sz w:val="24"/>
          <w:szCs w:val="24"/>
        </w:rPr>
      </w:pPr>
      <w:r>
        <w:rPr>
          <w:rFonts w:ascii="Times New Roman" w:hAnsi="Times New Roman"/>
          <w:noProof/>
          <w:sz w:val="24"/>
        </w:rPr>
        <w:t>Cu toate acestea, ritmul de creștere a ponderii energiei din surse regenerabile a încetinit începând cu 2014. În comparație cu ponderea de 16,19 % din 2014, creșterea medie din peri</w:t>
      </w:r>
      <w:r>
        <w:rPr>
          <w:rFonts w:ascii="Times New Roman" w:hAnsi="Times New Roman"/>
          <w:noProof/>
          <w:sz w:val="24"/>
        </w:rPr>
        <w:t>oada 2014-2017 a fost de doar 0,44 puncte procentuale pe an, mai mică decât creșterea medie anuală de 0,83 puncte procentuale pe an care va fi necesară pentru a se atinge ponderea de 20 % în 2020. Deoarece traiectoria orientativă prevăzută în Directiva pri</w:t>
      </w:r>
      <w:r>
        <w:rPr>
          <w:rFonts w:ascii="Times New Roman" w:hAnsi="Times New Roman"/>
          <w:noProof/>
          <w:sz w:val="24"/>
        </w:rPr>
        <w:t xml:space="preserve">vind energia din surse regenerabile I este mai abruptă în ultimii ani, va fi necesar un efort susținut pentru realizarea obiectivelor. </w:t>
      </w:r>
    </w:p>
    <w:p w:rsidR="001C1F3A" w:rsidRDefault="004E78CF">
      <w:pPr>
        <w:jc w:val="both"/>
        <w:rPr>
          <w:rFonts w:ascii="Times New Roman" w:hAnsi="Times New Roman" w:cs="Times New Roman"/>
          <w:noProof/>
          <w:sz w:val="24"/>
          <w:szCs w:val="24"/>
        </w:rPr>
      </w:pPr>
      <w:r>
        <w:rPr>
          <w:rFonts w:ascii="Times New Roman" w:hAnsi="Times New Roman"/>
          <w:noProof/>
          <w:sz w:val="24"/>
        </w:rPr>
        <w:t>În ceea ce privește sectoarele individuale, la nivelul UE, ponderea energiei din surse regenerabile în sectoarele energi</w:t>
      </w:r>
      <w:r>
        <w:rPr>
          <w:rFonts w:ascii="Times New Roman" w:hAnsi="Times New Roman"/>
          <w:noProof/>
          <w:sz w:val="24"/>
        </w:rPr>
        <w:t xml:space="preserve">ei electrice și al încălzirii și răcirii s-a situat în mod sistematic peste nivelurile definite de statele membre în PNAESR, în timp ce, pentru transporturi, ponderea surselor regenerabile de energie urmează, practic, traiectoria planificată. </w:t>
      </w:r>
    </w:p>
    <w:p w:rsidR="001C1F3A" w:rsidRDefault="001C1F3A">
      <w:pPr>
        <w:jc w:val="both"/>
        <w:rPr>
          <w:rFonts w:ascii="Times New Roman" w:hAnsi="Times New Roman" w:cs="Times New Roman"/>
          <w:noProof/>
          <w:sz w:val="24"/>
          <w:szCs w:val="24"/>
        </w:rPr>
      </w:pPr>
    </w:p>
    <w:p w:rsidR="001C1F3A" w:rsidRDefault="004E78CF">
      <w:pPr>
        <w:jc w:val="both"/>
        <w:rPr>
          <w:rFonts w:ascii="Times New Roman" w:hAnsi="Times New Roman" w:cs="Times New Roman"/>
          <w:noProof/>
          <w:sz w:val="24"/>
          <w:szCs w:val="24"/>
        </w:rPr>
      </w:pPr>
      <w:r>
        <w:rPr>
          <w:noProof/>
          <w:lang w:val="fr-BE" w:eastAsia="fr-BE" w:bidi="ar-SA"/>
        </w:rPr>
        <w:drawing>
          <wp:inline distT="0" distB="0" distL="0" distR="0">
            <wp:extent cx="5836257" cy="361295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9270" cy="3614822"/>
                    </a:xfrm>
                    <a:prstGeom prst="rect">
                      <a:avLst/>
                    </a:prstGeom>
                    <a:noFill/>
                    <a:ln>
                      <a:noFill/>
                    </a:ln>
                  </pic:spPr>
                </pic:pic>
              </a:graphicData>
            </a:graphic>
          </wp:inline>
        </w:drawing>
      </w:r>
    </w:p>
    <w:p w:rsidR="001C1F3A" w:rsidRDefault="004E78CF">
      <w:pPr>
        <w:jc w:val="both"/>
        <w:rPr>
          <w:rFonts w:ascii="Times New Roman" w:hAnsi="Times New Roman" w:cs="Times New Roman"/>
          <w:i/>
          <w:noProof/>
          <w:sz w:val="24"/>
          <w:szCs w:val="24"/>
        </w:rPr>
      </w:pPr>
      <w:r>
        <w:rPr>
          <w:rFonts w:ascii="Times New Roman" w:hAnsi="Times New Roman" w:cs="Times New Roman"/>
          <w:b/>
          <w:i/>
          <w:noProof/>
          <w:sz w:val="24"/>
          <w:szCs w:val="24"/>
        </w:rPr>
        <w:t>Figura 1</w:t>
      </w:r>
      <w:r>
        <w:rPr>
          <w:rFonts w:ascii="Times New Roman" w:hAnsi="Times New Roman" w:cs="Times New Roman"/>
          <w:noProof/>
          <w:sz w:val="24"/>
          <w:szCs w:val="24"/>
        </w:rPr>
        <w:t>:</w:t>
      </w:r>
      <w:r>
        <w:rPr>
          <w:rFonts w:ascii="Times New Roman" w:hAnsi="Times New Roman" w:cs="Times New Roman"/>
          <w:i/>
          <w:noProof/>
          <w:sz w:val="24"/>
          <w:szCs w:val="24"/>
        </w:rPr>
        <w:t xml:space="preserve"> Ponderile</w:t>
      </w:r>
      <w:r>
        <w:rPr>
          <w:rFonts w:ascii="Times New Roman" w:hAnsi="Times New Roman"/>
          <w:i/>
          <w:noProof/>
          <w:sz w:val="24"/>
        </w:rPr>
        <w:t xml:space="preserve"> efective și planificate ale energiei din surse regenerabile pentru UE-28 (2005-2020, %). Sursă: Eurostat și planurile naționale de acțiune privind energia din surse regenerabile (PNAESR) </w:t>
      </w:r>
    </w:p>
    <w:p w:rsidR="001C1F3A" w:rsidRDefault="004E78CF">
      <w:pPr>
        <w:jc w:val="both"/>
        <w:rPr>
          <w:rFonts w:ascii="Times New Roman" w:hAnsi="Times New Roman" w:cs="Times New Roman"/>
          <w:noProof/>
          <w:sz w:val="24"/>
          <w:szCs w:val="24"/>
        </w:rPr>
      </w:pPr>
      <w:r>
        <w:rPr>
          <w:rFonts w:ascii="Times New Roman" w:hAnsi="Times New Roman"/>
          <w:noProof/>
          <w:sz w:val="24"/>
        </w:rPr>
        <w:t>În ceea ce privește consumul absolut de energie din surse</w:t>
      </w:r>
      <w:r>
        <w:rPr>
          <w:rFonts w:ascii="Times New Roman" w:hAnsi="Times New Roman"/>
          <w:noProof/>
          <w:sz w:val="24"/>
        </w:rPr>
        <w:t xml:space="preserve"> regenerabile, sectorul încălzirii și al răcirii asigură cea mai mare contribuție, cu un total de 102 Mtep în 2017, urmat îndeaproape de energia electrică produsă din surse regenerabile, cu un consum de 86,7 Mtep și de sectorul transporturilor, cu un consu</w:t>
      </w:r>
      <w:r>
        <w:rPr>
          <w:rFonts w:ascii="Times New Roman" w:hAnsi="Times New Roman"/>
          <w:noProof/>
          <w:sz w:val="24"/>
        </w:rPr>
        <w:t>m de 23,65 Mtep</w:t>
      </w:r>
      <w:r>
        <w:rPr>
          <w:rFonts w:ascii="Times New Roman" w:hAnsi="Times New Roman"/>
          <w:noProof/>
          <w:sz w:val="24"/>
          <w:vertAlign w:val="superscript"/>
        </w:rPr>
        <w:footnoteReference w:id="24"/>
      </w:r>
      <w:r>
        <w:rPr>
          <w:rFonts w:ascii="Times New Roman" w:hAnsi="Times New Roman"/>
          <w:noProof/>
          <w:sz w:val="24"/>
        </w:rPr>
        <w:t xml:space="preserve">. </w:t>
      </w:r>
    </w:p>
    <w:p w:rsidR="001C1F3A" w:rsidRDefault="004E78CF">
      <w:pPr>
        <w:jc w:val="both"/>
        <w:rPr>
          <w:rFonts w:ascii="Times New Roman" w:hAnsi="Times New Roman" w:cs="Times New Roman"/>
          <w:noProof/>
          <w:sz w:val="24"/>
          <w:szCs w:val="24"/>
        </w:rPr>
      </w:pPr>
      <w:r>
        <w:rPr>
          <w:rFonts w:ascii="Times New Roman" w:hAnsi="Times New Roman"/>
          <w:noProof/>
          <w:sz w:val="24"/>
        </w:rPr>
        <w:t>Principalele surse regenerabile de energie utilizate în consumul de energie au fost biomasa pentru încălzire și răcire, hidroenergia și vântul pentru energie electrică și biocombustibilii pentru transporturi. În sectorul energiei electri</w:t>
      </w:r>
      <w:r>
        <w:rPr>
          <w:rFonts w:ascii="Times New Roman" w:hAnsi="Times New Roman"/>
          <w:noProof/>
          <w:sz w:val="24"/>
        </w:rPr>
        <w:t>ce, are loc o schimbare clară de paradigmă către sursele regenerabile de energie. Unul dintre factorii-cheie a fost scăderea costului energiei electrice produse din surse fotovoltaice și eoliene, care, în perioada 2009-2018, a scăzut cu aproape 75 % și, re</w:t>
      </w:r>
      <w:r>
        <w:rPr>
          <w:rFonts w:ascii="Times New Roman" w:hAnsi="Times New Roman"/>
          <w:noProof/>
          <w:sz w:val="24"/>
        </w:rPr>
        <w:t>spectiv, cu aproximativ 50 % (în funcție de piață), din cauza reducerilor costurilor de investiție, a progreselor în ceea ce privește îmbunătățirea eficienței și a lanțurilor de aprovizionare, precum și din cauza licitațiilor competitive pentru schemele de</w:t>
      </w:r>
      <w:r>
        <w:rPr>
          <w:rFonts w:ascii="Times New Roman" w:hAnsi="Times New Roman"/>
          <w:noProof/>
          <w:sz w:val="24"/>
        </w:rPr>
        <w:t xml:space="preserve"> sprijin. În 2018, proiectul Ourika din Portugalia a fost primul proiect solar european dezvoltat fără niciun fel de sprijin public. În Germania, primele de piață plătite pentru un proiect fotovoltaic de 1,4 MW au fost sub valoarea de piață pentru energia </w:t>
      </w:r>
      <w:r>
        <w:rPr>
          <w:rFonts w:ascii="Times New Roman" w:hAnsi="Times New Roman"/>
          <w:noProof/>
          <w:sz w:val="24"/>
        </w:rPr>
        <w:t>solară în vara anului 2018, iar în Danemarca au fost dezvoltate noi proiecte de energie eoliană pentru un tarif fix de 2,5 EUR/MWh. Atât în Germania, cât și în Țările de Jos, la licitațiile pentru dezvoltarea unor parcuri eoliene offshore de 1 610 MW și de</w:t>
      </w:r>
      <w:r>
        <w:rPr>
          <w:rFonts w:ascii="Times New Roman" w:hAnsi="Times New Roman"/>
          <w:noProof/>
          <w:sz w:val="24"/>
        </w:rPr>
        <w:t xml:space="preserve"> 700 MW s-au primit oferte cu subvenții zero.</w:t>
      </w:r>
    </w:p>
    <w:p w:rsidR="001C1F3A" w:rsidRDefault="004E78CF">
      <w:pPr>
        <w:jc w:val="both"/>
        <w:rPr>
          <w:rFonts w:ascii="Times New Roman" w:hAnsi="Times New Roman" w:cs="Times New Roman"/>
          <w:noProof/>
          <w:sz w:val="24"/>
          <w:szCs w:val="24"/>
        </w:rPr>
      </w:pPr>
      <w:r>
        <w:rPr>
          <w:rFonts w:ascii="Times New Roman" w:hAnsi="Times New Roman"/>
          <w:noProof/>
          <w:sz w:val="24"/>
        </w:rPr>
        <w:t>Scăderea costurilor este, de asemenea, unul dintre factorii-cheie care determină creșterea aprovizionării corporative cu surse regenerabile de energie, în special în cazul în care consumatorii corporativi de en</w:t>
      </w:r>
      <w:r>
        <w:rPr>
          <w:rFonts w:ascii="Times New Roman" w:hAnsi="Times New Roman"/>
          <w:noProof/>
          <w:sz w:val="24"/>
        </w:rPr>
        <w:t>ergie semnează un contract de achiziție directă de energie electrică cu un dezvoltator de energie din surse regenerabile. În perioada 2015-2018, acordurile de achiziții corporative de energie electrică pentru energie electrică produsă din surse regenerabil</w:t>
      </w:r>
      <w:r>
        <w:rPr>
          <w:rFonts w:ascii="Times New Roman" w:hAnsi="Times New Roman"/>
          <w:noProof/>
          <w:sz w:val="24"/>
        </w:rPr>
        <w:t>e în Europa</w:t>
      </w:r>
      <w:r>
        <w:rPr>
          <w:rStyle w:val="FootnoteReference"/>
          <w:rFonts w:ascii="Times New Roman" w:hAnsi="Times New Roman"/>
          <w:noProof/>
          <w:sz w:val="24"/>
        </w:rPr>
        <w:footnoteReference w:id="25"/>
      </w:r>
      <w:r>
        <w:rPr>
          <w:rFonts w:ascii="Times New Roman" w:hAnsi="Times New Roman"/>
          <w:noProof/>
          <w:sz w:val="24"/>
        </w:rPr>
        <w:t xml:space="preserve"> au crescut de patru ori, de la 506 MW la 1967 MW. </w:t>
      </w:r>
    </w:p>
    <w:p w:rsidR="001C1F3A" w:rsidRDefault="004E78CF">
      <w:pPr>
        <w:pStyle w:val="Heading1"/>
        <w:rPr>
          <w:noProof/>
        </w:rPr>
      </w:pPr>
      <w:bookmarkStart w:id="4" w:name="_Toc1149219"/>
      <w:r>
        <w:rPr>
          <w:noProof/>
        </w:rPr>
        <w:t>3. EVALUĂRI DETALIATE ALE PROGRESELOR ȘI ALE PREVIZIUNILOR STATELOR MEMBRE</w:t>
      </w:r>
      <w:bookmarkEnd w:id="4"/>
      <w:r>
        <w:rPr>
          <w:noProof/>
        </w:rPr>
        <w:t xml:space="preserve"> PÂNĂ ÎN 2020</w:t>
      </w:r>
    </w:p>
    <w:p w:rsidR="001C1F3A" w:rsidRDefault="004E78CF">
      <w:pPr>
        <w:pStyle w:val="Heading2"/>
        <w:spacing w:after="120"/>
        <w:ind w:left="714" w:hanging="357"/>
        <w:rPr>
          <w:noProof/>
        </w:rPr>
      </w:pPr>
      <w:bookmarkStart w:id="5" w:name="_Toc1149220"/>
      <w:r>
        <w:rPr>
          <w:noProof/>
        </w:rPr>
        <w:t>Progresele înregistrate cu privire la energia electrică, la încălzire și răcire și la transporturi</w:t>
      </w:r>
      <w:bookmarkEnd w:id="5"/>
    </w:p>
    <w:p w:rsidR="001C1F3A" w:rsidRDefault="004E78CF">
      <w:pPr>
        <w:jc w:val="both"/>
        <w:rPr>
          <w:rFonts w:ascii="Times New Roman" w:hAnsi="Times New Roman" w:cs="Times New Roman"/>
          <w:noProof/>
          <w:sz w:val="24"/>
          <w:szCs w:val="24"/>
        </w:rPr>
      </w:pPr>
      <w:r>
        <w:rPr>
          <w:rFonts w:ascii="Times New Roman" w:hAnsi="Times New Roman"/>
          <w:noProof/>
          <w:sz w:val="24"/>
        </w:rPr>
        <w:t>Ponde</w:t>
      </w:r>
      <w:r>
        <w:rPr>
          <w:rFonts w:ascii="Times New Roman" w:hAnsi="Times New Roman"/>
          <w:noProof/>
          <w:sz w:val="24"/>
        </w:rPr>
        <w:t>rile energiei din surse regenerabile reflectă diversitatea istorică a mixului energetic al statelor membre și diferențele dintre acestea în ceea ce privește potențialul energiei din surse regenerabile, ponderile variind între 6,4 % în Luxemburg și 54,5 % î</w:t>
      </w:r>
      <w:r>
        <w:rPr>
          <w:rFonts w:ascii="Times New Roman" w:hAnsi="Times New Roman"/>
          <w:noProof/>
          <w:sz w:val="24"/>
        </w:rPr>
        <w:t>n Suedia în 2017 (a se vedea figura 2).</w:t>
      </w:r>
    </w:p>
    <w:p w:rsidR="001C1F3A" w:rsidRDefault="004E78CF">
      <w:pPr>
        <w:jc w:val="both"/>
        <w:rPr>
          <w:rFonts w:ascii="Times New Roman" w:hAnsi="Times New Roman" w:cs="Times New Roman"/>
          <w:noProof/>
          <w:sz w:val="24"/>
          <w:szCs w:val="24"/>
        </w:rPr>
      </w:pPr>
      <w:r>
        <w:rPr>
          <w:noProof/>
          <w:lang w:val="fr-BE" w:eastAsia="fr-BE" w:bidi="ar-SA"/>
        </w:rPr>
        <w:drawing>
          <wp:inline distT="0" distB="0" distL="0" distR="0">
            <wp:extent cx="5902320" cy="2385391"/>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8774" cy="2387999"/>
                    </a:xfrm>
                    <a:prstGeom prst="rect">
                      <a:avLst/>
                    </a:prstGeom>
                    <a:noFill/>
                    <a:ln>
                      <a:noFill/>
                    </a:ln>
                  </pic:spPr>
                </pic:pic>
              </a:graphicData>
            </a:graphic>
          </wp:inline>
        </w:drawing>
      </w:r>
    </w:p>
    <w:p w:rsidR="001C1F3A" w:rsidRDefault="001C1F3A">
      <w:pPr>
        <w:jc w:val="both"/>
        <w:rPr>
          <w:rFonts w:ascii="Times New Roman" w:hAnsi="Times New Roman" w:cs="Times New Roman"/>
          <w:noProof/>
          <w:sz w:val="24"/>
          <w:szCs w:val="24"/>
        </w:rPr>
      </w:pPr>
    </w:p>
    <w:p w:rsidR="001C1F3A" w:rsidRDefault="004E78CF">
      <w:pPr>
        <w:jc w:val="both"/>
        <w:rPr>
          <w:rFonts w:ascii="Times New Roman" w:hAnsi="Times New Roman" w:cs="Times New Roman"/>
          <w:i/>
          <w:noProof/>
          <w:sz w:val="24"/>
          <w:szCs w:val="24"/>
        </w:rPr>
      </w:pPr>
      <w:r>
        <w:rPr>
          <w:rFonts w:ascii="Times New Roman" w:hAnsi="Times New Roman"/>
          <w:b/>
          <w:noProof/>
          <w:sz w:val="24"/>
        </w:rPr>
        <w:t>Figura 2</w:t>
      </w:r>
      <w:r>
        <w:rPr>
          <w:rFonts w:ascii="Times New Roman" w:hAnsi="Times New Roman"/>
          <w:noProof/>
          <w:sz w:val="24"/>
        </w:rPr>
        <w:t xml:space="preserve">: </w:t>
      </w:r>
      <w:r>
        <w:rPr>
          <w:rFonts w:ascii="Times New Roman" w:hAnsi="Times New Roman"/>
          <w:i/>
          <w:noProof/>
          <w:sz w:val="24"/>
        </w:rPr>
        <w:t>Ponderile energiei din surse regenerabile din UE și statele membre din consumul final brut de energie 205-2017, comparativ cu traiectoriile stabilite în Directiva privind energia din surse regenerabile I</w:t>
      </w:r>
      <w:r>
        <w:rPr>
          <w:rFonts w:ascii="Times New Roman" w:hAnsi="Times New Roman"/>
          <w:i/>
          <w:noProof/>
          <w:sz w:val="24"/>
        </w:rPr>
        <w:t xml:space="preserve"> (sursa: Eurostat)</w:t>
      </w:r>
    </w:p>
    <w:p w:rsidR="001C1F3A" w:rsidRDefault="004E78CF">
      <w:pPr>
        <w:jc w:val="both"/>
        <w:rPr>
          <w:rFonts w:ascii="Times New Roman" w:hAnsi="Times New Roman" w:cs="Times New Roman"/>
          <w:noProof/>
          <w:sz w:val="24"/>
          <w:szCs w:val="24"/>
        </w:rPr>
      </w:pPr>
      <w:r>
        <w:rPr>
          <w:rFonts w:ascii="Times New Roman" w:hAnsi="Times New Roman"/>
          <w:noProof/>
          <w:sz w:val="24"/>
        </w:rPr>
        <w:t>Pe baza celor patru rapoarte ale statelor membre privind progresele înregistrate în domeniul energiei din surse regenerabile („rapoartele privind progresele”), care acoperă perioada 2015-2016</w:t>
      </w:r>
      <w:r>
        <w:rPr>
          <w:rStyle w:val="FootnoteReference"/>
          <w:rFonts w:ascii="Times New Roman" w:hAnsi="Times New Roman"/>
          <w:noProof/>
          <w:sz w:val="24"/>
        </w:rPr>
        <w:footnoteReference w:id="26"/>
      </w:r>
      <w:r>
        <w:rPr>
          <w:rFonts w:ascii="Times New Roman" w:hAnsi="Times New Roman"/>
          <w:noProof/>
          <w:sz w:val="24"/>
        </w:rPr>
        <w:t>, 25 de state membre se situau peste traiecto</w:t>
      </w:r>
      <w:r>
        <w:rPr>
          <w:rFonts w:ascii="Times New Roman" w:hAnsi="Times New Roman"/>
          <w:noProof/>
          <w:sz w:val="24"/>
        </w:rPr>
        <w:t>ria lor orientativă prevăzută în Directiva privind energia din surse regenerabile I pentru perioada 2015-2016. Dintre cele trei state membre care se situau sub traiectoriile lor prevăzute în Directiva privind energia din surse regenerabile I, Țările de Jos</w:t>
      </w:r>
      <w:r>
        <w:rPr>
          <w:rFonts w:ascii="Times New Roman" w:hAnsi="Times New Roman"/>
          <w:noProof/>
          <w:sz w:val="24"/>
        </w:rPr>
        <w:t xml:space="preserve"> prezintă cel mai mare decalaj, cu o pondere medie efectivă de 5,9 % pentru 2015-2016, comparativ cu o traiectorie orientativă de 7,6 % prevăzută în Directiva privind energia din surse regenerabile. Decalajul față de ponderea energiei din surse regenerabil</w:t>
      </w:r>
      <w:r>
        <w:rPr>
          <w:rFonts w:ascii="Times New Roman" w:hAnsi="Times New Roman"/>
          <w:noProof/>
          <w:sz w:val="24"/>
        </w:rPr>
        <w:t>e de 9,7 % din 2016 planificată în PNAESR este și mai mare. Țara se situează în continuare în urma traiectoriei pentru E-SRE planificate și, de asemenea, se află oarecum în întârziere în ceea ce privește dezvoltarea T-SRE planificată. Luxemburg și Franța s</w:t>
      </w:r>
      <w:r>
        <w:rPr>
          <w:rFonts w:ascii="Times New Roman" w:hAnsi="Times New Roman"/>
          <w:noProof/>
          <w:sz w:val="24"/>
        </w:rPr>
        <w:t xml:space="preserve">e aflau, de asemenea, sub traiectoriile lor orientative prevăzute în Directiva privind energia din surse regenerabile I pentru 2015-2016, deși doar cu o marjă limitată. </w:t>
      </w:r>
    </w:p>
    <w:p w:rsidR="001C1F3A" w:rsidRDefault="004E78CF">
      <w:pPr>
        <w:jc w:val="both"/>
        <w:rPr>
          <w:rFonts w:ascii="Times New Roman" w:hAnsi="Times New Roman" w:cs="Times New Roman"/>
          <w:noProof/>
          <w:sz w:val="24"/>
          <w:szCs w:val="24"/>
        </w:rPr>
      </w:pPr>
      <w:r>
        <w:rPr>
          <w:rFonts w:ascii="Times New Roman" w:hAnsi="Times New Roman"/>
          <w:noProof/>
          <w:sz w:val="24"/>
        </w:rPr>
        <w:t>Cifrele Eurostat pentru 2017 nu prezintă o imagine care diferă în mod semnificativ. 11</w:t>
      </w:r>
      <w:r>
        <w:rPr>
          <w:rFonts w:ascii="Times New Roman" w:hAnsi="Times New Roman"/>
          <w:noProof/>
          <w:sz w:val="24"/>
        </w:rPr>
        <w:t xml:space="preserve"> state membre (Bulgaria, Republica Cehă, Danemarca, Estonia, Finlanda, Croația, Ungaria, Italia, Lituania, România și Suedia) au atins deja o pondere corespunzătoare obiectivului lor pentru 2020. Din restul de 17 state membre, 10 state membre se situează d</w:t>
      </w:r>
      <w:r>
        <w:rPr>
          <w:rFonts w:ascii="Times New Roman" w:hAnsi="Times New Roman"/>
          <w:noProof/>
          <w:sz w:val="24"/>
        </w:rPr>
        <w:t>eja la nivelul sau peste nivelul traiectoriilor lor interimare stabilite în Directiva privind energia din surse regenerabile I pentru 2017-2018. Restul de șapte state membre (Belgia, Franța, Irlanda, Luxemburg, Țările de Jos, Polonia, Slovenia) ar trebui s</w:t>
      </w:r>
      <w:r>
        <w:rPr>
          <w:rFonts w:ascii="Times New Roman" w:hAnsi="Times New Roman"/>
          <w:noProof/>
          <w:sz w:val="24"/>
        </w:rPr>
        <w:t>ă își intensifice eforturile de a respecta traiectoria medie din 2017-2018 pentru realizarea obiectivului din 2020.</w:t>
      </w:r>
    </w:p>
    <w:p w:rsidR="001C1F3A" w:rsidRDefault="004E78CF">
      <w:pPr>
        <w:jc w:val="both"/>
        <w:rPr>
          <w:rFonts w:ascii="Times New Roman" w:hAnsi="Times New Roman" w:cs="Times New Roman"/>
          <w:noProof/>
          <w:sz w:val="24"/>
          <w:szCs w:val="24"/>
        </w:rPr>
      </w:pPr>
      <w:r>
        <w:rPr>
          <w:rFonts w:ascii="Times New Roman" w:hAnsi="Times New Roman"/>
          <w:noProof/>
          <w:sz w:val="24"/>
        </w:rPr>
        <w:t>Analizând nivelurile absolute ale consumului de energie din surse regenerabile din UE-28, se constată o creștere semnificativă de la 189 Mtep în 2015 la 204 Mtep în 2017, și anume de 8 %. Cu toate acestea, în aceeași perioadă, consumul final brut de energi</w:t>
      </w:r>
      <w:r>
        <w:rPr>
          <w:rFonts w:ascii="Times New Roman" w:hAnsi="Times New Roman"/>
          <w:noProof/>
          <w:sz w:val="24"/>
        </w:rPr>
        <w:t>e a crescut de la 1 125 Mtep la 1 159 Mtep, ceea ce a condus la o scădere a impactului pentru ponderea energiei din surse regenerabile, deoarece aceasta se calculează împărțind consumul final de energie din surse regenerabile la consumul final brut de ener</w:t>
      </w:r>
      <w:r>
        <w:rPr>
          <w:rFonts w:ascii="Times New Roman" w:hAnsi="Times New Roman"/>
          <w:noProof/>
          <w:sz w:val="24"/>
        </w:rPr>
        <w:t>gie. Această creștere a cererii este unul dintre factorii-cheie care stau la baza scăderii ponderii energiei din surse regenerabile din 2017 în comparație cu 2016 în nouă state membre (Austria, Bulgaria, Republica Cehă, Ungaria, Polonia, Portugalia, Români</w:t>
      </w:r>
      <w:r>
        <w:rPr>
          <w:rFonts w:ascii="Times New Roman" w:hAnsi="Times New Roman"/>
          <w:noProof/>
          <w:sz w:val="24"/>
        </w:rPr>
        <w:t xml:space="preserve">a și Slovacia). </w:t>
      </w:r>
    </w:p>
    <w:p w:rsidR="001C1F3A" w:rsidRDefault="004E78CF">
      <w:pPr>
        <w:jc w:val="both"/>
        <w:rPr>
          <w:rFonts w:ascii="Times New Roman" w:hAnsi="Times New Roman" w:cs="Times New Roman"/>
          <w:noProof/>
          <w:sz w:val="24"/>
          <w:szCs w:val="24"/>
        </w:rPr>
      </w:pPr>
      <w:r>
        <w:rPr>
          <w:rFonts w:ascii="Times New Roman" w:hAnsi="Times New Roman"/>
          <w:noProof/>
          <w:sz w:val="24"/>
        </w:rPr>
        <w:t xml:space="preserve">Ponderile sectoriale ale energiei din surse regenerabile au crescut pentru marea majoritate a statelor membre în perioada 2015-2017. Cu toate acestea, pentru unele state membre, ponderile sectoriale variază cu mai puțin de 0,3 puncte </w:t>
      </w:r>
      <w:r>
        <w:rPr>
          <w:rFonts w:ascii="Times New Roman" w:hAnsi="Times New Roman"/>
          <w:noProof/>
          <w:sz w:val="24"/>
        </w:rPr>
        <w:t>procentuale. Acest lucru se întâmplă în nouă state membre cu privire la E-SRE (Bulgaria, Republica Cehă, Spania, Ungaria, Polonia, România, Slovenia, Slovacia, Suedia), în șapte state membre cu privire la Î&amp;R-SRE (Republica Cehă, Germania, Ungaria, Austria</w:t>
      </w:r>
      <w:r>
        <w:rPr>
          <w:rFonts w:ascii="Times New Roman" w:hAnsi="Times New Roman"/>
          <w:noProof/>
          <w:sz w:val="24"/>
        </w:rPr>
        <w:t>, Polonia, Slovenia, Slovacia) și în 10 state membre cu privire la T-SRE (Republica Cehă, Danemarca, Estonia, Ungaria, Cipru, Letonia, Luxemburg, Austria, Polonia, Finlanda).</w:t>
      </w:r>
    </w:p>
    <w:p w:rsidR="001C1F3A" w:rsidRDefault="004E78CF">
      <w:pPr>
        <w:jc w:val="both"/>
        <w:rPr>
          <w:rFonts w:ascii="Times New Roman" w:hAnsi="Times New Roman" w:cs="Times New Roman"/>
          <w:noProof/>
          <w:sz w:val="24"/>
          <w:szCs w:val="24"/>
        </w:rPr>
      </w:pPr>
      <w:r>
        <w:rPr>
          <w:rFonts w:ascii="Times New Roman" w:hAnsi="Times New Roman"/>
          <w:noProof/>
          <w:sz w:val="24"/>
        </w:rPr>
        <w:t>Pentru sectorul transporturilor, în cazul căruia toate statele membre ar trebui s</w:t>
      </w:r>
      <w:r>
        <w:rPr>
          <w:rFonts w:ascii="Times New Roman" w:hAnsi="Times New Roman"/>
          <w:noProof/>
          <w:sz w:val="24"/>
        </w:rPr>
        <w:t>ă atingă același obiectiv de 10 %, această încetinire ar putea constitui o provocare în cele opt state membre (Estonia, Grecia, Ungaria, Cipru, Letonia, Lituania, Polonia, Slovenia) care au un consum de energie din surse regenerabile sub 5 % în sectorul tr</w:t>
      </w:r>
      <w:r>
        <w:rPr>
          <w:rFonts w:ascii="Times New Roman" w:hAnsi="Times New Roman"/>
          <w:noProof/>
          <w:sz w:val="24"/>
        </w:rPr>
        <w:t>ansporturilor și care ar avea nevoie, prin urmare, de o creștere bruscă pentru a atinge obiectivul de 10 %. Recurgerea la transferurile statistice pentru sectorul transporturilor, permisă de Directiva privind schimbarea indirectă a destinației terenurilor,</w:t>
      </w:r>
      <w:r>
        <w:rPr>
          <w:rFonts w:ascii="Times New Roman" w:hAnsi="Times New Roman"/>
          <w:noProof/>
          <w:sz w:val="24"/>
        </w:rPr>
        <w:t xml:space="preserve"> este, de asemenea, o posibilă cale de explorat. </w:t>
      </w:r>
    </w:p>
    <w:p w:rsidR="001C1F3A" w:rsidRDefault="004E78CF">
      <w:pPr>
        <w:pStyle w:val="Heading2"/>
        <w:spacing w:after="120"/>
        <w:ind w:left="714" w:hanging="357"/>
        <w:rPr>
          <w:noProof/>
        </w:rPr>
      </w:pPr>
      <w:bookmarkStart w:id="6" w:name="_Toc1149221"/>
      <w:r>
        <w:rPr>
          <w:noProof/>
        </w:rPr>
        <w:t>Mecanisme de cooperare</w:t>
      </w:r>
      <w:bookmarkEnd w:id="6"/>
    </w:p>
    <w:p w:rsidR="001C1F3A" w:rsidRDefault="004E78CF">
      <w:pPr>
        <w:jc w:val="both"/>
        <w:rPr>
          <w:rFonts w:ascii="Times New Roman" w:hAnsi="Times New Roman" w:cs="Times New Roman"/>
          <w:noProof/>
          <w:sz w:val="24"/>
          <w:szCs w:val="24"/>
        </w:rPr>
      </w:pPr>
      <w:r>
        <w:rPr>
          <w:rFonts w:ascii="Times New Roman" w:hAnsi="Times New Roman"/>
          <w:noProof/>
          <w:sz w:val="24"/>
        </w:rPr>
        <w:t xml:space="preserve">Mecanismele de cooperare se bazează pe articolele 6-11 din Directiva privind energia din surse regenerabile I. Acestea includ câteva mecanisme prin care statele membre pot coopera cu </w:t>
      </w:r>
      <w:r>
        <w:rPr>
          <w:rFonts w:ascii="Times New Roman" w:hAnsi="Times New Roman"/>
          <w:noProof/>
          <w:sz w:val="24"/>
        </w:rPr>
        <w:t xml:space="preserve">privire la energia din surse regenerabile, cum ar fi transferurile statistice, proiectele comune și schemele de sprijin comune. Transferurile statistice sunt deosebit de relevante pentru facilitarea realizării obiectivului, deoarece permit statelor membre </w:t>
      </w:r>
      <w:r>
        <w:rPr>
          <w:rFonts w:ascii="Times New Roman" w:hAnsi="Times New Roman"/>
          <w:noProof/>
          <w:sz w:val="24"/>
        </w:rPr>
        <w:t xml:space="preserve">care au realizat o pondere mai ridicată a energiei din surse regenerabile decât obiectivul lor național să transfere excedentul către un alt stat membru. În prezent, există două acorduri pentru utilizarea acestor transferuri statistice, între Luxemburg și </w:t>
      </w:r>
      <w:r>
        <w:rPr>
          <w:rFonts w:ascii="Times New Roman" w:hAnsi="Times New Roman"/>
          <w:noProof/>
          <w:sz w:val="24"/>
        </w:rPr>
        <w:t xml:space="preserve">Lituania și între Luxemburg și Estonia. În ambele cazuri, acordurile prevăd că Luxemburg va primi transferuri statistice pentru perioada 2018-2020. </w:t>
      </w:r>
    </w:p>
    <w:p w:rsidR="001C1F3A" w:rsidRDefault="004E78CF">
      <w:pPr>
        <w:jc w:val="both"/>
        <w:rPr>
          <w:rFonts w:ascii="Times New Roman" w:hAnsi="Times New Roman" w:cs="Times New Roman"/>
          <w:noProof/>
          <w:sz w:val="24"/>
          <w:szCs w:val="24"/>
        </w:rPr>
      </w:pPr>
      <w:r>
        <w:rPr>
          <w:rFonts w:ascii="Times New Roman" w:hAnsi="Times New Roman"/>
          <w:noProof/>
          <w:sz w:val="24"/>
        </w:rPr>
        <w:t>Conform estimărilor pe care statele membre le-au inclus în rapoartele lor privind progresele, ar exista o p</w:t>
      </w:r>
      <w:r>
        <w:rPr>
          <w:rFonts w:ascii="Times New Roman" w:hAnsi="Times New Roman"/>
          <w:noProof/>
          <w:sz w:val="24"/>
        </w:rPr>
        <w:t>roducție globală excedentară de energie din surse regenerabile de 12 564 ktep, în comparație cu traiectoria orientativă, disponibilă pentru transferuri statistice potențiale în 2020. Aceasta corespunde aproximativ unei jumătăți din consumul final brut de e</w:t>
      </w:r>
      <w:r>
        <w:rPr>
          <w:rFonts w:ascii="Times New Roman" w:hAnsi="Times New Roman"/>
          <w:noProof/>
          <w:sz w:val="24"/>
        </w:rPr>
        <w:t>nergie din surse regenerabile din Franța. Pentru un stat membru care ar putea să nu realizeze obiectivul pentru 2020 utilizându-și propriile surse regenerabile, acest lucru ar putea fi o opțiune viabilă pentru a-și realiza obiectivul într-un mod eficient d</w:t>
      </w:r>
      <w:r>
        <w:rPr>
          <w:rFonts w:ascii="Times New Roman" w:hAnsi="Times New Roman"/>
          <w:noProof/>
          <w:sz w:val="24"/>
        </w:rPr>
        <w:t xml:space="preserve">in punctul de vedere al costurilor (a se vedea tabelul 1). </w:t>
      </w:r>
    </w:p>
    <w:tbl>
      <w:tblPr>
        <w:tblStyle w:val="Tablestylegreen2"/>
        <w:tblW w:w="5005" w:type="pct"/>
        <w:tblLook w:val="04A0" w:firstRow="1" w:lastRow="0" w:firstColumn="1" w:lastColumn="0" w:noHBand="0" w:noVBand="1"/>
      </w:tblPr>
      <w:tblGrid>
        <w:gridCol w:w="1417"/>
        <w:gridCol w:w="706"/>
        <w:gridCol w:w="706"/>
        <w:gridCol w:w="706"/>
        <w:gridCol w:w="706"/>
        <w:gridCol w:w="706"/>
        <w:gridCol w:w="706"/>
        <w:gridCol w:w="706"/>
        <w:gridCol w:w="706"/>
        <w:gridCol w:w="706"/>
        <w:gridCol w:w="706"/>
        <w:gridCol w:w="617"/>
        <w:gridCol w:w="706"/>
      </w:tblGrid>
      <w:tr w:rsidR="001C1F3A" w:rsidTr="001C1F3A">
        <w:trPr>
          <w:cnfStyle w:val="100000000000" w:firstRow="1" w:lastRow="0" w:firstColumn="0" w:lastColumn="0" w:oddVBand="0" w:evenVBand="0" w:oddHBand="0" w:evenHBand="0" w:firstRowFirstColumn="0" w:firstRowLastColumn="0" w:lastRowFirstColumn="0" w:lastRowLastColumn="0"/>
          <w:trHeight w:val="296"/>
        </w:trPr>
        <w:tc>
          <w:tcPr>
            <w:cnfStyle w:val="001000000100" w:firstRow="0" w:lastRow="0" w:firstColumn="1" w:lastColumn="0" w:oddVBand="0" w:evenVBand="0" w:oddHBand="0" w:evenHBand="0" w:firstRowFirstColumn="1" w:firstRowLastColumn="0" w:lastRowFirstColumn="0" w:lastRowLastColumn="0"/>
            <w:tcW w:w="761" w:type="pct"/>
            <w:noWrap/>
          </w:tcPr>
          <w:p w:rsidR="001C1F3A" w:rsidRDefault="001C1F3A">
            <w:pPr>
              <w:keepNext/>
              <w:spacing w:before="0" w:beforeAutospacing="0" w:after="0" w:afterAutospacing="0"/>
              <w:jc w:val="both"/>
              <w:rPr>
                <w:rFonts w:cs="Arial"/>
                <w:noProof/>
                <w:color w:val="FFFFFF" w:themeColor="background1"/>
                <w:szCs w:val="16"/>
              </w:rPr>
            </w:pPr>
          </w:p>
        </w:tc>
        <w:tc>
          <w:tcPr>
            <w:tcW w:w="357" w:type="pct"/>
            <w:shd w:val="clear" w:color="auto" w:fill="648C1A"/>
            <w:noWrap/>
          </w:tcPr>
          <w:p w:rsidR="001C1F3A" w:rsidRDefault="004E78CF">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2009</w:t>
            </w:r>
          </w:p>
        </w:tc>
        <w:tc>
          <w:tcPr>
            <w:tcW w:w="357" w:type="pct"/>
            <w:shd w:val="clear" w:color="auto" w:fill="648C1A"/>
            <w:noWrap/>
          </w:tcPr>
          <w:p w:rsidR="001C1F3A" w:rsidRDefault="004E78CF">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2010</w:t>
            </w:r>
          </w:p>
        </w:tc>
        <w:tc>
          <w:tcPr>
            <w:tcW w:w="357" w:type="pct"/>
            <w:shd w:val="clear" w:color="auto" w:fill="648C1A"/>
            <w:noWrap/>
          </w:tcPr>
          <w:p w:rsidR="001C1F3A" w:rsidRDefault="004E78CF">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2011</w:t>
            </w:r>
          </w:p>
        </w:tc>
        <w:tc>
          <w:tcPr>
            <w:tcW w:w="357" w:type="pct"/>
            <w:shd w:val="clear" w:color="auto" w:fill="648C1A"/>
            <w:noWrap/>
          </w:tcPr>
          <w:p w:rsidR="001C1F3A" w:rsidRDefault="004E78CF">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2012</w:t>
            </w:r>
          </w:p>
        </w:tc>
        <w:tc>
          <w:tcPr>
            <w:tcW w:w="357" w:type="pct"/>
            <w:shd w:val="clear" w:color="auto" w:fill="648C1A"/>
            <w:noWrap/>
          </w:tcPr>
          <w:p w:rsidR="001C1F3A" w:rsidRDefault="004E78CF">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2013</w:t>
            </w:r>
          </w:p>
        </w:tc>
        <w:tc>
          <w:tcPr>
            <w:tcW w:w="357" w:type="pct"/>
            <w:shd w:val="clear" w:color="auto" w:fill="648C1A"/>
            <w:noWrap/>
          </w:tcPr>
          <w:p w:rsidR="001C1F3A" w:rsidRDefault="004E78CF">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2014</w:t>
            </w:r>
          </w:p>
        </w:tc>
        <w:tc>
          <w:tcPr>
            <w:tcW w:w="357" w:type="pct"/>
            <w:shd w:val="clear" w:color="auto" w:fill="648C1A"/>
            <w:noWrap/>
          </w:tcPr>
          <w:p w:rsidR="001C1F3A" w:rsidRDefault="004E78CF">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2015</w:t>
            </w:r>
          </w:p>
        </w:tc>
        <w:tc>
          <w:tcPr>
            <w:tcW w:w="357" w:type="pct"/>
            <w:shd w:val="clear" w:color="auto" w:fill="648C1A"/>
            <w:noWrap/>
          </w:tcPr>
          <w:p w:rsidR="001C1F3A" w:rsidRDefault="004E78CF">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2016</w:t>
            </w:r>
          </w:p>
        </w:tc>
        <w:tc>
          <w:tcPr>
            <w:tcW w:w="357" w:type="pct"/>
            <w:shd w:val="clear" w:color="auto" w:fill="648C1A"/>
            <w:noWrap/>
          </w:tcPr>
          <w:p w:rsidR="001C1F3A" w:rsidRDefault="004E78CF">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2017</w:t>
            </w:r>
          </w:p>
        </w:tc>
        <w:tc>
          <w:tcPr>
            <w:tcW w:w="357" w:type="pct"/>
            <w:shd w:val="clear" w:color="auto" w:fill="648C1A"/>
            <w:noWrap/>
          </w:tcPr>
          <w:p w:rsidR="001C1F3A" w:rsidRDefault="004E78CF">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2018</w:t>
            </w:r>
          </w:p>
        </w:tc>
        <w:tc>
          <w:tcPr>
            <w:tcW w:w="309" w:type="pct"/>
            <w:shd w:val="clear" w:color="auto" w:fill="648C1A"/>
            <w:noWrap/>
          </w:tcPr>
          <w:p w:rsidR="001C1F3A" w:rsidRDefault="004E78CF">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2019</w:t>
            </w:r>
          </w:p>
        </w:tc>
        <w:tc>
          <w:tcPr>
            <w:tcW w:w="357" w:type="pct"/>
            <w:shd w:val="clear" w:color="auto" w:fill="648C1A"/>
            <w:noWrap/>
          </w:tcPr>
          <w:p w:rsidR="001C1F3A" w:rsidRDefault="004E78CF">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2020</w:t>
            </w:r>
          </w:p>
        </w:tc>
      </w:tr>
      <w:tr w:rsidR="001C1F3A" w:rsidTr="001C1F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Belgia</w:t>
            </w: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09"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1C1F3A" w:rsidTr="001C1F3A">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Bulgaria</w:t>
            </w: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372</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357</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528</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641</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601</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610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691</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420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471</w:t>
            </w:r>
          </w:p>
        </w:tc>
        <w:tc>
          <w:tcPr>
            <w:tcW w:w="309"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411</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341</w:t>
            </w:r>
          </w:p>
        </w:tc>
      </w:tr>
      <w:tr w:rsidR="001C1F3A" w:rsidTr="001C1F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Republica Cehă</w:t>
            </w: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1 145</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1 039</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947</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863</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892</w:t>
            </w:r>
          </w:p>
        </w:tc>
        <w:tc>
          <w:tcPr>
            <w:tcW w:w="309"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678</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643</w:t>
            </w:r>
          </w:p>
        </w:tc>
      </w:tr>
      <w:tr w:rsidR="001C1F3A" w:rsidTr="001C1F3A">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Danemarca</w:t>
            </w: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694</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834</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1 123</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1 106</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1 223</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1 452</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552</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619</w:t>
            </w:r>
          </w:p>
        </w:tc>
        <w:tc>
          <w:tcPr>
            <w:tcW w:w="309"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63</w:t>
            </w:r>
          </w:p>
        </w:tc>
      </w:tr>
      <w:tr w:rsidR="001C1F3A" w:rsidTr="001C1F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Germania</w:t>
            </w: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6 895</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8 436</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6 546</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9 390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7 272</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7 911</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4 130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5 976</w:t>
            </w:r>
          </w:p>
        </w:tc>
        <w:tc>
          <w:tcPr>
            <w:tcW w:w="309"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3 065</w:t>
            </w:r>
          </w:p>
        </w:tc>
      </w:tr>
      <w:tr w:rsidR="001C1F3A" w:rsidTr="001C1F3A">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Estonia</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101</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117</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135</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122</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75</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94</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154</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163</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186</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235</w:t>
            </w:r>
          </w:p>
        </w:tc>
        <w:tc>
          <w:tcPr>
            <w:tcW w:w="309"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279</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296</w:t>
            </w:r>
          </w:p>
        </w:tc>
      </w:tr>
      <w:tr w:rsidR="001C1F3A" w:rsidTr="001C1F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Irlanda</w:t>
            </w: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93</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111</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79</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-142</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-12</w:t>
            </w:r>
          </w:p>
        </w:tc>
        <w:tc>
          <w:tcPr>
            <w:tcW w:w="309"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-239</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-366</w:t>
            </w:r>
          </w:p>
        </w:tc>
      </w:tr>
      <w:tr w:rsidR="001C1F3A" w:rsidTr="001C1F3A">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Grecia</w:t>
            </w: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137</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201</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320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242</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195</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137</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-162</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737</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743</w:t>
            </w:r>
          </w:p>
        </w:tc>
        <w:tc>
          <w:tcPr>
            <w:tcW w:w="309"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683</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529</w:t>
            </w:r>
          </w:p>
        </w:tc>
      </w:tr>
      <w:tr w:rsidR="001C1F3A" w:rsidTr="001C1F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Spania</w:t>
            </w: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2 290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3 083</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2 720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3 357</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1 990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2 963</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2 049</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2 793</w:t>
            </w:r>
          </w:p>
        </w:tc>
        <w:tc>
          <w:tcPr>
            <w:tcW w:w="309"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 xml:space="preserve"> </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839</w:t>
            </w:r>
          </w:p>
        </w:tc>
      </w:tr>
      <w:tr w:rsidR="001C1F3A" w:rsidTr="001C1F3A">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Franța</w:t>
            </w: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-641</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-2 708</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-1 877</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-1 565</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-3 721</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-4 048</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-4 075</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1C1F3A" w:rsidTr="001C1F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Italia</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8 324</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8 613</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7 405</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10 011</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10 937</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9 343</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9 468</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7 789</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7 259</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5 828</w:t>
            </w:r>
          </w:p>
        </w:tc>
        <w:tc>
          <w:tcPr>
            <w:tcW w:w="309"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4 462</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3 397</w:t>
            </w:r>
          </w:p>
        </w:tc>
      </w:tr>
      <w:tr w:rsidR="001C1F3A" w:rsidTr="001C1F3A">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Cipru</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28</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44</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45</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43</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57</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34</w:t>
            </w:r>
          </w:p>
        </w:tc>
        <w:tc>
          <w:tcPr>
            <w:tcW w:w="309"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21</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1C1F3A" w:rsidTr="001C1F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Letonia</w:t>
            </w: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-69</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-127</w:t>
            </w: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09"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r>
      <w:tr w:rsidR="001C1F3A" w:rsidTr="001C1F3A">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Luxemburg</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-50</w:t>
            </w:r>
          </w:p>
        </w:tc>
        <w:tc>
          <w:tcPr>
            <w:tcW w:w="309"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-120</w:t>
            </w:r>
          </w:p>
        </w:tc>
      </w:tr>
      <w:tr w:rsidR="001C1F3A" w:rsidTr="001C1F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Ungaria</w:t>
            </w: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1 150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1 213</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1 295</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883</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970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803</w:t>
            </w: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09"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r>
      <w:tr w:rsidR="001C1F3A" w:rsidTr="001C1F3A">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Malta</w:t>
            </w: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10</w:t>
            </w: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09"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1C1F3A" w:rsidTr="001C1F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Țările de Jos</w:t>
            </w: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09"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1C1F3A" w:rsidTr="001C1F3A">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Austria</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1C1F3A" w:rsidTr="001C1F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Polonia</w:t>
            </w: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543</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729</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929</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530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93</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174</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09"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587</w:t>
            </w:r>
          </w:p>
        </w:tc>
      </w:tr>
      <w:tr w:rsidR="001C1F3A" w:rsidTr="001C1F3A">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Portugalia</w:t>
            </w: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1C1F3A" w:rsidRDefault="001C1F3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83</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82</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84</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144</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128</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154</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81</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131</w:t>
            </w:r>
          </w:p>
        </w:tc>
        <w:tc>
          <w:tcPr>
            <w:tcW w:w="309"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50</w:t>
            </w:r>
          </w:p>
        </w:tc>
      </w:tr>
      <w:tr w:rsidR="001C1F3A" w:rsidTr="001C1F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România</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1 153</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1 306</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794</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942</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645</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692</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1 089</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886</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258</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405</w:t>
            </w:r>
          </w:p>
        </w:tc>
        <w:tc>
          <w:tcPr>
            <w:tcW w:w="309"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263</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1C1F3A" w:rsidTr="001C1F3A">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Slovenia</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1C1F3A" w:rsidTr="001C1F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Slovacia</w:t>
            </w: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302</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254</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142</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222</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305</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364</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90</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110</w:t>
            </w:r>
          </w:p>
        </w:tc>
        <w:tc>
          <w:tcPr>
            <w:tcW w:w="309" w:type="pct"/>
            <w:noWrap/>
          </w:tcPr>
          <w:p w:rsidR="001C1F3A" w:rsidRDefault="001C1F3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1C1F3A" w:rsidTr="001C1F3A">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Finlanda</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bookmarkStart w:id="7" w:name="RANGE!C29"/>
      <w:tr w:rsidR="001C1F3A" w:rsidTr="001C1F3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rPr>
              <w:fldChar w:fldCharType="begin"/>
            </w:r>
            <w:r>
              <w:rPr>
                <w:noProof/>
              </w:rPr>
              <w:instrText>HYPERLINK "file:///C:\\Users\\fvonbluecher\\Desktop\\stuff\\2020%20PREBS\\Cooperation%20mechanism%20overview.xlsx" \l "RANGE!#REF!"</w:instrText>
            </w:r>
            <w:r>
              <w:rPr>
                <w:noProof/>
              </w:rPr>
              <w:fldChar w:fldCharType="separate"/>
            </w:r>
            <w:r>
              <w:rPr>
                <w:noProof/>
                <w:color w:val="FFFFFF" w:themeColor="background1"/>
              </w:rPr>
              <w:t>Suedia</w:t>
            </w:r>
            <w:r>
              <w:rPr>
                <w:noProof/>
              </w:rPr>
              <w:fldChar w:fldCharType="end"/>
            </w:r>
            <w:bookmarkEnd w:id="7"/>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2 407</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2 141</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2 482</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3 318</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3 214</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3 335</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3 347</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3 475</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3 215</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3 610</w:t>
            </w:r>
          </w:p>
        </w:tc>
        <w:tc>
          <w:tcPr>
            <w:tcW w:w="309"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3 428</w:t>
            </w:r>
          </w:p>
        </w:tc>
        <w:tc>
          <w:tcPr>
            <w:tcW w:w="357" w:type="pct"/>
            <w:noWrap/>
          </w:tcPr>
          <w:p w:rsidR="001C1F3A" w:rsidRDefault="004E78CF">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3 241</w:t>
            </w:r>
          </w:p>
        </w:tc>
      </w:tr>
      <w:tr w:rsidR="001C1F3A" w:rsidTr="001C1F3A">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1C1F3A" w:rsidRDefault="004E78CF">
            <w:pPr>
              <w:keepNext/>
              <w:spacing w:before="0" w:beforeAutospacing="0" w:after="0" w:afterAutospacing="0"/>
              <w:jc w:val="both"/>
              <w:rPr>
                <w:rFonts w:cs="Arial"/>
                <w:b w:val="0"/>
                <w:noProof/>
                <w:color w:val="FFFFFF" w:themeColor="background1"/>
                <w:szCs w:val="16"/>
              </w:rPr>
            </w:pPr>
            <w:r>
              <w:rPr>
                <w:noProof/>
                <w:color w:val="FFFFFF" w:themeColor="background1"/>
              </w:rPr>
              <w:t xml:space="preserve">Total </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11 985</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13 544</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20 838</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28 332</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26 660</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27 033</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23 901</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23 038</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20 722</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22 752</w:t>
            </w:r>
          </w:p>
        </w:tc>
        <w:tc>
          <w:tcPr>
            <w:tcW w:w="309"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9 982</w:t>
            </w:r>
          </w:p>
        </w:tc>
        <w:tc>
          <w:tcPr>
            <w:tcW w:w="357" w:type="pct"/>
            <w:noWrap/>
          </w:tcPr>
          <w:p w:rsidR="001C1F3A" w:rsidRDefault="004E78CF">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12 564</w:t>
            </w:r>
          </w:p>
        </w:tc>
      </w:tr>
    </w:tbl>
    <w:p w:rsidR="001C1F3A" w:rsidRDefault="004E78CF">
      <w:pPr>
        <w:keepNext/>
        <w:jc w:val="both"/>
        <w:rPr>
          <w:rFonts w:ascii="Times New Roman" w:hAnsi="Times New Roman" w:cs="Times New Roman"/>
          <w:i/>
          <w:noProof/>
          <w:sz w:val="24"/>
        </w:rPr>
      </w:pPr>
      <w:r>
        <w:rPr>
          <w:rFonts w:ascii="Times New Roman" w:hAnsi="Times New Roman" w:cs="Times New Roman"/>
          <w:b/>
          <w:noProof/>
          <w:sz w:val="24"/>
          <w:szCs w:val="24"/>
        </w:rPr>
        <w:t>Tabelul 1</w:t>
      </w:r>
      <w:r>
        <w:rPr>
          <w:rFonts w:ascii="Times New Roman" w:hAnsi="Times New Roman" w:cs="Times New Roman"/>
          <w:noProof/>
        </w:rPr>
        <w:t>:</w:t>
      </w:r>
      <w:r>
        <w:rPr>
          <w:rFonts w:ascii="Times New Roman" w:hAnsi="Times New Roman"/>
          <w:noProof/>
          <w:sz w:val="24"/>
        </w:rPr>
        <w:t xml:space="preserve"> </w:t>
      </w:r>
      <w:r>
        <w:rPr>
          <w:rFonts w:ascii="Times New Roman" w:hAnsi="Times New Roman"/>
          <w:i/>
          <w:noProof/>
          <w:sz w:val="24"/>
        </w:rPr>
        <w:t xml:space="preserve">Producția excedentară și/sau deficitară reală și estimată de energie din surse regenerabile din statele membre în comparație cu traiectoria orientativă din Directiva privind energia din surse </w:t>
      </w:r>
      <w:r>
        <w:rPr>
          <w:rFonts w:ascii="Times New Roman" w:hAnsi="Times New Roman"/>
          <w:i/>
          <w:noProof/>
          <w:sz w:val="24"/>
        </w:rPr>
        <w:t>regenerabile (ktep). Sursă: Navigant 2019</w:t>
      </w:r>
      <w:r>
        <w:rPr>
          <w:rStyle w:val="FootnoteReference"/>
          <w:rFonts w:ascii="Times New Roman" w:hAnsi="Times New Roman"/>
          <w:i/>
          <w:noProof/>
          <w:sz w:val="24"/>
        </w:rPr>
        <w:footnoteReference w:id="27"/>
      </w:r>
      <w:r>
        <w:rPr>
          <w:rFonts w:ascii="Times New Roman" w:hAnsi="Times New Roman"/>
          <w:i/>
          <w:noProof/>
          <w:sz w:val="24"/>
        </w:rPr>
        <w:t>, rapoartele statelor membre</w:t>
      </w:r>
      <w:r>
        <w:rPr>
          <w:rStyle w:val="FootnoteReference"/>
          <w:rFonts w:ascii="Times New Roman" w:hAnsi="Times New Roman"/>
          <w:i/>
          <w:noProof/>
          <w:sz w:val="24"/>
        </w:rPr>
        <w:footnoteReference w:id="28"/>
      </w:r>
      <w:r>
        <w:rPr>
          <w:rFonts w:ascii="Times New Roman" w:hAnsi="Times New Roman"/>
          <w:i/>
          <w:noProof/>
          <w:sz w:val="24"/>
        </w:rPr>
        <w:t>.</w:t>
      </w:r>
    </w:p>
    <w:p w:rsidR="001C1F3A" w:rsidRDefault="004E78CF">
      <w:pPr>
        <w:pStyle w:val="Heading2"/>
        <w:spacing w:after="120"/>
        <w:ind w:left="714" w:hanging="357"/>
        <w:rPr>
          <w:noProof/>
        </w:rPr>
      </w:pPr>
      <w:bookmarkStart w:id="8" w:name="_Toc1149222"/>
      <w:r>
        <w:rPr>
          <w:noProof/>
        </w:rPr>
        <w:t>Previziuni</w:t>
      </w:r>
      <w:bookmarkEnd w:id="8"/>
    </w:p>
    <w:p w:rsidR="001C1F3A" w:rsidRDefault="004E78CF">
      <w:pPr>
        <w:jc w:val="both"/>
        <w:rPr>
          <w:rFonts w:ascii="Times New Roman" w:hAnsi="Times New Roman" w:cs="Times New Roman"/>
          <w:noProof/>
          <w:sz w:val="24"/>
          <w:szCs w:val="24"/>
        </w:rPr>
      </w:pPr>
      <w:r>
        <w:rPr>
          <w:rFonts w:ascii="Times New Roman" w:hAnsi="Times New Roman"/>
          <w:noProof/>
          <w:sz w:val="24"/>
        </w:rPr>
        <w:t>Pentru a evalua fezabilitatea realizării obiectivului pentru 2020, a fost efectuat un exercițiu de modelare</w:t>
      </w:r>
      <w:r>
        <w:rPr>
          <w:rStyle w:val="FootnoteReference"/>
          <w:rFonts w:ascii="Times New Roman" w:hAnsi="Times New Roman"/>
          <w:noProof/>
          <w:sz w:val="24"/>
        </w:rPr>
        <w:footnoteReference w:id="29"/>
      </w:r>
      <w:r>
        <w:rPr>
          <w:rFonts w:ascii="Times New Roman" w:hAnsi="Times New Roman"/>
          <w:noProof/>
          <w:sz w:val="24"/>
        </w:rPr>
        <w:t xml:space="preserve"> pentru Comisie. Analiza explorează măsura în care inițiativele </w:t>
      </w:r>
      <w:r>
        <w:rPr>
          <w:rFonts w:ascii="Times New Roman" w:hAnsi="Times New Roman"/>
          <w:noProof/>
          <w:sz w:val="24"/>
        </w:rPr>
        <w:t xml:space="preserve">actuale de politică (CPI - </w:t>
      </w:r>
      <w:r>
        <w:rPr>
          <w:rFonts w:ascii="Times New Roman" w:hAnsi="Times New Roman"/>
          <w:i/>
          <w:noProof/>
          <w:sz w:val="24"/>
        </w:rPr>
        <w:t>Current Policy Initiatives</w:t>
      </w:r>
      <w:r>
        <w:rPr>
          <w:rFonts w:ascii="Times New Roman" w:hAnsi="Times New Roman"/>
          <w:noProof/>
          <w:sz w:val="24"/>
        </w:rPr>
        <w:t xml:space="preserve">) privind energia din surse regenerabile (raportate de statele membre în rapoartele lor privind progresele înregistrate), completate de inițiativele planificate de politică (PPI - </w:t>
      </w:r>
      <w:r>
        <w:rPr>
          <w:rFonts w:ascii="Times New Roman" w:hAnsi="Times New Roman"/>
          <w:i/>
          <w:noProof/>
          <w:sz w:val="24"/>
        </w:rPr>
        <w:t>Planned Policy Initiati</w:t>
      </w:r>
      <w:r>
        <w:rPr>
          <w:rFonts w:ascii="Times New Roman" w:hAnsi="Times New Roman"/>
          <w:i/>
          <w:noProof/>
          <w:sz w:val="24"/>
        </w:rPr>
        <w:t>ves</w:t>
      </w:r>
      <w:r>
        <w:rPr>
          <w:rFonts w:ascii="Times New Roman" w:hAnsi="Times New Roman"/>
          <w:noProof/>
          <w:sz w:val="24"/>
        </w:rPr>
        <w:t>), ar fi suficiente pentru a declanșa utilizarea energiei din sursele regenerabile vizate în perioada premergătoare anului 2020, pentru fiecare stat membru. Această modelare constată că, pentru 2020, se poate preconiza la nivelul UE o pondere a energiei</w:t>
      </w:r>
      <w:r>
        <w:rPr>
          <w:rFonts w:ascii="Times New Roman" w:hAnsi="Times New Roman"/>
          <w:noProof/>
          <w:sz w:val="24"/>
        </w:rPr>
        <w:t xml:space="preserve"> din surse regenerabile cuprinsă între 18,1 % și 20,7 %, cu inițiativele de politică privind energia din surse regenerabile puse în aplicare în prezent și cu cele planificate</w:t>
      </w:r>
      <w:r>
        <w:rPr>
          <w:rFonts w:ascii="Times New Roman" w:hAnsi="Times New Roman"/>
          <w:noProof/>
          <w:sz w:val="24"/>
          <w:vertAlign w:val="superscript"/>
        </w:rPr>
        <w:footnoteReference w:id="30"/>
      </w:r>
      <w:r>
        <w:rPr>
          <w:rFonts w:ascii="Times New Roman" w:hAnsi="Times New Roman"/>
          <w:noProof/>
          <w:sz w:val="24"/>
        </w:rPr>
        <w:t>. Se preconizează că o serie de state membre vor avea rezultate bune în anii care</w:t>
      </w:r>
      <w:r>
        <w:rPr>
          <w:rFonts w:ascii="Times New Roman" w:hAnsi="Times New Roman"/>
          <w:noProof/>
          <w:sz w:val="24"/>
        </w:rPr>
        <w:t xml:space="preserve"> au rămas, atingând niveluri de utilizare care depășesc nivelurile lor vizate. </w:t>
      </w:r>
    </w:p>
    <w:p w:rsidR="001C1F3A" w:rsidRDefault="004E78CF">
      <w:pPr>
        <w:jc w:val="both"/>
        <w:rPr>
          <w:rFonts w:ascii="Times New Roman" w:hAnsi="Times New Roman" w:cs="Times New Roman"/>
          <w:noProof/>
          <w:sz w:val="24"/>
          <w:szCs w:val="24"/>
        </w:rPr>
      </w:pPr>
      <w:r>
        <w:rPr>
          <w:rFonts w:ascii="Times New Roman" w:hAnsi="Times New Roman"/>
          <w:noProof/>
          <w:sz w:val="24"/>
        </w:rPr>
        <w:t>Totuși, pentru 11 state membre (Belgia, Cipru, Franța, Grecia, Irlanda, Luxemburg, Malta, Țările de Jos, Polonia, Portugalia și Regatul Unit), politicile puse în aplicare în pr</w:t>
      </w:r>
      <w:r>
        <w:rPr>
          <w:rFonts w:ascii="Times New Roman" w:hAnsi="Times New Roman"/>
          <w:noProof/>
          <w:sz w:val="24"/>
        </w:rPr>
        <w:t>ezent privind energia din surse regenerabile și inițiativele deja planificate de politică privind energia din surse regenerabile par, în prezent, să fie insuficiente pentru a declanșa volumele necesare de energie din surse regenerabile la nivel pur intern.</w:t>
      </w:r>
      <w:r>
        <w:rPr>
          <w:rFonts w:ascii="Times New Roman" w:hAnsi="Times New Roman"/>
          <w:noProof/>
          <w:sz w:val="24"/>
        </w:rPr>
        <w:t xml:space="preserve"> </w:t>
      </w:r>
    </w:p>
    <w:p w:rsidR="001C1F3A" w:rsidRDefault="004E78CF">
      <w:pPr>
        <w:jc w:val="both"/>
        <w:rPr>
          <w:rFonts w:ascii="Times New Roman" w:hAnsi="Times New Roman" w:cs="Times New Roman"/>
          <w:noProof/>
          <w:sz w:val="24"/>
          <w:szCs w:val="24"/>
        </w:rPr>
      </w:pPr>
      <w:r>
        <w:rPr>
          <w:rFonts w:ascii="Times New Roman" w:hAnsi="Times New Roman"/>
          <w:noProof/>
          <w:sz w:val="24"/>
        </w:rPr>
        <w:t>În plus, pentru șapte state membre (Austria, Germania, Letonia, România, Slovenia, Slovacia și Spania), există o anumită incertitudine legată de realizarea obiectivului privind energia din surse regenerabile pentru 2020. Capacitatea acestora de a-și real</w:t>
      </w:r>
      <w:r>
        <w:rPr>
          <w:rFonts w:ascii="Times New Roman" w:hAnsi="Times New Roman"/>
          <w:noProof/>
          <w:sz w:val="24"/>
        </w:rPr>
        <w:t>iza obiectivele naționale obligatorii pentru 2020 va depinde, în mare măsură, de nivelurile cererii de energie în cazul în care va exista o creștere importantă a cererii de energie care să determine reîncadrarea consumului lor de energie în tendința iniția</w:t>
      </w:r>
      <w:r>
        <w:rPr>
          <w:rFonts w:ascii="Times New Roman" w:hAnsi="Times New Roman"/>
          <w:noProof/>
          <w:sz w:val="24"/>
        </w:rPr>
        <w:t xml:space="preserve">lă indicată de cel mai recent scenariu de referință al UE. Având în vedere mecanismele de cooperare convenite pentru Luxemburg, Estonia și Lituania, rezultatele sunt prezentate în figura 4. </w:t>
      </w:r>
    </w:p>
    <w:p w:rsidR="001C1F3A" w:rsidRDefault="004E78CF">
      <w:pPr>
        <w:jc w:val="both"/>
        <w:rPr>
          <w:rFonts w:ascii="Times New Roman" w:hAnsi="Times New Roman" w:cs="Times New Roman"/>
          <w:b/>
          <w:noProof/>
          <w:sz w:val="24"/>
          <w:szCs w:val="24"/>
        </w:rPr>
      </w:pPr>
      <w:r>
        <w:rPr>
          <w:noProof/>
          <w:lang w:val="fr-BE" w:eastAsia="fr-BE" w:bidi="ar-SA"/>
        </w:rPr>
        <w:drawing>
          <wp:inline distT="0" distB="0" distL="0" distR="0">
            <wp:extent cx="5836257" cy="2682867"/>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2541" cy="2685756"/>
                    </a:xfrm>
                    <a:prstGeom prst="rect">
                      <a:avLst/>
                    </a:prstGeom>
                    <a:noFill/>
                    <a:ln>
                      <a:noFill/>
                    </a:ln>
                  </pic:spPr>
                </pic:pic>
              </a:graphicData>
            </a:graphic>
          </wp:inline>
        </w:drawing>
      </w:r>
    </w:p>
    <w:p w:rsidR="001C1F3A" w:rsidRDefault="004E78CF">
      <w:pPr>
        <w:jc w:val="both"/>
        <w:rPr>
          <w:rFonts w:ascii="Times New Roman" w:hAnsi="Times New Roman" w:cs="Times New Roman"/>
          <w:i/>
          <w:noProof/>
          <w:sz w:val="24"/>
          <w:szCs w:val="24"/>
        </w:rPr>
      </w:pPr>
      <w:r>
        <w:rPr>
          <w:rFonts w:ascii="Times New Roman" w:hAnsi="Times New Roman"/>
          <w:b/>
          <w:noProof/>
          <w:sz w:val="24"/>
        </w:rPr>
        <w:t>Figura 3</w:t>
      </w:r>
      <w:r>
        <w:rPr>
          <w:noProof/>
        </w:rPr>
        <w:t>.</w:t>
      </w:r>
      <w:r>
        <w:rPr>
          <w:rFonts w:ascii="Times New Roman" w:hAnsi="Times New Roman"/>
          <w:noProof/>
          <w:sz w:val="24"/>
        </w:rPr>
        <w:t xml:space="preserve"> </w:t>
      </w:r>
      <w:r>
        <w:rPr>
          <w:rFonts w:ascii="Times New Roman" w:hAnsi="Times New Roman"/>
          <w:i/>
          <w:noProof/>
          <w:sz w:val="24"/>
        </w:rPr>
        <w:t>Ponderea preconizată a energiei din surse regenerabil</w:t>
      </w:r>
      <w:r>
        <w:rPr>
          <w:rFonts w:ascii="Times New Roman" w:hAnsi="Times New Roman"/>
          <w:i/>
          <w:noProof/>
          <w:sz w:val="24"/>
        </w:rPr>
        <w:t xml:space="preserve">e în 2020 comparativ cu obiectivele pentru 2020 din Directiva privind energia din surse regenerabile și obiectivele planificate pentru 2020 (PNAESR) (%) </w:t>
      </w:r>
      <w:r>
        <w:rPr>
          <w:rFonts w:ascii="Times New Roman" w:hAnsi="Times New Roman"/>
          <w:i/>
          <w:noProof/>
          <w:sz w:val="24"/>
          <w:u w:val="single"/>
        </w:rPr>
        <w:t>excluzând cooperarea</w:t>
      </w:r>
      <w:r>
        <w:rPr>
          <w:rFonts w:ascii="Times New Roman" w:hAnsi="Times New Roman"/>
          <w:i/>
          <w:noProof/>
          <w:sz w:val="24"/>
        </w:rPr>
        <w:t>. (Navigant 2019</w:t>
      </w:r>
      <w:r>
        <w:rPr>
          <w:rStyle w:val="FootnoteReference"/>
          <w:rFonts w:ascii="Times New Roman" w:hAnsi="Times New Roman"/>
          <w:i/>
          <w:noProof/>
          <w:sz w:val="24"/>
        </w:rPr>
        <w:footnoteReference w:id="31"/>
      </w:r>
      <w:r>
        <w:rPr>
          <w:rFonts w:ascii="Times New Roman" w:hAnsi="Times New Roman"/>
          <w:i/>
          <w:noProof/>
          <w:sz w:val="24"/>
        </w:rPr>
        <w:t>)</w:t>
      </w:r>
    </w:p>
    <w:p w:rsidR="001C1F3A" w:rsidRDefault="004E78CF">
      <w:pPr>
        <w:jc w:val="both"/>
        <w:rPr>
          <w:rFonts w:ascii="Times New Roman" w:hAnsi="Times New Roman" w:cs="Times New Roman"/>
          <w:bCs/>
          <w:noProof/>
          <w:sz w:val="24"/>
          <w:szCs w:val="24"/>
        </w:rPr>
      </w:pPr>
      <w:r>
        <w:rPr>
          <w:noProof/>
          <w:lang w:val="fr-BE" w:eastAsia="fr-BE" w:bidi="ar-SA"/>
        </w:rPr>
        <w:drawing>
          <wp:inline distT="0" distB="0" distL="0" distR="0">
            <wp:extent cx="5932911" cy="27272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9300" cy="2730235"/>
                    </a:xfrm>
                    <a:prstGeom prst="rect">
                      <a:avLst/>
                    </a:prstGeom>
                    <a:noFill/>
                    <a:ln>
                      <a:noFill/>
                    </a:ln>
                  </pic:spPr>
                </pic:pic>
              </a:graphicData>
            </a:graphic>
          </wp:inline>
        </w:drawing>
      </w:r>
    </w:p>
    <w:p w:rsidR="001C1F3A" w:rsidRDefault="004E78CF">
      <w:pPr>
        <w:jc w:val="both"/>
        <w:rPr>
          <w:rFonts w:ascii="Times New Roman" w:hAnsi="Times New Roman" w:cs="Times New Roman"/>
          <w:i/>
          <w:noProof/>
          <w:sz w:val="24"/>
          <w:szCs w:val="24"/>
        </w:rPr>
      </w:pPr>
      <w:bookmarkStart w:id="9" w:name="_Ref527045038"/>
      <w:r>
        <w:rPr>
          <w:rFonts w:ascii="Times New Roman" w:hAnsi="Times New Roman"/>
          <w:b/>
          <w:noProof/>
          <w:sz w:val="24"/>
        </w:rPr>
        <w:t xml:space="preserve">Figura </w:t>
      </w:r>
      <w:bookmarkEnd w:id="9"/>
      <w:r>
        <w:rPr>
          <w:rFonts w:ascii="Times New Roman" w:hAnsi="Times New Roman"/>
          <w:b/>
          <w:noProof/>
          <w:sz w:val="24"/>
        </w:rPr>
        <w:t>4</w:t>
      </w:r>
      <w:r>
        <w:rPr>
          <w:noProof/>
        </w:rPr>
        <w:t>.</w:t>
      </w:r>
      <w:r>
        <w:rPr>
          <w:rFonts w:ascii="Times New Roman" w:hAnsi="Times New Roman"/>
          <w:noProof/>
          <w:sz w:val="24"/>
        </w:rPr>
        <w:t xml:space="preserve"> </w:t>
      </w:r>
      <w:r>
        <w:rPr>
          <w:rFonts w:ascii="Times New Roman" w:hAnsi="Times New Roman"/>
          <w:i/>
          <w:noProof/>
          <w:sz w:val="24"/>
        </w:rPr>
        <w:t xml:space="preserve">Ponderile preconizate ale energiei din surse regenerabile în 2020 comparativ cu obiectivele pentru 2020 din Directiva privind energia din surse regenerabile și obiectivele planificate pentru 2020 (PNAESR), </w:t>
      </w:r>
      <w:r>
        <w:rPr>
          <w:rFonts w:ascii="Times New Roman" w:hAnsi="Times New Roman"/>
          <w:i/>
          <w:noProof/>
          <w:sz w:val="24"/>
          <w:u w:val="single"/>
        </w:rPr>
        <w:t>incluzând</w:t>
      </w:r>
      <w:r>
        <w:rPr>
          <w:rFonts w:ascii="Times New Roman" w:hAnsi="Times New Roman"/>
          <w:i/>
          <w:noProof/>
          <w:sz w:val="24"/>
        </w:rPr>
        <w:t xml:space="preserve"> mecanismele de </w:t>
      </w:r>
      <w:r>
        <w:rPr>
          <w:rFonts w:ascii="Times New Roman" w:hAnsi="Times New Roman"/>
          <w:i/>
          <w:noProof/>
          <w:sz w:val="24"/>
          <w:u w:val="single"/>
        </w:rPr>
        <w:t>cooperare</w:t>
      </w:r>
      <w:r>
        <w:rPr>
          <w:rFonts w:ascii="Times New Roman" w:hAnsi="Times New Roman"/>
          <w:i/>
          <w:noProof/>
          <w:sz w:val="24"/>
        </w:rPr>
        <w:t xml:space="preserve"> (stat membru, %</w:t>
      </w:r>
      <w:r>
        <w:rPr>
          <w:rFonts w:ascii="Times New Roman" w:hAnsi="Times New Roman"/>
          <w:i/>
          <w:noProof/>
          <w:sz w:val="24"/>
        </w:rPr>
        <w:t>). Sursă: Navigant 2019.</w:t>
      </w:r>
    </w:p>
    <w:p w:rsidR="001C1F3A" w:rsidRDefault="004E78CF">
      <w:pPr>
        <w:jc w:val="both"/>
        <w:rPr>
          <w:rFonts w:ascii="Times New Roman" w:hAnsi="Times New Roman" w:cs="Times New Roman"/>
          <w:noProof/>
          <w:sz w:val="24"/>
          <w:szCs w:val="24"/>
        </w:rPr>
      </w:pPr>
      <w:r>
        <w:rPr>
          <w:rFonts w:ascii="Times New Roman" w:hAnsi="Times New Roman"/>
          <w:noProof/>
          <w:sz w:val="24"/>
        </w:rPr>
        <w:t>Din cauza consumului total de energie relativ scăzut din Luxemburg, transferurile din Estonia și Lituania au un impact semnificativ asupra capacității Luxemburgului de a-și realiza obiectivul: în scenariile cele mai optimiste, se p</w:t>
      </w:r>
      <w:r>
        <w:rPr>
          <w:rFonts w:ascii="Times New Roman" w:hAnsi="Times New Roman"/>
          <w:noProof/>
          <w:sz w:val="24"/>
        </w:rPr>
        <w:t>reconizează că Luxemburg își va realiza obiectivul de 11 % pentru 2020. Aceste transferuri au un impact limitat asupra ponderii energiei din surse regenerabile atât din Estonia, cât și din Lituania, care scade doar cu 0,7 % pentru Estonia și cu 0,9 % pentr</w:t>
      </w:r>
      <w:r>
        <w:rPr>
          <w:rFonts w:ascii="Times New Roman" w:hAnsi="Times New Roman"/>
          <w:noProof/>
          <w:sz w:val="24"/>
        </w:rPr>
        <w:t>u Lituania în scenariul cel mai pesimist.</w:t>
      </w:r>
    </w:p>
    <w:p w:rsidR="001C1F3A" w:rsidRDefault="004E78CF">
      <w:pPr>
        <w:jc w:val="both"/>
        <w:rPr>
          <w:rFonts w:ascii="Times New Roman" w:hAnsi="Times New Roman" w:cs="Times New Roman"/>
          <w:noProof/>
          <w:sz w:val="24"/>
          <w:szCs w:val="24"/>
        </w:rPr>
      </w:pPr>
      <w:bookmarkStart w:id="10" w:name="_Toc1149223"/>
      <w:r>
        <w:rPr>
          <w:rFonts w:ascii="Times New Roman" w:hAnsi="Times New Roman"/>
          <w:noProof/>
          <w:sz w:val="24"/>
        </w:rPr>
        <w:t>Mai mult, conform proiectelor lor de planuri naționale privind energia și clima pentru 2030</w:t>
      </w:r>
      <w:r>
        <w:rPr>
          <w:rStyle w:val="FootnoteReference"/>
          <w:rFonts w:ascii="Times New Roman" w:hAnsi="Times New Roman"/>
          <w:noProof/>
          <w:sz w:val="24"/>
        </w:rPr>
        <w:footnoteReference w:id="32"/>
      </w:r>
      <w:r>
        <w:rPr>
          <w:rFonts w:ascii="Times New Roman" w:hAnsi="Times New Roman"/>
          <w:noProof/>
          <w:sz w:val="24"/>
        </w:rPr>
        <w:t>, toate statele membre și-au prezentat deja contribuțiile naționale la obiectivul obligatoriu la nivelul UE de cel puțin 3</w:t>
      </w:r>
      <w:r>
        <w:rPr>
          <w:rFonts w:ascii="Times New Roman" w:hAnsi="Times New Roman"/>
          <w:noProof/>
          <w:sz w:val="24"/>
        </w:rPr>
        <w:t xml:space="preserve">2 %, care ar face ca sursele regenerabile de energie să devină elementul central al sistemului energetic al Uniunii. Până în iunie 2019, Comisia va evalua dacă aceste contribuții naționale, precum și politicile și măsurile asociate sunt în conformitate cu </w:t>
      </w:r>
      <w:r>
        <w:rPr>
          <w:rFonts w:ascii="Times New Roman" w:hAnsi="Times New Roman"/>
          <w:noProof/>
          <w:sz w:val="24"/>
        </w:rPr>
        <w:t>ambiția UE și, dacă este cazul, va formula recomandări pentru statele membre.</w:t>
      </w:r>
    </w:p>
    <w:p w:rsidR="001C1F3A" w:rsidRDefault="004E78CF">
      <w:pPr>
        <w:pStyle w:val="Heading2"/>
        <w:spacing w:after="120"/>
        <w:ind w:left="714" w:hanging="357"/>
        <w:rPr>
          <w:noProof/>
        </w:rPr>
      </w:pPr>
      <w:r>
        <w:rPr>
          <w:noProof/>
        </w:rPr>
        <w:t>Obstacole administrative</w:t>
      </w:r>
      <w:bookmarkEnd w:id="10"/>
    </w:p>
    <w:p w:rsidR="001C1F3A" w:rsidRDefault="004E78CF">
      <w:pPr>
        <w:jc w:val="both"/>
        <w:rPr>
          <w:rFonts w:ascii="Times New Roman" w:hAnsi="Times New Roman" w:cs="Times New Roman"/>
          <w:noProof/>
          <w:sz w:val="24"/>
          <w:szCs w:val="24"/>
        </w:rPr>
      </w:pPr>
      <w:r>
        <w:rPr>
          <w:rFonts w:ascii="Times New Roman" w:hAnsi="Times New Roman"/>
          <w:noProof/>
          <w:sz w:val="24"/>
        </w:rPr>
        <w:t xml:space="preserve">În cele patru rapoarte ale lor privind progresele înregistrate în domeniul energiei din surse regenerabile, statele membre raportează cu privire la </w:t>
      </w:r>
      <w:r>
        <w:rPr>
          <w:rFonts w:ascii="Times New Roman" w:hAnsi="Times New Roman"/>
          <w:noProof/>
          <w:sz w:val="24"/>
        </w:rPr>
        <w:t>măsurile de simplificare a procedurilor administrative pentru proiectele de energie din surse regenerabile (conform articolului 13 din Directiva privind energia din surse regenerabile I). Conform analizei externe</w:t>
      </w:r>
      <w:r>
        <w:rPr>
          <w:rFonts w:ascii="Times New Roman" w:hAnsi="Times New Roman"/>
          <w:noProof/>
          <w:sz w:val="24"/>
          <w:vertAlign w:val="superscript"/>
        </w:rPr>
        <w:footnoteReference w:id="33"/>
      </w:r>
      <w:r>
        <w:rPr>
          <w:rFonts w:ascii="Times New Roman" w:hAnsi="Times New Roman"/>
          <w:noProof/>
          <w:sz w:val="24"/>
        </w:rPr>
        <w:t>, în termeni globali, o mare parte a măsuri</w:t>
      </w:r>
      <w:r>
        <w:rPr>
          <w:rFonts w:ascii="Times New Roman" w:hAnsi="Times New Roman"/>
          <w:noProof/>
          <w:sz w:val="24"/>
        </w:rPr>
        <w:t>lor relevante din Directiva privind energia din surse regenerabile I au fost puse în aplicare cu succes în statele membre. Aceste măsuri includ, printre altele: proceduri facilitate pentru proiectele de mici dimensiuni, cerințe ca operatorii de sistem să f</w:t>
      </w:r>
      <w:r>
        <w:rPr>
          <w:rFonts w:ascii="Times New Roman" w:hAnsi="Times New Roman"/>
          <w:noProof/>
          <w:sz w:val="24"/>
        </w:rPr>
        <w:t>urnizeze estimări ale costurilor și alte informații necesare, cerințe privind distribuirea costurilor de dezvoltare a rețelelor și de racordare la rețea pentru energia din surse regenerabile, luarea în considerare a E-SRE în cadrul planului național de dez</w:t>
      </w:r>
      <w:r>
        <w:rPr>
          <w:rFonts w:ascii="Times New Roman" w:hAnsi="Times New Roman"/>
          <w:noProof/>
          <w:sz w:val="24"/>
        </w:rPr>
        <w:t>voltare a rețelei, precum și existența unor scheme de sprijin care să promoveze utilizarea energiei din surse regenerabile.</w:t>
      </w:r>
    </w:p>
    <w:p w:rsidR="001C1F3A" w:rsidRDefault="004E78CF">
      <w:pPr>
        <w:jc w:val="both"/>
        <w:rPr>
          <w:rFonts w:ascii="Times New Roman" w:hAnsi="Times New Roman" w:cs="Times New Roman"/>
          <w:noProof/>
          <w:sz w:val="24"/>
          <w:szCs w:val="24"/>
        </w:rPr>
      </w:pPr>
      <w:r>
        <w:rPr>
          <w:rFonts w:ascii="Times New Roman" w:hAnsi="Times New Roman"/>
          <w:noProof/>
          <w:sz w:val="24"/>
        </w:rPr>
        <w:t>Cu toate acestea, barierele legate de elaborarea și planificarea procedurilor au crescut în ultimii ani. Pentru sectorul energiei el</w:t>
      </w:r>
      <w:r>
        <w:rPr>
          <w:rFonts w:ascii="Times New Roman" w:hAnsi="Times New Roman"/>
          <w:noProof/>
          <w:sz w:val="24"/>
        </w:rPr>
        <w:t>ectrice, evoluția către proiecte mai mari a impus unele bariere, deoarece aceste proiecte au cerințe suplimentare în ceea ce privește amenajarea teritoriului și planificarea ecologică. Pentru sectorul încălzirii și al răcirii, obstacolele se datorează în p</w:t>
      </w:r>
      <w:r>
        <w:rPr>
          <w:rFonts w:ascii="Times New Roman" w:hAnsi="Times New Roman"/>
          <w:noProof/>
          <w:sz w:val="24"/>
        </w:rPr>
        <w:t>rincipal deficiențelor legate de capacitățile rețelelor de termoficare, în timp ce sectorul transporturilor se confruntă în principal cu obstacole cauzate de lipsa unei infrastructuri adecvate, atât pentru biocombustibili, cât și pentru vehiculele electric</w:t>
      </w:r>
      <w:r>
        <w:rPr>
          <w:rFonts w:ascii="Times New Roman" w:hAnsi="Times New Roman"/>
          <w:noProof/>
          <w:sz w:val="24"/>
        </w:rPr>
        <w:t>e. Integrarea capacităților tot mai mari de SRE în rețea reprezintă, de asemenea, o provocare persistentă pentru majoritatea statelor membre. Obstacolele rezultă, în principal, din costul ridicat al racordării la rețea, precum și din lipsa predictibilități</w:t>
      </w:r>
      <w:r>
        <w:rPr>
          <w:rFonts w:ascii="Times New Roman" w:hAnsi="Times New Roman"/>
          <w:noProof/>
          <w:sz w:val="24"/>
        </w:rPr>
        <w:t xml:space="preserve">i și a transparenței procedurilor de racordare la rețea. </w:t>
      </w:r>
    </w:p>
    <w:p w:rsidR="001C1F3A" w:rsidRDefault="004E78CF">
      <w:pPr>
        <w:pStyle w:val="Heading1"/>
        <w:rPr>
          <w:noProof/>
        </w:rPr>
      </w:pPr>
      <w:bookmarkStart w:id="11" w:name="_Toc1149224"/>
      <w:r>
        <w:rPr>
          <w:noProof/>
        </w:rPr>
        <w:t>4. EVALUAREA DURABILITĂȚII BIOCOMBUSTIBILILOR</w:t>
      </w:r>
      <w:bookmarkEnd w:id="11"/>
      <w:r>
        <w:rPr>
          <w:noProof/>
          <w:vertAlign w:val="superscript"/>
        </w:rPr>
        <w:footnoteReference w:id="34"/>
      </w:r>
      <w:r>
        <w:rPr>
          <w:noProof/>
        </w:rPr>
        <w:t xml:space="preserve"> </w:t>
      </w:r>
    </w:p>
    <w:p w:rsidR="001C1F3A" w:rsidRDefault="004E78CF">
      <w:pPr>
        <w:pStyle w:val="Heading2"/>
        <w:numPr>
          <w:ilvl w:val="0"/>
          <w:numId w:val="28"/>
        </w:numPr>
        <w:spacing w:after="120"/>
        <w:rPr>
          <w:noProof/>
        </w:rPr>
      </w:pPr>
      <w:r>
        <w:rPr>
          <w:noProof/>
        </w:rPr>
        <w:t>Prezentarea generală a consumului de biocombustibili din UE</w:t>
      </w:r>
    </w:p>
    <w:p w:rsidR="001C1F3A" w:rsidRDefault="004E78CF">
      <w:pPr>
        <w:jc w:val="both"/>
        <w:rPr>
          <w:rFonts w:ascii="Times New Roman" w:eastAsia="Calibri" w:hAnsi="Times New Roman" w:cs="Times New Roman"/>
          <w:noProof/>
          <w:sz w:val="24"/>
          <w:szCs w:val="24"/>
        </w:rPr>
      </w:pPr>
      <w:r>
        <w:rPr>
          <w:rFonts w:ascii="Times New Roman" w:hAnsi="Times New Roman"/>
          <w:noProof/>
          <w:sz w:val="24"/>
        </w:rPr>
        <w:t xml:space="preserve">În 2016, consumul de biocombustibili durabili din UE s-a ridicat la 13 840 ktep. Din </w:t>
      </w:r>
      <w:r>
        <w:rPr>
          <w:rFonts w:ascii="Times New Roman" w:hAnsi="Times New Roman"/>
          <w:noProof/>
          <w:sz w:val="24"/>
        </w:rPr>
        <w:t>această valoare, 11 083 ktep (80 %) a inclus biomotorina iar 2 620 ktep (19 %) bioetanolul. Majoritatea (64 %) biomotorinei consumate în UE în 2016 a fost produsă din materii prime din UE, în principal din rapiță (~38 %), ulei alimentar uzat (13 %), grăsim</w:t>
      </w:r>
      <w:r>
        <w:rPr>
          <w:rFonts w:ascii="Times New Roman" w:hAnsi="Times New Roman"/>
          <w:noProof/>
          <w:sz w:val="24"/>
        </w:rPr>
        <w:t>e animală (8 %) și ulei de tal (2,5 %). Pentru restul de 36 % din cantitatea de biomotorină consumată în UE, procentele sunt următoarele: 19,6 % a fost produsă din ulei de palmier din Indonezia (13,3 %) și din Malaysia (6,3 %), 6,1 % din rapiță în principa</w:t>
      </w:r>
      <w:r>
        <w:rPr>
          <w:rFonts w:ascii="Times New Roman" w:hAnsi="Times New Roman"/>
          <w:noProof/>
          <w:sz w:val="24"/>
        </w:rPr>
        <w:t>l din Australia (2,6 %), Ucraina (1,8 %) și Canada (1,2 %), 4,8 % din ulei alimentar uzat din diverse țări din afara UE și 4,3 % din boabe de soia în principal din Statele Unite (1,5 %) și Brazilia (1,5 %).</w:t>
      </w:r>
    </w:p>
    <w:p w:rsidR="001C1F3A" w:rsidRDefault="004E78CF">
      <w:pPr>
        <w:jc w:val="both"/>
        <w:rPr>
          <w:rFonts w:ascii="Times New Roman" w:eastAsia="Calibri" w:hAnsi="Times New Roman" w:cs="Times New Roman"/>
          <w:noProof/>
          <w:sz w:val="24"/>
          <w:szCs w:val="24"/>
        </w:rPr>
      </w:pPr>
      <w:r>
        <w:rPr>
          <w:rFonts w:ascii="Times New Roman" w:hAnsi="Times New Roman"/>
          <w:noProof/>
          <w:sz w:val="24"/>
        </w:rPr>
        <w:t xml:space="preserve">Etanolul consumat în UE este produs în principal </w:t>
      </w:r>
      <w:r>
        <w:rPr>
          <w:rFonts w:ascii="Times New Roman" w:hAnsi="Times New Roman"/>
          <w:noProof/>
          <w:sz w:val="24"/>
        </w:rPr>
        <w:t>din materii prime din UE (65 %), inclusiv din grâu (~25 %), porumb (~22 %) și sfeclă de zahăr (17 %) și doar o cantitate mică (~1 %) din etanol celulozic. Materiile prime pe bază de etanol din afara UE includ porumb (16,4 %), grâu (2,9 %) și trestie de zah</w:t>
      </w:r>
      <w:r>
        <w:rPr>
          <w:rFonts w:ascii="Times New Roman" w:hAnsi="Times New Roman"/>
          <w:noProof/>
          <w:sz w:val="24"/>
        </w:rPr>
        <w:t xml:space="preserve">ăr (2,9 %) din diverse părți. Printre principalele țări terțe care produc materii prime pentru bioetanolul consumat în UE se numără Ucraina (9,8 %), Rusia (2,1 %), Brazilia (1,8 %), Statele Unite (1,7 %) și Canada (1,6 %). </w:t>
      </w:r>
    </w:p>
    <w:p w:rsidR="001C1F3A" w:rsidRDefault="004E78CF">
      <w:pPr>
        <w:jc w:val="both"/>
        <w:rPr>
          <w:rFonts w:ascii="Times New Roman" w:hAnsi="Times New Roman" w:cs="Times New Roman"/>
          <w:i/>
          <w:noProof/>
          <w:sz w:val="24"/>
          <w:szCs w:val="24"/>
        </w:rPr>
      </w:pPr>
      <w:r>
        <w:rPr>
          <w:rFonts w:ascii="Times New Roman" w:hAnsi="Times New Roman"/>
          <w:noProof/>
          <w:sz w:val="24"/>
        </w:rPr>
        <w:t>Se estimează că majoritatea biog</w:t>
      </w:r>
      <w:r>
        <w:rPr>
          <w:rFonts w:ascii="Times New Roman" w:hAnsi="Times New Roman"/>
          <w:noProof/>
          <w:sz w:val="24"/>
        </w:rPr>
        <w:t>azului consumat în UE în 2016 a provenit din materii prime interne, mai cu seamă din culturi și din deșeuri agricole/alimentare (inclusiv dejecții animaliere) (75 %), urmate de gazul de depozit (16 %) și de gazul provenit din nămoluri de epurare (9 %). Ori</w:t>
      </w:r>
      <w:r>
        <w:rPr>
          <w:rFonts w:ascii="Times New Roman" w:hAnsi="Times New Roman"/>
          <w:noProof/>
          <w:sz w:val="24"/>
        </w:rPr>
        <w:t>ginea biolichidelor, care, în 2016, au reprezentat mai puțin de 1 % din bioenergia totală consumată în UE, este dificil de stabilit, deoarece statele membre nu fac distincția între materiile prime utilizate pentru biocombustibili și cele pentru biolichide.</w:t>
      </w:r>
      <w:r>
        <w:rPr>
          <w:rFonts w:ascii="Times New Roman" w:hAnsi="Times New Roman"/>
          <w:noProof/>
          <w:sz w:val="24"/>
        </w:rPr>
        <w:t xml:space="preserve"> </w:t>
      </w:r>
    </w:p>
    <w:tbl>
      <w:tblPr>
        <w:tblStyle w:val="Tablestylegreen"/>
        <w:tblW w:w="0" w:type="auto"/>
        <w:tblLayout w:type="fixed"/>
        <w:tblLook w:val="04A0" w:firstRow="1" w:lastRow="0" w:firstColumn="1" w:lastColumn="0" w:noHBand="0" w:noVBand="1"/>
      </w:tblPr>
      <w:tblGrid>
        <w:gridCol w:w="1879"/>
        <w:gridCol w:w="709"/>
        <w:gridCol w:w="850"/>
        <w:gridCol w:w="914"/>
        <w:gridCol w:w="1071"/>
        <w:gridCol w:w="850"/>
        <w:gridCol w:w="851"/>
        <w:gridCol w:w="1134"/>
      </w:tblGrid>
      <w:tr w:rsidR="001C1F3A" w:rsidTr="001C1F3A">
        <w:trPr>
          <w:cnfStyle w:val="100000000000" w:firstRow="1" w:lastRow="0" w:firstColumn="0" w:lastColumn="0" w:oddVBand="0" w:evenVBand="0" w:oddHBand="0" w:evenHBand="0" w:firstRowFirstColumn="0" w:firstRowLastColumn="0" w:lastRowFirstColumn="0" w:lastRowLastColumn="0"/>
          <w:cantSplit/>
          <w:trHeight w:val="1357"/>
        </w:trPr>
        <w:tc>
          <w:tcPr>
            <w:cnfStyle w:val="001000000100" w:firstRow="0" w:lastRow="0" w:firstColumn="1" w:lastColumn="0" w:oddVBand="0" w:evenVBand="0" w:oddHBand="0" w:evenHBand="0" w:firstRowFirstColumn="1" w:firstRowLastColumn="0" w:lastRowFirstColumn="0" w:lastRowLastColumn="0"/>
            <w:tcW w:w="1879" w:type="dxa"/>
            <w:noWrap/>
            <w:vAlign w:val="top"/>
          </w:tcPr>
          <w:p w:rsidR="001C1F3A" w:rsidRDefault="001C1F3A">
            <w:pPr>
              <w:keepNext/>
              <w:keepLines/>
              <w:tabs>
                <w:tab w:val="left" w:pos="1446"/>
              </w:tabs>
              <w:spacing w:after="200" w:line="276" w:lineRule="auto"/>
              <w:contextualSpacing w:val="0"/>
              <w:rPr>
                <w:rFonts w:ascii="Times New Roman" w:eastAsiaTheme="minorHAnsi" w:hAnsi="Times New Roman" w:cstheme="minorBidi"/>
                <w:noProof/>
                <w:sz w:val="22"/>
                <w:szCs w:val="22"/>
              </w:rPr>
            </w:pPr>
          </w:p>
        </w:tc>
        <w:tc>
          <w:tcPr>
            <w:tcW w:w="709" w:type="dxa"/>
            <w:noWrap/>
            <w:textDirection w:val="btLr"/>
          </w:tcPr>
          <w:p w:rsidR="001C1F3A" w:rsidRDefault="004E78CF">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Biogaz</w:t>
            </w:r>
          </w:p>
        </w:tc>
        <w:tc>
          <w:tcPr>
            <w:tcW w:w="850" w:type="dxa"/>
            <w:noWrap/>
            <w:textDirection w:val="btLr"/>
          </w:tcPr>
          <w:p w:rsidR="001C1F3A" w:rsidRDefault="004E78CF">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Benzină biologică</w:t>
            </w:r>
          </w:p>
        </w:tc>
        <w:tc>
          <w:tcPr>
            <w:tcW w:w="914" w:type="dxa"/>
            <w:noWrap/>
            <w:textDirection w:val="btLr"/>
          </w:tcPr>
          <w:p w:rsidR="001C1F3A" w:rsidRDefault="004E78CF">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Biomotorină</w:t>
            </w:r>
          </w:p>
        </w:tc>
        <w:tc>
          <w:tcPr>
            <w:tcW w:w="1071" w:type="dxa"/>
            <w:noWrap/>
            <w:textDirection w:val="btLr"/>
          </w:tcPr>
          <w:p w:rsidR="001C1F3A" w:rsidRDefault="004E78CF">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Alți combustibili biologici lichizi</w:t>
            </w:r>
          </w:p>
        </w:tc>
        <w:tc>
          <w:tcPr>
            <w:tcW w:w="850" w:type="dxa"/>
            <w:noWrap/>
            <w:textDirection w:val="btLr"/>
          </w:tcPr>
          <w:p w:rsidR="001C1F3A" w:rsidRDefault="004E78CF">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Biocarburanți de tip kerosen pentru turboreactoare</w:t>
            </w:r>
          </w:p>
        </w:tc>
        <w:tc>
          <w:tcPr>
            <w:tcW w:w="851" w:type="dxa"/>
            <w:textDirection w:val="btLr"/>
          </w:tcPr>
          <w:p w:rsidR="001C1F3A" w:rsidRDefault="004E78CF">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Total biocombustibilii lichizi</w:t>
            </w:r>
          </w:p>
        </w:tc>
        <w:tc>
          <w:tcPr>
            <w:tcW w:w="1134" w:type="dxa"/>
            <w:textDirection w:val="btLr"/>
          </w:tcPr>
          <w:p w:rsidR="001C1F3A" w:rsidRDefault="004E78CF">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Total</w:t>
            </w:r>
          </w:p>
        </w:tc>
      </w:tr>
      <w:tr w:rsidR="001C1F3A" w:rsidTr="001C1F3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1C1F3A" w:rsidRDefault="004E78CF">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Transport rutier</w:t>
            </w:r>
          </w:p>
        </w:tc>
        <w:tc>
          <w:tcPr>
            <w:tcW w:w="709"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131</w:t>
            </w:r>
          </w:p>
        </w:tc>
        <w:tc>
          <w:tcPr>
            <w:tcW w:w="850"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2 619</w:t>
            </w:r>
          </w:p>
        </w:tc>
        <w:tc>
          <w:tcPr>
            <w:tcW w:w="914"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11 041</w:t>
            </w:r>
          </w:p>
        </w:tc>
        <w:tc>
          <w:tcPr>
            <w:tcW w:w="1071"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4,5</w:t>
            </w:r>
          </w:p>
        </w:tc>
        <w:tc>
          <w:tcPr>
            <w:tcW w:w="850"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13 664</w:t>
            </w:r>
          </w:p>
        </w:tc>
        <w:tc>
          <w:tcPr>
            <w:tcW w:w="1134" w:type="dxa"/>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13 796</w:t>
            </w:r>
          </w:p>
        </w:tc>
      </w:tr>
      <w:tr w:rsidR="001C1F3A" w:rsidTr="001C1F3A">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1C1F3A" w:rsidRDefault="004E78CF">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Transport feroviar</w:t>
            </w:r>
          </w:p>
        </w:tc>
        <w:tc>
          <w:tcPr>
            <w:tcW w:w="709"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850" w:type="dxa"/>
            <w:noWrap/>
            <w:vAlign w:val="top"/>
          </w:tcPr>
          <w:p w:rsidR="001C1F3A" w:rsidRDefault="001C1F3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p>
        </w:tc>
        <w:tc>
          <w:tcPr>
            <w:tcW w:w="914"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32,9</w:t>
            </w:r>
          </w:p>
        </w:tc>
        <w:tc>
          <w:tcPr>
            <w:tcW w:w="1071"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32,9</w:t>
            </w:r>
          </w:p>
        </w:tc>
        <w:tc>
          <w:tcPr>
            <w:tcW w:w="1134" w:type="dxa"/>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33,1</w:t>
            </w:r>
          </w:p>
        </w:tc>
      </w:tr>
      <w:tr w:rsidR="001C1F3A" w:rsidTr="001C1F3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1C1F3A" w:rsidRDefault="004E78CF">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Transport aerian internațional</w:t>
            </w:r>
          </w:p>
        </w:tc>
        <w:tc>
          <w:tcPr>
            <w:tcW w:w="709"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w:t>
            </w:r>
          </w:p>
        </w:tc>
        <w:tc>
          <w:tcPr>
            <w:tcW w:w="850"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1071"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1134" w:type="dxa"/>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0</w:t>
            </w:r>
          </w:p>
        </w:tc>
      </w:tr>
      <w:tr w:rsidR="001C1F3A" w:rsidTr="001C1F3A">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1C1F3A" w:rsidRDefault="004E78CF">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Transport aerian intern</w:t>
            </w:r>
          </w:p>
        </w:tc>
        <w:tc>
          <w:tcPr>
            <w:tcW w:w="709"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w:t>
            </w:r>
          </w:p>
        </w:tc>
        <w:tc>
          <w:tcPr>
            <w:tcW w:w="850"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1071"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1134" w:type="dxa"/>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0</w:t>
            </w:r>
          </w:p>
        </w:tc>
      </w:tr>
      <w:tr w:rsidR="001C1F3A" w:rsidTr="001C1F3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1C1F3A" w:rsidRDefault="004E78CF">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Navigație internă</w:t>
            </w:r>
          </w:p>
        </w:tc>
        <w:tc>
          <w:tcPr>
            <w:tcW w:w="709"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850"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1,4</w:t>
            </w:r>
          </w:p>
        </w:tc>
        <w:tc>
          <w:tcPr>
            <w:tcW w:w="914"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3,5</w:t>
            </w:r>
          </w:p>
        </w:tc>
        <w:tc>
          <w:tcPr>
            <w:tcW w:w="1071"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5,0</w:t>
            </w:r>
          </w:p>
        </w:tc>
        <w:tc>
          <w:tcPr>
            <w:tcW w:w="1134" w:type="dxa"/>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5,0</w:t>
            </w:r>
          </w:p>
        </w:tc>
      </w:tr>
      <w:tr w:rsidR="001C1F3A" w:rsidTr="001C1F3A">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1C1F3A" w:rsidRDefault="004E78CF">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Transport nespecificat</w:t>
            </w:r>
          </w:p>
        </w:tc>
        <w:tc>
          <w:tcPr>
            <w:tcW w:w="709"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0,5</w:t>
            </w:r>
          </w:p>
        </w:tc>
        <w:tc>
          <w:tcPr>
            <w:tcW w:w="850"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6,2</w:t>
            </w:r>
          </w:p>
        </w:tc>
        <w:tc>
          <w:tcPr>
            <w:tcW w:w="1071"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6,2</w:t>
            </w:r>
          </w:p>
        </w:tc>
        <w:tc>
          <w:tcPr>
            <w:tcW w:w="1134" w:type="dxa"/>
            <w:vAlign w:val="top"/>
          </w:tcPr>
          <w:p w:rsidR="001C1F3A" w:rsidRDefault="004E78CF">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6,7</w:t>
            </w:r>
          </w:p>
        </w:tc>
      </w:tr>
      <w:tr w:rsidR="001C1F3A" w:rsidTr="001C1F3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1C1F3A" w:rsidRDefault="004E78CF">
            <w:pPr>
              <w:keepNext/>
              <w:keepLines/>
              <w:spacing w:after="200" w:line="276" w:lineRule="auto"/>
              <w:contextualSpacing w:val="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Total</w:t>
            </w:r>
          </w:p>
        </w:tc>
        <w:tc>
          <w:tcPr>
            <w:tcW w:w="709"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132</w:t>
            </w:r>
          </w:p>
        </w:tc>
        <w:tc>
          <w:tcPr>
            <w:tcW w:w="850"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2 620</w:t>
            </w:r>
          </w:p>
        </w:tc>
        <w:tc>
          <w:tcPr>
            <w:tcW w:w="914"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11 083</w:t>
            </w:r>
          </w:p>
        </w:tc>
        <w:tc>
          <w:tcPr>
            <w:tcW w:w="1071"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4,5</w:t>
            </w:r>
          </w:p>
        </w:tc>
        <w:tc>
          <w:tcPr>
            <w:tcW w:w="850" w:type="dxa"/>
            <w:noWrap/>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0,0</w:t>
            </w:r>
          </w:p>
        </w:tc>
        <w:tc>
          <w:tcPr>
            <w:tcW w:w="851" w:type="dxa"/>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13 708</w:t>
            </w:r>
          </w:p>
        </w:tc>
        <w:tc>
          <w:tcPr>
            <w:tcW w:w="1134" w:type="dxa"/>
            <w:vAlign w:val="top"/>
          </w:tcPr>
          <w:p w:rsidR="001C1F3A" w:rsidRDefault="004E78CF">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13 840</w:t>
            </w:r>
          </w:p>
        </w:tc>
      </w:tr>
    </w:tbl>
    <w:p w:rsidR="001C1F3A" w:rsidRDefault="004E78CF">
      <w:pPr>
        <w:jc w:val="both"/>
        <w:rPr>
          <w:rFonts w:ascii="Times New Roman" w:hAnsi="Times New Roman" w:cs="Times New Roman"/>
          <w:i/>
          <w:noProof/>
          <w:sz w:val="24"/>
          <w:szCs w:val="24"/>
        </w:rPr>
      </w:pPr>
      <w:r>
        <w:rPr>
          <w:rFonts w:ascii="Times New Roman" w:hAnsi="Times New Roman"/>
          <w:b/>
          <w:noProof/>
          <w:sz w:val="24"/>
        </w:rPr>
        <w:t>Tabelul 2</w:t>
      </w:r>
      <w:r>
        <w:rPr>
          <w:rFonts w:ascii="Times New Roman" w:hAnsi="Times New Roman"/>
          <w:noProof/>
          <w:sz w:val="24"/>
        </w:rPr>
        <w:t xml:space="preserve">: </w:t>
      </w:r>
      <w:r>
        <w:rPr>
          <w:rFonts w:ascii="Times New Roman" w:hAnsi="Times New Roman"/>
          <w:i/>
          <w:noProof/>
          <w:sz w:val="24"/>
        </w:rPr>
        <w:t>Consumul final de bioenergie în sectorul transporturilor din UE (2016, ktep). Sursă: Eurostat</w:t>
      </w:r>
    </w:p>
    <w:p w:rsidR="001C1F3A" w:rsidRDefault="004E78CF">
      <w:pPr>
        <w:pStyle w:val="Heading2"/>
        <w:numPr>
          <w:ilvl w:val="0"/>
          <w:numId w:val="28"/>
        </w:numPr>
        <w:spacing w:after="120"/>
        <w:rPr>
          <w:noProof/>
        </w:rPr>
      </w:pPr>
      <w:r>
        <w:rPr>
          <w:noProof/>
        </w:rPr>
        <w:t xml:space="preserve">Impactul consumului de biocombustibili în UE </w:t>
      </w:r>
    </w:p>
    <w:p w:rsidR="001C1F3A" w:rsidRDefault="004E78CF">
      <w:pPr>
        <w:spacing w:before="240"/>
        <w:jc w:val="both"/>
        <w:rPr>
          <w:rFonts w:ascii="Times New Roman" w:eastAsia="Calibri" w:hAnsi="Times New Roman" w:cs="Times New Roman"/>
          <w:noProof/>
          <w:sz w:val="24"/>
          <w:szCs w:val="24"/>
        </w:rPr>
      </w:pPr>
      <w:r>
        <w:rPr>
          <w:rFonts w:ascii="Times New Roman" w:hAnsi="Times New Roman"/>
          <w:noProof/>
          <w:sz w:val="24"/>
        </w:rPr>
        <w:t>Se estimează că, în 2016, au fost necesare 4,9 Mha de teren pentru producția de culturi pentru co</w:t>
      </w:r>
      <w:r>
        <w:rPr>
          <w:rFonts w:ascii="Times New Roman" w:hAnsi="Times New Roman"/>
          <w:noProof/>
          <w:sz w:val="24"/>
        </w:rPr>
        <w:t>nsumul de biocombustibili în UE, pe baza unei analize a originii materiilor prime pentru biocombustibili</w:t>
      </w:r>
      <w:r>
        <w:rPr>
          <w:rFonts w:ascii="Times New Roman" w:hAnsi="Times New Roman"/>
          <w:noProof/>
          <w:sz w:val="24"/>
          <w:vertAlign w:val="superscript"/>
        </w:rPr>
        <w:footnoteReference w:id="35"/>
      </w:r>
      <w:r>
        <w:rPr>
          <w:rFonts w:ascii="Times New Roman" w:hAnsi="Times New Roman"/>
          <w:noProof/>
          <w:sz w:val="24"/>
        </w:rPr>
        <w:t>. Din această suprafață, 3,6 Mha (73 %) se află pe teritoriul UE și restul de 1,3 Mha (26 %) se află în țări terțe. În ceea ce privește suprafața total</w:t>
      </w:r>
      <w:r>
        <w:rPr>
          <w:rFonts w:ascii="Times New Roman" w:hAnsi="Times New Roman"/>
          <w:noProof/>
          <w:sz w:val="24"/>
        </w:rPr>
        <w:t>ă de terenuri cultivate destinate producției de biocombustibili, în UE, aceasta a fost de 3,1 % (pe baza unei estimări a suprafeței totale a terenurilor cultivate din UE de 115 Mha), rapița reprezentând 56 % din proporția suprafeței totale de terenuri util</w:t>
      </w:r>
      <w:r>
        <w:rPr>
          <w:rFonts w:ascii="Times New Roman" w:hAnsi="Times New Roman"/>
          <w:noProof/>
          <w:sz w:val="24"/>
        </w:rPr>
        <w:t>izate pentru producția de biocombustibili. Din cele patru țări principale din afara UE care furnizează culturi pentru producția de biocombustibili pentru consum în UE (Ucraina, Brazilia, Indonezia și Malaysia), mai puțin de 0,5 % din suprafața lor totală d</w:t>
      </w:r>
      <w:r>
        <w:rPr>
          <w:rFonts w:ascii="Times New Roman" w:hAnsi="Times New Roman"/>
          <w:noProof/>
          <w:sz w:val="24"/>
        </w:rPr>
        <w:t xml:space="preserve">e terenuri cultivate a fost atribuită acestei utilizări. </w:t>
      </w:r>
    </w:p>
    <w:p w:rsidR="001C1F3A" w:rsidRDefault="004E78CF">
      <w:pPr>
        <w:jc w:val="both"/>
        <w:rPr>
          <w:rFonts w:ascii="Times New Roman" w:eastAsia="Calibri" w:hAnsi="Times New Roman" w:cs="Times New Roman"/>
          <w:noProof/>
          <w:sz w:val="24"/>
          <w:szCs w:val="24"/>
        </w:rPr>
      </w:pPr>
      <w:r>
        <w:rPr>
          <w:rFonts w:ascii="Times New Roman" w:hAnsi="Times New Roman"/>
          <w:noProof/>
          <w:sz w:val="24"/>
        </w:rPr>
        <w:t>Conform informațiilor raportate de statele membre, reducerea totală a emisiilor determinată de consumul de biocombustibili din UE în 2016 este estimată la 33,2 Mtone de CO</w:t>
      </w:r>
      <w:r>
        <w:rPr>
          <w:rFonts w:ascii="Times New Roman" w:hAnsi="Times New Roman"/>
          <w:noProof/>
          <w:sz w:val="24"/>
          <w:vertAlign w:val="subscript"/>
        </w:rPr>
        <w:t>2 echivalent</w:t>
      </w:r>
      <w:r>
        <w:rPr>
          <w:rFonts w:ascii="Times New Roman" w:hAnsi="Times New Roman"/>
          <w:noProof/>
          <w:sz w:val="24"/>
        </w:rPr>
        <w:t>. Luând în cons</w:t>
      </w:r>
      <w:r>
        <w:rPr>
          <w:rFonts w:ascii="Times New Roman" w:hAnsi="Times New Roman"/>
          <w:noProof/>
          <w:sz w:val="24"/>
        </w:rPr>
        <w:t>iderare emisiile legate de ILUC estimate pornind de la volumul materiilor prime produse în 2016 înmulțit cu valorile medii corespunzătoare provenite din Directiva ILUC, volumul total al emisiilor generate de utilizarea biocombustibililor în transporturi în</w:t>
      </w:r>
      <w:r>
        <w:rPr>
          <w:rFonts w:ascii="Times New Roman" w:hAnsi="Times New Roman"/>
          <w:noProof/>
          <w:sz w:val="24"/>
        </w:rPr>
        <w:t xml:space="preserve"> UE a scăzut la 11,8 Mtone de CO</w:t>
      </w:r>
      <w:r>
        <w:rPr>
          <w:rFonts w:ascii="Times New Roman" w:hAnsi="Times New Roman"/>
          <w:noProof/>
          <w:sz w:val="24"/>
          <w:vertAlign w:val="subscript"/>
        </w:rPr>
        <w:t>2eq</w:t>
      </w:r>
      <w:r>
        <w:rPr>
          <w:rFonts w:ascii="Times New Roman" w:hAnsi="Times New Roman"/>
          <w:noProof/>
          <w:sz w:val="24"/>
        </w:rPr>
        <w:t xml:space="preserve"> (cu un interval al reducerilor cuprins între 7,4 și 20,4 Mtone de CO</w:t>
      </w:r>
      <w:r>
        <w:rPr>
          <w:rFonts w:ascii="Times New Roman" w:hAnsi="Times New Roman"/>
          <w:noProof/>
          <w:sz w:val="24"/>
          <w:vertAlign w:val="subscript"/>
        </w:rPr>
        <w:t>2eq</w:t>
      </w:r>
      <w:r>
        <w:rPr>
          <w:rFonts w:ascii="Times New Roman" w:hAnsi="Times New Roman"/>
          <w:noProof/>
          <w:sz w:val="24"/>
        </w:rPr>
        <w:t>)</w:t>
      </w:r>
      <w:r>
        <w:rPr>
          <w:rFonts w:ascii="Times New Roman" w:hAnsi="Times New Roman"/>
          <w:noProof/>
          <w:sz w:val="24"/>
          <w:vertAlign w:val="superscript"/>
        </w:rPr>
        <w:footnoteReference w:id="36"/>
      </w:r>
      <w:r>
        <w:rPr>
          <w:rFonts w:ascii="Times New Roman" w:hAnsi="Times New Roman"/>
          <w:noProof/>
          <w:sz w:val="24"/>
        </w:rPr>
        <w:t xml:space="preserve">. </w:t>
      </w:r>
    </w:p>
    <w:p w:rsidR="001C1F3A" w:rsidRDefault="004E78CF">
      <w:pPr>
        <w:jc w:val="both"/>
        <w:rPr>
          <w:rFonts w:ascii="Times New Roman" w:eastAsia="Calibri" w:hAnsi="Times New Roman" w:cs="Times New Roman"/>
          <w:noProof/>
          <w:sz w:val="24"/>
          <w:szCs w:val="24"/>
        </w:rPr>
      </w:pPr>
      <w:r>
        <w:rPr>
          <w:rFonts w:ascii="Times New Roman" w:hAnsi="Times New Roman"/>
          <w:noProof/>
          <w:sz w:val="24"/>
        </w:rPr>
        <w:t>O recentă trecere în revistă detaliată</w:t>
      </w:r>
      <w:r>
        <w:rPr>
          <w:rFonts w:ascii="Times New Roman" w:hAnsi="Times New Roman"/>
          <w:noProof/>
          <w:sz w:val="24"/>
          <w:vertAlign w:val="superscript"/>
        </w:rPr>
        <w:footnoteReference w:id="37"/>
      </w:r>
      <w:r>
        <w:rPr>
          <w:rFonts w:ascii="Times New Roman" w:hAnsi="Times New Roman"/>
          <w:noProof/>
          <w:sz w:val="24"/>
        </w:rPr>
        <w:t xml:space="preserve"> a celei mai recente literaturi științifice disponibile realizată pentru Comisie, arată că biomotorina es</w:t>
      </w:r>
      <w:r>
        <w:rPr>
          <w:rFonts w:ascii="Times New Roman" w:hAnsi="Times New Roman"/>
          <w:noProof/>
          <w:sz w:val="24"/>
        </w:rPr>
        <w:t>te asociată cu cele mai semnificative impacturi cauzate de ILUC (cu un nivel mediu al emisiilor legate de ILUC de 52 gCO2-eq/MJ), estimările cele mai ridicate din această categorie fiind legate de biomotorina produsă din ulei de palmier, care prezintă și c</w:t>
      </w:r>
      <w:r>
        <w:rPr>
          <w:rFonts w:ascii="Times New Roman" w:hAnsi="Times New Roman"/>
          <w:noProof/>
          <w:sz w:val="24"/>
        </w:rPr>
        <w:t>ea mai mare variație a rezultatelor. Etanolul pe bază de culturi alimentare și furajere are un nivel mediu al emisiilor cauzate de ILUC de 21 g CO</w:t>
      </w:r>
      <w:r>
        <w:rPr>
          <w:rFonts w:ascii="Times New Roman" w:hAnsi="Times New Roman"/>
          <w:noProof/>
          <w:sz w:val="24"/>
          <w:vertAlign w:val="subscript"/>
        </w:rPr>
        <w:t>2</w:t>
      </w:r>
      <w:r>
        <w:rPr>
          <w:rFonts w:ascii="Times New Roman" w:hAnsi="Times New Roman"/>
          <w:noProof/>
          <w:sz w:val="24"/>
        </w:rPr>
        <w:t xml:space="preserve"> echivalent/MJ. </w:t>
      </w:r>
      <w:r>
        <w:rPr>
          <w:rFonts w:ascii="Times New Roman" w:hAnsi="Times New Roman"/>
          <w:noProof/>
          <w:color w:val="000000"/>
          <w:sz w:val="24"/>
        </w:rPr>
        <w:t>Pentru comparație, emisiile estimate provizorii cauzate de ILUC enumerate în anexa VIII a Dir</w:t>
      </w:r>
      <w:r>
        <w:rPr>
          <w:rFonts w:ascii="Times New Roman" w:hAnsi="Times New Roman"/>
          <w:noProof/>
          <w:color w:val="000000"/>
          <w:sz w:val="24"/>
        </w:rPr>
        <w:t>ectivei reformate privind energia din surse regenerabile sunt de 55 gCO2eq/MJ pentru culturile de plante oleaginoase, de 12 gCO2eq/MJ pentru cereale și alte culturi bogate în amidon și de 13 gCO2eq/MJ pentru zaharuri. Trecerea în revistă conține informații</w:t>
      </w:r>
      <w:r>
        <w:rPr>
          <w:rFonts w:ascii="Times New Roman" w:hAnsi="Times New Roman"/>
          <w:noProof/>
          <w:color w:val="000000"/>
          <w:sz w:val="24"/>
        </w:rPr>
        <w:t xml:space="preserve"> suplimentare privind impactul indirect al biocombustibililor. </w:t>
      </w:r>
    </w:p>
    <w:p w:rsidR="001C1F3A" w:rsidRDefault="004E78CF">
      <w:pPr>
        <w:jc w:val="both"/>
        <w:rPr>
          <w:rFonts w:ascii="Times New Roman" w:eastAsia="Calibri" w:hAnsi="Times New Roman" w:cs="Times New Roman"/>
          <w:noProof/>
          <w:sz w:val="24"/>
          <w:szCs w:val="24"/>
        </w:rPr>
      </w:pPr>
      <w:r>
        <w:rPr>
          <w:rFonts w:ascii="Times New Roman" w:hAnsi="Times New Roman"/>
          <w:noProof/>
          <w:sz w:val="24"/>
        </w:rPr>
        <w:t>Cultivarea materiilor prime utilizate pentru producerea biocombustibililor consumați în UE poate avea un impact negativ asupra mediului, în funcție de specificul locului și de metodele agricol</w:t>
      </w:r>
      <w:r>
        <w:rPr>
          <w:rFonts w:ascii="Times New Roman" w:hAnsi="Times New Roman"/>
          <w:noProof/>
          <w:sz w:val="24"/>
        </w:rPr>
        <w:t>e aplicate</w:t>
      </w:r>
      <w:r>
        <w:rPr>
          <w:rStyle w:val="FootnoteReference"/>
          <w:rFonts w:ascii="Times New Roman" w:hAnsi="Times New Roman"/>
          <w:noProof/>
          <w:sz w:val="24"/>
        </w:rPr>
        <w:footnoteReference w:id="38"/>
      </w:r>
      <w:r>
        <w:rPr>
          <w:rFonts w:ascii="Times New Roman" w:hAnsi="Times New Roman"/>
          <w:noProof/>
          <w:sz w:val="24"/>
        </w:rPr>
        <w:t>. În rapoartele lor privind progresele înregistrate, majoritatea statelor membre au indicat o cultivare limitată a materiilor prime utilizate pentru producerea de biocombustibili în comparație cu activitățile agricole totale și, prin urmare, con</w:t>
      </w:r>
      <w:r>
        <w:rPr>
          <w:rFonts w:ascii="Times New Roman" w:hAnsi="Times New Roman"/>
          <w:noProof/>
          <w:sz w:val="24"/>
        </w:rPr>
        <w:t>sideră că impactul asociat asupra mediului este nesemnificativ. Câteva state membre subliniază că întreaga producție agricolă este reglementată în ceea ce privește impactul asupra mediului și, prin urmare, consideră că nu ar trebui să se preconizeze un alt</w:t>
      </w:r>
      <w:r>
        <w:rPr>
          <w:rFonts w:ascii="Times New Roman" w:hAnsi="Times New Roman"/>
          <w:noProof/>
          <w:sz w:val="24"/>
        </w:rPr>
        <w:t xml:space="preserve"> impact al producției de culturi pentru biocombustibili decât cel preconizat pentru alte culturi</w:t>
      </w:r>
      <w:r>
        <w:rPr>
          <w:rStyle w:val="FootnoteReference"/>
          <w:rFonts w:ascii="Times New Roman" w:hAnsi="Times New Roman"/>
          <w:noProof/>
          <w:sz w:val="24"/>
        </w:rPr>
        <w:footnoteReference w:id="39"/>
      </w:r>
      <w:r>
        <w:rPr>
          <w:rFonts w:ascii="Times New Roman" w:hAnsi="Times New Roman"/>
          <w:noProof/>
          <w:sz w:val="24"/>
        </w:rPr>
        <w:t>. Un studiu extern</w:t>
      </w:r>
      <w:r>
        <w:rPr>
          <w:rStyle w:val="FootnoteReference"/>
          <w:rFonts w:ascii="Times New Roman" w:hAnsi="Times New Roman"/>
          <w:noProof/>
          <w:sz w:val="24"/>
        </w:rPr>
        <w:footnoteReference w:id="40"/>
      </w:r>
      <w:r>
        <w:rPr>
          <w:rFonts w:ascii="Times New Roman" w:hAnsi="Times New Roman"/>
          <w:noProof/>
          <w:sz w:val="24"/>
        </w:rPr>
        <w:t xml:space="preserve"> prezintă o evaluare detaliată a impactului asupra mediului a biocombustibililor consumați în UE. De asemenea, Comisia a publicat recent un raport cuprinzător în care sunt prezentate ultimele date disponibile și o evaluare a stadiului extinderii la scară m</w:t>
      </w:r>
      <w:r>
        <w:rPr>
          <w:rFonts w:ascii="Times New Roman" w:hAnsi="Times New Roman"/>
          <w:noProof/>
          <w:sz w:val="24"/>
        </w:rPr>
        <w:t>ondială a producției de culturi relevante pentru alimente și furaje</w:t>
      </w:r>
      <w:r>
        <w:rPr>
          <w:rStyle w:val="FootnoteReference"/>
          <w:rFonts w:ascii="Times New Roman" w:hAnsi="Times New Roman"/>
          <w:noProof/>
          <w:sz w:val="24"/>
        </w:rPr>
        <w:footnoteReference w:id="41"/>
      </w:r>
      <w:r>
        <w:rPr>
          <w:rFonts w:ascii="Times New Roman" w:hAnsi="Times New Roman"/>
          <w:noProof/>
          <w:sz w:val="24"/>
        </w:rPr>
        <w:t>.</w:t>
      </w:r>
    </w:p>
    <w:p w:rsidR="001C1F3A" w:rsidRDefault="004E78CF">
      <w:pPr>
        <w:jc w:val="both"/>
        <w:rPr>
          <w:rFonts w:ascii="Times New Roman" w:eastAsia="Calibri" w:hAnsi="Times New Roman" w:cs="Times New Roman"/>
          <w:noProof/>
          <w:sz w:val="24"/>
          <w:szCs w:val="24"/>
        </w:rPr>
      </w:pPr>
      <w:r>
        <w:rPr>
          <w:rFonts w:ascii="Times New Roman" w:hAnsi="Times New Roman"/>
          <w:noProof/>
          <w:sz w:val="24"/>
        </w:rPr>
        <w:t>Cadrul UE privind durabilitatea bioenergiei a fost consolidat prin Directiva reformată privind energia din surse regenerabile. În mod special, în directivă sunt fixate limite la nivel na</w:t>
      </w:r>
      <w:r>
        <w:rPr>
          <w:rFonts w:ascii="Times New Roman" w:hAnsi="Times New Roman"/>
          <w:noProof/>
          <w:sz w:val="24"/>
        </w:rPr>
        <w:t>ț</w:t>
      </w:r>
      <w:r>
        <w:rPr>
          <w:rFonts w:ascii="Times New Roman" w:hAnsi="Times New Roman"/>
          <w:noProof/>
          <w:sz w:val="24"/>
        </w:rPr>
        <w:t>ional, care vor fi reduse treptat la zero până în 2030, pentru biocombustibilii, biolichidele și combustibilii proveniți din biomasă produși din culturile pentru alimente și furaje al căror impact cauzat de ILUC est puternic și pentru care s-a constatat o</w:t>
      </w:r>
      <w:r>
        <w:rPr>
          <w:rFonts w:ascii="Times New Roman" w:hAnsi="Times New Roman"/>
          <w:noProof/>
          <w:sz w:val="24"/>
        </w:rPr>
        <w:t xml:space="preserve"> extindere semnificativă a zonelor de producție în terenuri cu stocuri mari de carbon. Aceste limite vor afecta cantitatea de combustibili care poate fi luată în considerare la calculul ponderii globale de surse regenerabile de energie și a ponderii de sur</w:t>
      </w:r>
      <w:r>
        <w:rPr>
          <w:rFonts w:ascii="Times New Roman" w:hAnsi="Times New Roman"/>
          <w:noProof/>
          <w:sz w:val="24"/>
        </w:rPr>
        <w:t>se regenerabile de energie din transporturi. Cu toate acestea, directiva face posibilă scutirea de la plafoanele naționale a acelor biocombustibili, biolichide și combustibili din biomasă care sunt certificați ca prezentând un risc scăzut din perspectiva I</w:t>
      </w:r>
      <w:r>
        <w:rPr>
          <w:rFonts w:ascii="Times New Roman" w:hAnsi="Times New Roman"/>
          <w:noProof/>
          <w:sz w:val="24"/>
        </w:rPr>
        <w:t xml:space="preserve">LUC. </w:t>
      </w:r>
    </w:p>
    <w:p w:rsidR="001C1F3A" w:rsidRDefault="004E78CF">
      <w:pPr>
        <w:jc w:val="both"/>
        <w:rPr>
          <w:rFonts w:ascii="Times New Roman" w:eastAsia="Calibri" w:hAnsi="Times New Roman" w:cs="Times New Roman"/>
          <w:noProof/>
          <w:sz w:val="24"/>
          <w:szCs w:val="24"/>
        </w:rPr>
      </w:pPr>
      <w:r>
        <w:rPr>
          <w:rFonts w:ascii="Times New Roman" w:hAnsi="Times New Roman"/>
          <w:noProof/>
          <w:sz w:val="24"/>
        </w:rPr>
        <w:t>Pentru a pune în aplicare această abordare, la 13 martie 2019, Comisia a adopta un act delegat privind biocombustibilii care prezintă riscuri ridicate și reduse din perspectiva ILUC</w:t>
      </w:r>
      <w:r>
        <w:rPr>
          <w:rStyle w:val="FootnoteReference"/>
          <w:rFonts w:ascii="Times New Roman" w:hAnsi="Times New Roman"/>
          <w:noProof/>
          <w:sz w:val="24"/>
        </w:rPr>
        <w:footnoteReference w:id="42"/>
      </w:r>
      <w:r>
        <w:rPr>
          <w:rFonts w:ascii="Times New Roman" w:hAnsi="Times New Roman"/>
          <w:noProof/>
          <w:sz w:val="24"/>
        </w:rPr>
        <w:t>, care se află în prezent la Consiliu și la Parlamentul European pen</w:t>
      </w:r>
      <w:r>
        <w:rPr>
          <w:rFonts w:ascii="Times New Roman" w:hAnsi="Times New Roman"/>
          <w:noProof/>
          <w:sz w:val="24"/>
        </w:rPr>
        <w:t xml:space="preserve">tru examinare. În general, UE a decis să pună accentul în viitor pe promovarea biocombustibililor avansați și pe alți combustibili cu emisii reduse de dioxid de carbon, cum ar fi energia electrică produsă din surse regenerabile și combustibilii lichizi și </w:t>
      </w:r>
      <w:r>
        <w:rPr>
          <w:rFonts w:ascii="Times New Roman" w:hAnsi="Times New Roman"/>
          <w:noProof/>
          <w:sz w:val="24"/>
        </w:rPr>
        <w:t>gazoși regenerabili de origine nebiologică. În prezent, biocombustibilii avansați dețin o cotă de piață foarte mică, însă există un potențial semnificativ de dezvoltare a producției. Comisia va promova în continuare dezvoltarea biocombustibililor avansați,</w:t>
      </w:r>
      <w:r>
        <w:rPr>
          <w:rFonts w:ascii="Times New Roman" w:hAnsi="Times New Roman"/>
          <w:noProof/>
          <w:sz w:val="24"/>
        </w:rPr>
        <w:t xml:space="preserve"> inclusiv prin explorarea surselor pentru noi materii prime potențiale. Deși, în acest moment, nu există dovezi științifice suficiente disponibile pentru a justifica mărirea bazei de materii prime pentru biocombustibilii avansați, conform anexei IX la Dire</w:t>
      </w:r>
      <w:r>
        <w:rPr>
          <w:rFonts w:ascii="Times New Roman" w:hAnsi="Times New Roman"/>
          <w:noProof/>
          <w:sz w:val="24"/>
        </w:rPr>
        <w:t>ctiva privind energia din surse regenerabile II, Comisia va evalua în continuare dacă materiile prime suplimentare ar putea fi utilizate pentru producția de biocombustibili avansați în viitor</w:t>
      </w:r>
      <w:r>
        <w:rPr>
          <w:rStyle w:val="FootnoteReference"/>
          <w:rFonts w:ascii="Times New Roman" w:hAnsi="Times New Roman"/>
          <w:noProof/>
          <w:sz w:val="24"/>
        </w:rPr>
        <w:footnoteReference w:id="43"/>
      </w:r>
      <w:r>
        <w:rPr>
          <w:rFonts w:ascii="Times New Roman" w:hAnsi="Times New Roman"/>
          <w:noProof/>
          <w:sz w:val="24"/>
        </w:rPr>
        <w:t>.</w:t>
      </w:r>
    </w:p>
    <w:p w:rsidR="001C1F3A" w:rsidRDefault="004E78CF">
      <w:pPr>
        <w:pStyle w:val="Heading2"/>
        <w:numPr>
          <w:ilvl w:val="0"/>
          <w:numId w:val="28"/>
        </w:numPr>
        <w:spacing w:after="120"/>
        <w:rPr>
          <w:noProof/>
        </w:rPr>
      </w:pPr>
      <w:r>
        <w:rPr>
          <w:noProof/>
        </w:rPr>
        <w:t xml:space="preserve">Funcționarea sistemelor voluntare recunoscute de Comisie </w:t>
      </w:r>
    </w:p>
    <w:p w:rsidR="001C1F3A" w:rsidRDefault="004E78CF">
      <w:pPr>
        <w:spacing w:before="240"/>
        <w:jc w:val="both"/>
        <w:rPr>
          <w:rFonts w:ascii="Times New Roman" w:eastAsia="Calibri" w:hAnsi="Times New Roman" w:cs="Times New Roman"/>
          <w:noProof/>
          <w:sz w:val="24"/>
          <w:szCs w:val="24"/>
        </w:rPr>
      </w:pPr>
      <w:r>
        <w:rPr>
          <w:rFonts w:ascii="Times New Roman" w:hAnsi="Times New Roman"/>
          <w:noProof/>
          <w:sz w:val="24"/>
        </w:rPr>
        <w:t>Dire</w:t>
      </w:r>
      <w:r>
        <w:rPr>
          <w:rFonts w:ascii="Times New Roman" w:hAnsi="Times New Roman"/>
          <w:noProof/>
          <w:sz w:val="24"/>
        </w:rPr>
        <w:t>ctiva privind energia din surse regenerabile I autorizează Comisia să recunoască sistemele de certificare internaționale sau naționale, denumite sisteme voluntare, pe care operatorii le pot utiliza pentru a demonstra respectarea criteriilor de durabilitate</w:t>
      </w:r>
      <w:r>
        <w:rPr>
          <w:rFonts w:ascii="Times New Roman" w:hAnsi="Times New Roman"/>
          <w:noProof/>
          <w:sz w:val="24"/>
        </w:rPr>
        <w:t xml:space="preserve"> și de reducere a gazelor cu efect de seră prevăzute în directiva pentru biocombustibili și biolichide. În prezent, 14 sisteme voluntare au fost recunoscute în acest scop</w:t>
      </w:r>
      <w:r>
        <w:rPr>
          <w:noProof/>
          <w:vertAlign w:val="superscript"/>
        </w:rPr>
        <w:footnoteReference w:id="44"/>
      </w:r>
      <w:r>
        <w:rPr>
          <w:rFonts w:ascii="Times New Roman" w:hAnsi="Times New Roman"/>
          <w:noProof/>
          <w:sz w:val="24"/>
        </w:rPr>
        <w:t>. Statele membre trebuie să accepte dovezile privind criteriile de durabilitate obțin</w:t>
      </w:r>
      <w:r>
        <w:rPr>
          <w:rFonts w:ascii="Times New Roman" w:hAnsi="Times New Roman"/>
          <w:noProof/>
          <w:sz w:val="24"/>
        </w:rPr>
        <w:t>ute de operatorii care participă la aceste sisteme. Această dispoziție facilitează în mare măsură implementarea criteriilor de durabilitate, deoarece ea permite operatorilor să furnizeze dovezile cerute urmând o procedură administrativă unică în toate stat</w:t>
      </w:r>
      <w:r>
        <w:rPr>
          <w:rFonts w:ascii="Times New Roman" w:hAnsi="Times New Roman"/>
          <w:noProof/>
          <w:sz w:val="24"/>
        </w:rPr>
        <w:t>ele membre</w:t>
      </w:r>
      <w:r>
        <w:rPr>
          <w:noProof/>
          <w:vertAlign w:val="superscript"/>
        </w:rPr>
        <w:footnoteReference w:id="45"/>
      </w:r>
      <w:r>
        <w:rPr>
          <w:rFonts w:ascii="Times New Roman" w:hAnsi="Times New Roman"/>
          <w:noProof/>
          <w:sz w:val="24"/>
        </w:rPr>
        <w:t>. Pentru fiecare sistem voluntar pentru care a fost adoptată o decizie și care a fost funcțional în ultimele 12 luni trebuie prezentat Comisiei anual un raport</w:t>
      </w:r>
      <w:r>
        <w:rPr>
          <w:rStyle w:val="FootnoteReference"/>
          <w:rFonts w:ascii="Times New Roman" w:hAnsi="Times New Roman"/>
          <w:noProof/>
          <w:sz w:val="24"/>
        </w:rPr>
        <w:footnoteReference w:id="46"/>
      </w:r>
      <w:r>
        <w:rPr>
          <w:rFonts w:ascii="Times New Roman" w:hAnsi="Times New Roman"/>
          <w:noProof/>
          <w:sz w:val="24"/>
        </w:rPr>
        <w:t xml:space="preserve">. </w:t>
      </w:r>
    </w:p>
    <w:p w:rsidR="001C1F3A" w:rsidRDefault="004E78CF">
      <w:pPr>
        <w:jc w:val="both"/>
        <w:rPr>
          <w:rFonts w:ascii="Times New Roman" w:eastAsia="Calibri" w:hAnsi="Times New Roman" w:cs="Times New Roman"/>
          <w:noProof/>
          <w:sz w:val="24"/>
          <w:szCs w:val="24"/>
        </w:rPr>
      </w:pPr>
      <w:r>
        <w:rPr>
          <w:rFonts w:ascii="Times New Roman" w:hAnsi="Times New Roman"/>
          <w:noProof/>
          <w:sz w:val="24"/>
        </w:rPr>
        <w:t xml:space="preserve">În ultimii câțiva ani, sistemele voluntare au devenit principalul instrument </w:t>
      </w:r>
      <w:r>
        <w:rPr>
          <w:rFonts w:ascii="Times New Roman" w:hAnsi="Times New Roman"/>
          <w:noProof/>
          <w:sz w:val="24"/>
        </w:rPr>
        <w:t>pentru a demonstra îndeplinirea criteriilor UE de durabilitate a biocombustibililor. În cursul anului calendaristic 2017, 21 429 de kilotone (kt) de biocombustibili lichizi (inclusiv ulei vegetal pur), 140 045 mii m</w:t>
      </w:r>
      <w:r>
        <w:rPr>
          <w:rFonts w:ascii="Times New Roman" w:hAnsi="Times New Roman"/>
          <w:noProof/>
          <w:sz w:val="24"/>
          <w:vertAlign w:val="superscript"/>
        </w:rPr>
        <w:t>3</w:t>
      </w:r>
      <w:r>
        <w:rPr>
          <w:rFonts w:ascii="Times New Roman" w:hAnsi="Times New Roman"/>
          <w:noProof/>
          <w:sz w:val="24"/>
        </w:rPr>
        <w:t xml:space="preserve"> de biometan (echivalentul a aproximativ</w:t>
      </w:r>
      <w:r>
        <w:rPr>
          <w:rFonts w:ascii="Times New Roman" w:hAnsi="Times New Roman"/>
          <w:noProof/>
          <w:sz w:val="24"/>
        </w:rPr>
        <w:t xml:space="preserve"> 100,8 kt) și 119 119 kt de materii prime au fost certificate ca îndeplinind criteriile de durabilitate ale UE stabilite la articolul 17 alineatele (2)-(5) din Directiva privind energia din surse regenerabile. Analizând mai în detaliu biocombustibilii lich</w:t>
      </w:r>
      <w:r>
        <w:rPr>
          <w:rFonts w:ascii="Times New Roman" w:hAnsi="Times New Roman"/>
          <w:noProof/>
          <w:sz w:val="24"/>
        </w:rPr>
        <w:t>izi certificați, 12 198 kt (57 % din cantitatea totală) au fost compuși din biomotorină și 6 224 kt (29 %) din bioetanol. Restul a fost format din biocombustibili proveniți din ulei vegetal hidrotratat (1 784 kt, 8 %), ulei vegetal pur (1 053 kt, 5 %) și a</w:t>
      </w:r>
      <w:r>
        <w:rPr>
          <w:rFonts w:ascii="Times New Roman" w:hAnsi="Times New Roman"/>
          <w:noProof/>
          <w:sz w:val="24"/>
        </w:rPr>
        <w:t xml:space="preserve">lți combustibili. Cele mai mari volume de materii prime certificate utilizate pentru biocombustibili au fost reprezentate de rapiță (27 %), ulei de palmier (16 %), ulei alimentar uzat (13 %) și porumb (12 %). </w:t>
      </w:r>
    </w:p>
    <w:p w:rsidR="001C1F3A" w:rsidRDefault="004E78CF">
      <w:pPr>
        <w:jc w:val="both"/>
        <w:rPr>
          <w:rFonts w:ascii="Times New Roman" w:eastAsia="Calibri" w:hAnsi="Times New Roman" w:cs="Times New Roman"/>
          <w:noProof/>
          <w:sz w:val="24"/>
          <w:szCs w:val="24"/>
        </w:rPr>
      </w:pPr>
      <w:r>
        <w:rPr>
          <w:rFonts w:ascii="Times New Roman" w:hAnsi="Times New Roman"/>
          <w:noProof/>
          <w:sz w:val="24"/>
        </w:rPr>
        <w:t>Comisia recunoaște doar sistemele care îndepli</w:t>
      </w:r>
      <w:r>
        <w:rPr>
          <w:rFonts w:ascii="Times New Roman" w:hAnsi="Times New Roman"/>
          <w:noProof/>
          <w:sz w:val="24"/>
        </w:rPr>
        <w:t>nesc standarde adecvate de fiabilitate, transparență și audit independent. În acest scop, Comisia efectuează o evaluare aprofundată a sistemelor voluntare care necesită recunoaștere</w:t>
      </w:r>
      <w:r>
        <w:rPr>
          <w:rStyle w:val="FootnoteReference"/>
          <w:rFonts w:ascii="Times New Roman" w:hAnsi="Times New Roman"/>
          <w:noProof/>
          <w:sz w:val="24"/>
        </w:rPr>
        <w:footnoteReference w:id="47"/>
      </w:r>
      <w:r>
        <w:rPr>
          <w:rFonts w:ascii="Times New Roman" w:hAnsi="Times New Roman"/>
          <w:noProof/>
          <w:sz w:val="24"/>
        </w:rPr>
        <w:t xml:space="preserve">. Acest lucru asigură, printre altele, faptul că: producătorii de materii </w:t>
      </w:r>
      <w:r>
        <w:rPr>
          <w:rFonts w:ascii="Times New Roman" w:hAnsi="Times New Roman"/>
          <w:noProof/>
          <w:sz w:val="24"/>
        </w:rPr>
        <w:t xml:space="preserve">prime îndeplinesc criteriile de durabilitate prevăzute în Directiva privind energia din surse regenerabile I, informațiile privind caracteristicile de durabilitate pot fi urmărite până la originea materiilor prime, întreprinderile sunt auditate înainte de </w:t>
      </w:r>
      <w:r>
        <w:rPr>
          <w:rFonts w:ascii="Times New Roman" w:hAnsi="Times New Roman"/>
          <w:noProof/>
          <w:sz w:val="24"/>
        </w:rPr>
        <w:t>a începe să participe la sistem, au loc periodic audituri retroactive iar auditorii sunt externi și independenți.</w:t>
      </w:r>
    </w:p>
    <w:p w:rsidR="001C1F3A" w:rsidRDefault="004E78CF">
      <w:pPr>
        <w:jc w:val="both"/>
        <w:rPr>
          <w:rFonts w:ascii="Times New Roman" w:eastAsia="Calibri" w:hAnsi="Times New Roman" w:cs="Times New Roman"/>
          <w:noProof/>
          <w:sz w:val="24"/>
          <w:szCs w:val="24"/>
        </w:rPr>
      </w:pPr>
      <w:r>
        <w:rPr>
          <w:rFonts w:ascii="Times New Roman" w:hAnsi="Times New Roman"/>
          <w:noProof/>
          <w:sz w:val="24"/>
        </w:rPr>
        <w:t>În ultimii ani, guvernanța sistemelor voluntare a făcut obiectul unui control public din ce în ce mai atent</w:t>
      </w:r>
      <w:r>
        <w:rPr>
          <w:rStyle w:val="FootnoteReference"/>
          <w:rFonts w:ascii="Times New Roman" w:hAnsi="Times New Roman"/>
          <w:noProof/>
          <w:sz w:val="24"/>
        </w:rPr>
        <w:footnoteReference w:id="48"/>
      </w:r>
      <w:r>
        <w:rPr>
          <w:rFonts w:ascii="Times New Roman" w:hAnsi="Times New Roman"/>
          <w:noProof/>
          <w:sz w:val="24"/>
        </w:rPr>
        <w:t>. Pentru a aborda aceste preocupăr</w:t>
      </w:r>
      <w:r>
        <w:rPr>
          <w:rFonts w:ascii="Times New Roman" w:hAnsi="Times New Roman"/>
          <w:noProof/>
          <w:sz w:val="24"/>
        </w:rPr>
        <w:t>i și pentru a garanta o punere în aplicare solidă, articolul 30 din Directiva privind energia din surse regenerabile II include norme consolidate pentru verificarea criteriilor de durabilitate a bioenergiei, inclusiv o supraveghere mai puternică la nivel n</w:t>
      </w:r>
      <w:r>
        <w:rPr>
          <w:rFonts w:ascii="Times New Roman" w:hAnsi="Times New Roman"/>
          <w:noProof/>
          <w:sz w:val="24"/>
        </w:rPr>
        <w:t>ațional și la nivelul UE a sistemelor voluntare, precum și audit terț. În plus, Comisia trebuie să adopte norme detaliate de punere în aplicare cu privire la standardele adecvate de fiabilitate, transparență și audit independent și să solicite tuturor sist</w:t>
      </w:r>
      <w:r>
        <w:rPr>
          <w:rFonts w:ascii="Times New Roman" w:hAnsi="Times New Roman"/>
          <w:noProof/>
          <w:sz w:val="24"/>
        </w:rPr>
        <w:t xml:space="preserve">emelor voluntare recunoscute să le aplice. În final, Comisia va institui o bază de date europeană pentru a îmbunătăți monitorizarea biocombustibililor durabili. </w:t>
      </w:r>
    </w:p>
    <w:p w:rsidR="001C1F3A" w:rsidRDefault="001C1F3A">
      <w:pPr>
        <w:jc w:val="both"/>
        <w:rPr>
          <w:rFonts w:ascii="Times New Roman" w:eastAsia="Calibri" w:hAnsi="Times New Roman" w:cs="Times New Roman"/>
          <w:noProof/>
          <w:sz w:val="24"/>
          <w:szCs w:val="24"/>
        </w:rPr>
      </w:pPr>
    </w:p>
    <w:tbl>
      <w:tblPr>
        <w:tblStyle w:val="TableGrid"/>
        <w:tblW w:w="0" w:type="auto"/>
        <w:tblLook w:val="04A0" w:firstRow="1" w:lastRow="0" w:firstColumn="1" w:lastColumn="0" w:noHBand="0" w:noVBand="1"/>
      </w:tblPr>
      <w:tblGrid>
        <w:gridCol w:w="2660"/>
        <w:gridCol w:w="2126"/>
        <w:gridCol w:w="1843"/>
        <w:gridCol w:w="2613"/>
      </w:tblGrid>
      <w:tr w:rsidR="001C1F3A">
        <w:trPr>
          <w:trHeight w:val="435"/>
        </w:trPr>
        <w:tc>
          <w:tcPr>
            <w:tcW w:w="2660" w:type="dxa"/>
          </w:tcPr>
          <w:p w:rsidR="001C1F3A" w:rsidRDefault="004E78CF">
            <w:pPr>
              <w:keepNext/>
              <w:jc w:val="center"/>
              <w:rPr>
                <w:rFonts w:ascii="Times New Roman" w:eastAsia="Calibri" w:hAnsi="Times New Roman" w:cs="Times New Roman"/>
                <w:b/>
                <w:bCs/>
                <w:noProof/>
                <w:sz w:val="20"/>
                <w:szCs w:val="20"/>
              </w:rPr>
            </w:pPr>
            <w:bookmarkStart w:id="12" w:name="RANGE!B1:E16"/>
            <w:r>
              <w:rPr>
                <w:rFonts w:ascii="Times New Roman" w:hAnsi="Times New Roman"/>
                <w:b/>
                <w:noProof/>
                <w:sz w:val="20"/>
              </w:rPr>
              <w:t>Sistemul voluntar</w:t>
            </w:r>
            <w:bookmarkEnd w:id="12"/>
          </w:p>
        </w:tc>
        <w:tc>
          <w:tcPr>
            <w:tcW w:w="6582" w:type="dxa"/>
            <w:gridSpan w:val="3"/>
          </w:tcPr>
          <w:p w:rsidR="001C1F3A" w:rsidRDefault="004E78CF">
            <w:pPr>
              <w:keepNext/>
              <w:jc w:val="center"/>
              <w:rPr>
                <w:rFonts w:ascii="Times New Roman" w:eastAsia="Calibri" w:hAnsi="Times New Roman" w:cs="Times New Roman"/>
                <w:b/>
                <w:bCs/>
                <w:noProof/>
                <w:sz w:val="20"/>
                <w:szCs w:val="20"/>
              </w:rPr>
            </w:pPr>
            <w:r>
              <w:rPr>
                <w:rFonts w:ascii="Times New Roman" w:hAnsi="Times New Roman"/>
                <w:b/>
                <w:noProof/>
                <w:sz w:val="20"/>
              </w:rPr>
              <w:t>Domeniul de aplicare</w:t>
            </w:r>
          </w:p>
        </w:tc>
      </w:tr>
      <w:tr w:rsidR="001C1F3A">
        <w:trPr>
          <w:trHeight w:val="265"/>
        </w:trPr>
        <w:tc>
          <w:tcPr>
            <w:tcW w:w="2660" w:type="dxa"/>
          </w:tcPr>
          <w:p w:rsidR="001C1F3A" w:rsidRDefault="004E78CF">
            <w:pPr>
              <w:keepNext/>
              <w:jc w:val="center"/>
              <w:rPr>
                <w:rFonts w:ascii="Times New Roman" w:eastAsia="Calibri" w:hAnsi="Times New Roman"/>
                <w:i/>
                <w:noProof/>
                <w:sz w:val="20"/>
              </w:rPr>
            </w:pPr>
            <w:r>
              <w:rPr>
                <w:rFonts w:ascii="Times New Roman" w:hAnsi="Times New Roman"/>
                <w:i/>
                <w:noProof/>
                <w:sz w:val="20"/>
              </w:rPr>
              <w:t>Denumire</w:t>
            </w:r>
          </w:p>
        </w:tc>
        <w:tc>
          <w:tcPr>
            <w:tcW w:w="2126" w:type="dxa"/>
          </w:tcPr>
          <w:p w:rsidR="001C1F3A" w:rsidRDefault="004E78CF">
            <w:pPr>
              <w:keepNext/>
              <w:jc w:val="center"/>
              <w:rPr>
                <w:rFonts w:ascii="Times New Roman" w:eastAsia="Calibri" w:hAnsi="Times New Roman"/>
                <w:i/>
                <w:noProof/>
                <w:sz w:val="20"/>
              </w:rPr>
            </w:pPr>
            <w:r>
              <w:rPr>
                <w:rFonts w:ascii="Times New Roman" w:hAnsi="Times New Roman"/>
                <w:i/>
                <w:noProof/>
                <w:sz w:val="20"/>
              </w:rPr>
              <w:t>Tipul de materie primă</w:t>
            </w:r>
          </w:p>
        </w:tc>
        <w:tc>
          <w:tcPr>
            <w:tcW w:w="1843" w:type="dxa"/>
          </w:tcPr>
          <w:p w:rsidR="001C1F3A" w:rsidRDefault="004E78CF">
            <w:pPr>
              <w:keepNext/>
              <w:jc w:val="center"/>
              <w:rPr>
                <w:rFonts w:ascii="Times New Roman" w:eastAsia="Calibri" w:hAnsi="Times New Roman"/>
                <w:i/>
                <w:noProof/>
                <w:sz w:val="20"/>
              </w:rPr>
            </w:pPr>
            <w:r>
              <w:rPr>
                <w:rFonts w:ascii="Times New Roman" w:hAnsi="Times New Roman"/>
                <w:i/>
                <w:noProof/>
                <w:sz w:val="20"/>
              </w:rPr>
              <w:t xml:space="preserve">Originea materiei </w:t>
            </w:r>
            <w:r>
              <w:rPr>
                <w:rFonts w:ascii="Times New Roman" w:hAnsi="Times New Roman"/>
                <w:i/>
                <w:noProof/>
                <w:sz w:val="20"/>
              </w:rPr>
              <w:t>prime</w:t>
            </w:r>
          </w:p>
        </w:tc>
        <w:tc>
          <w:tcPr>
            <w:tcW w:w="2613" w:type="dxa"/>
          </w:tcPr>
          <w:p w:rsidR="001C1F3A" w:rsidRDefault="004E78CF">
            <w:pPr>
              <w:keepNext/>
              <w:jc w:val="center"/>
              <w:rPr>
                <w:rFonts w:ascii="Times New Roman" w:eastAsia="Calibri" w:hAnsi="Times New Roman"/>
                <w:i/>
                <w:noProof/>
                <w:sz w:val="20"/>
              </w:rPr>
            </w:pPr>
            <w:r>
              <w:rPr>
                <w:rFonts w:ascii="Times New Roman" w:hAnsi="Times New Roman"/>
                <w:i/>
                <w:noProof/>
                <w:sz w:val="20"/>
              </w:rPr>
              <w:t>Lanțul de aprovizionare acoperit</w:t>
            </w:r>
          </w:p>
        </w:tc>
      </w:tr>
      <w:tr w:rsidR="001C1F3A">
        <w:trPr>
          <w:trHeight w:val="555"/>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International Sustainability and Carbon Certification (ISCC)</w:t>
            </w:r>
          </w:p>
        </w:tc>
        <w:tc>
          <w:tcPr>
            <w:tcW w:w="2126" w:type="dxa"/>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Gamă largă de materii prime</w:t>
            </w:r>
          </w:p>
        </w:tc>
        <w:tc>
          <w:tcPr>
            <w:tcW w:w="1843" w:type="dxa"/>
            <w:noWrap/>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La nivel mondial</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Întregul lanț de aprovizionare</w:t>
            </w:r>
          </w:p>
        </w:tc>
      </w:tr>
      <w:tr w:rsidR="001C1F3A">
        <w:trPr>
          <w:trHeight w:val="360"/>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Bonsucro UE</w:t>
            </w:r>
          </w:p>
        </w:tc>
        <w:tc>
          <w:tcPr>
            <w:tcW w:w="2126" w:type="dxa"/>
            <w:noWrap/>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Trestie de zahăr</w:t>
            </w:r>
          </w:p>
        </w:tc>
        <w:tc>
          <w:tcPr>
            <w:tcW w:w="1843" w:type="dxa"/>
            <w:noWrap/>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La nivel mondial</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Întregul lanț de aprovizionare</w:t>
            </w:r>
          </w:p>
        </w:tc>
      </w:tr>
      <w:tr w:rsidR="001C1F3A">
        <w:trPr>
          <w:trHeight w:val="555"/>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Roundtable on Sustainable Biomaterial EU RED (RSB EU RED)</w:t>
            </w:r>
          </w:p>
        </w:tc>
        <w:tc>
          <w:tcPr>
            <w:tcW w:w="2126" w:type="dxa"/>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Gamă largă de materii prime</w:t>
            </w:r>
          </w:p>
        </w:tc>
        <w:tc>
          <w:tcPr>
            <w:tcW w:w="1843" w:type="dxa"/>
            <w:noWrap/>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La nivel mondial</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Întregul lanț de aprovizionare</w:t>
            </w:r>
          </w:p>
        </w:tc>
      </w:tr>
      <w:tr w:rsidR="001C1F3A">
        <w:trPr>
          <w:trHeight w:val="360"/>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RTRS EU RED</w:t>
            </w:r>
          </w:p>
        </w:tc>
        <w:tc>
          <w:tcPr>
            <w:tcW w:w="2126" w:type="dxa"/>
            <w:noWrap/>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Soia</w:t>
            </w:r>
          </w:p>
        </w:tc>
        <w:tc>
          <w:tcPr>
            <w:tcW w:w="1843" w:type="dxa"/>
            <w:noWrap/>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La nivel mondial</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Întregul lanț de aprovizionare</w:t>
            </w:r>
          </w:p>
        </w:tc>
      </w:tr>
      <w:tr w:rsidR="001C1F3A">
        <w:trPr>
          <w:trHeight w:val="720"/>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U.S. Soybean Sustainability Assurance Protocol (SSAP)</w:t>
            </w:r>
          </w:p>
        </w:tc>
        <w:tc>
          <w:tcPr>
            <w:tcW w:w="2126" w:type="dxa"/>
            <w:noWrap/>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 xml:space="preserve">Soia </w:t>
            </w:r>
          </w:p>
        </w:tc>
        <w:tc>
          <w:tcPr>
            <w:tcW w:w="1843" w:type="dxa"/>
            <w:noWrap/>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SUA</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De la cultură la locul de export</w:t>
            </w:r>
          </w:p>
        </w:tc>
      </w:tr>
      <w:tr w:rsidR="001C1F3A">
        <w:trPr>
          <w:trHeight w:val="360"/>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Biomass Biofuels voluntary scheme (2BSvs)</w:t>
            </w:r>
          </w:p>
        </w:tc>
        <w:tc>
          <w:tcPr>
            <w:tcW w:w="2126" w:type="dxa"/>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Gamă largă de materii prime</w:t>
            </w:r>
          </w:p>
        </w:tc>
        <w:tc>
          <w:tcPr>
            <w:tcW w:w="1843" w:type="dxa"/>
            <w:noWrap/>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La nivel mondial</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Întregul lanț de aprovizionare</w:t>
            </w:r>
          </w:p>
        </w:tc>
      </w:tr>
      <w:tr w:rsidR="001C1F3A">
        <w:trPr>
          <w:trHeight w:val="690"/>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Scottish Quality Farm Assured Combinable Crops Limited (SQC)</w:t>
            </w:r>
          </w:p>
        </w:tc>
        <w:tc>
          <w:tcPr>
            <w:tcW w:w="2126" w:type="dxa"/>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Toate cerealele și oleaginoasele</w:t>
            </w:r>
          </w:p>
        </w:tc>
        <w:tc>
          <w:tcPr>
            <w:tcW w:w="184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Nordul Marii Britanii</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Până la primul punct de livrare a materiei prime</w:t>
            </w:r>
          </w:p>
        </w:tc>
      </w:tr>
      <w:tr w:rsidR="001C1F3A">
        <w:trPr>
          <w:trHeight w:val="555"/>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Red Tractor Farm Assurance Combinable Crops &amp; Sugar Beet (Red Tractor)</w:t>
            </w:r>
          </w:p>
        </w:tc>
        <w:tc>
          <w:tcPr>
            <w:tcW w:w="2126" w:type="dxa"/>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Cereale, oleaginoase, sfeclă de zahăr</w:t>
            </w:r>
          </w:p>
        </w:tc>
        <w:tc>
          <w:tcPr>
            <w:tcW w:w="184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Regatul Unit</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Până la primul punct de livrare a materiei prime</w:t>
            </w:r>
          </w:p>
        </w:tc>
      </w:tr>
      <w:tr w:rsidR="001C1F3A">
        <w:trPr>
          <w:trHeight w:val="360"/>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REDcert</w:t>
            </w:r>
          </w:p>
        </w:tc>
        <w:tc>
          <w:tcPr>
            <w:tcW w:w="2126" w:type="dxa"/>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Gamă largă de materii prime</w:t>
            </w:r>
          </w:p>
        </w:tc>
        <w:tc>
          <w:tcPr>
            <w:tcW w:w="184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Europa</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Întregul lanț de aprovizionare</w:t>
            </w:r>
          </w:p>
        </w:tc>
      </w:tr>
      <w:tr w:rsidR="001C1F3A">
        <w:trPr>
          <w:trHeight w:val="360"/>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Better Biomass</w:t>
            </w:r>
          </w:p>
        </w:tc>
        <w:tc>
          <w:tcPr>
            <w:tcW w:w="2126" w:type="dxa"/>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Gamă largă de materii prime</w:t>
            </w:r>
          </w:p>
        </w:tc>
        <w:tc>
          <w:tcPr>
            <w:tcW w:w="184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La nivel mondial</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Întregul lanț de aprovizionare</w:t>
            </w:r>
          </w:p>
        </w:tc>
      </w:tr>
      <w:tr w:rsidR="001C1F3A">
        <w:trPr>
          <w:trHeight w:val="538"/>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Gafta Trade Assurance Scheme</w:t>
            </w:r>
          </w:p>
        </w:tc>
        <w:tc>
          <w:tcPr>
            <w:tcW w:w="2126" w:type="dxa"/>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 xml:space="preserve">Gamă largă de materii prime </w:t>
            </w:r>
          </w:p>
        </w:tc>
        <w:tc>
          <w:tcPr>
            <w:tcW w:w="184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La nivel mondial</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 xml:space="preserve">Lanțul de custodie de </w:t>
            </w:r>
            <w:r>
              <w:rPr>
                <w:rFonts w:ascii="Times New Roman" w:hAnsi="Times New Roman"/>
                <w:noProof/>
                <w:sz w:val="20"/>
              </w:rPr>
              <w:t>la poarta fermei până la primul prelucrător</w:t>
            </w:r>
          </w:p>
        </w:tc>
      </w:tr>
      <w:tr w:rsidR="001C1F3A">
        <w:trPr>
          <w:trHeight w:val="360"/>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KZR INiG System</w:t>
            </w:r>
          </w:p>
        </w:tc>
        <w:tc>
          <w:tcPr>
            <w:tcW w:w="2126" w:type="dxa"/>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Gamă largă de materii prime</w:t>
            </w:r>
          </w:p>
        </w:tc>
        <w:tc>
          <w:tcPr>
            <w:tcW w:w="184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Europa</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Întregul lanț de aprovizionare</w:t>
            </w:r>
          </w:p>
        </w:tc>
      </w:tr>
      <w:tr w:rsidR="001C1F3A">
        <w:trPr>
          <w:trHeight w:val="766"/>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Trade Assurance Scheme for Combinable Crops (TASC)</w:t>
            </w:r>
          </w:p>
        </w:tc>
        <w:tc>
          <w:tcPr>
            <w:tcW w:w="2126" w:type="dxa"/>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Culturi combinabile, precum cerealele, oleaginoasele și sfecla de zahăr</w:t>
            </w:r>
          </w:p>
        </w:tc>
        <w:tc>
          <w:tcPr>
            <w:tcW w:w="184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Regatul Unit</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Lanțul de custodie de la poarta fermei până la primul prelucrător</w:t>
            </w:r>
          </w:p>
        </w:tc>
      </w:tr>
      <w:tr w:rsidR="001C1F3A">
        <w:trPr>
          <w:trHeight w:val="738"/>
        </w:trPr>
        <w:tc>
          <w:tcPr>
            <w:tcW w:w="2660"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Universal Feed Assurance Scheme(UFAS)</w:t>
            </w:r>
          </w:p>
        </w:tc>
        <w:tc>
          <w:tcPr>
            <w:tcW w:w="2126" w:type="dxa"/>
          </w:tcPr>
          <w:p w:rsidR="001C1F3A" w:rsidRDefault="004E78CF">
            <w:pPr>
              <w:keepNext/>
              <w:rPr>
                <w:rFonts w:ascii="Times New Roman" w:eastAsia="Calibri" w:hAnsi="Times New Roman" w:cs="Times New Roman"/>
                <w:noProof/>
                <w:sz w:val="18"/>
                <w:szCs w:val="20"/>
              </w:rPr>
            </w:pPr>
            <w:r>
              <w:rPr>
                <w:rFonts w:ascii="Times New Roman" w:hAnsi="Times New Roman"/>
                <w:noProof/>
                <w:sz w:val="18"/>
              </w:rPr>
              <w:t>Ingrediente pentru furaje și furaje combinate, precum și culturi combinabile</w:t>
            </w:r>
          </w:p>
        </w:tc>
        <w:tc>
          <w:tcPr>
            <w:tcW w:w="184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Regatul Unit</w:t>
            </w:r>
          </w:p>
        </w:tc>
        <w:tc>
          <w:tcPr>
            <w:tcW w:w="2613" w:type="dxa"/>
          </w:tcPr>
          <w:p w:rsidR="001C1F3A" w:rsidRDefault="004E78CF">
            <w:pPr>
              <w:keepNext/>
              <w:rPr>
                <w:rFonts w:ascii="Times New Roman" w:eastAsia="Calibri" w:hAnsi="Times New Roman" w:cs="Times New Roman"/>
                <w:noProof/>
                <w:sz w:val="20"/>
                <w:szCs w:val="20"/>
              </w:rPr>
            </w:pPr>
            <w:r>
              <w:rPr>
                <w:rFonts w:ascii="Times New Roman" w:hAnsi="Times New Roman"/>
                <w:noProof/>
                <w:sz w:val="20"/>
              </w:rPr>
              <w:t xml:space="preserve">Lanțul de custodie de la poarta fermei până la </w:t>
            </w:r>
            <w:r>
              <w:rPr>
                <w:rFonts w:ascii="Times New Roman" w:hAnsi="Times New Roman"/>
                <w:noProof/>
                <w:sz w:val="20"/>
              </w:rPr>
              <w:t>primul prelucrător</w:t>
            </w:r>
          </w:p>
        </w:tc>
      </w:tr>
    </w:tbl>
    <w:p w:rsidR="001C1F3A" w:rsidRDefault="004E78CF">
      <w:pPr>
        <w:keepNext/>
        <w:jc w:val="both"/>
        <w:rPr>
          <w:rFonts w:ascii="Times New Roman" w:eastAsia="Calibri" w:hAnsi="Times New Roman" w:cs="Times New Roman"/>
          <w:i/>
          <w:noProof/>
          <w:sz w:val="24"/>
          <w:szCs w:val="24"/>
        </w:rPr>
      </w:pPr>
      <w:r>
        <w:rPr>
          <w:rFonts w:ascii="Times New Roman" w:hAnsi="Times New Roman"/>
          <w:b/>
          <w:i/>
          <w:noProof/>
          <w:sz w:val="24"/>
        </w:rPr>
        <w:t>Tabelul 3</w:t>
      </w:r>
      <w:r>
        <w:rPr>
          <w:rFonts w:ascii="Times New Roman" w:hAnsi="Times New Roman"/>
          <w:i/>
          <w:noProof/>
          <w:sz w:val="24"/>
        </w:rPr>
        <w:t>: Schemele voluntare recunoscute în prezent de Comisie</w:t>
      </w:r>
    </w:p>
    <w:p w:rsidR="001C1F3A" w:rsidRDefault="004E78CF">
      <w:pPr>
        <w:rPr>
          <w:rFonts w:ascii="Times New Roman" w:eastAsia="Calibri" w:hAnsi="Times New Roman" w:cs="Times New Roman"/>
          <w:b/>
          <w:noProof/>
          <w:sz w:val="24"/>
          <w:szCs w:val="24"/>
        </w:rPr>
      </w:pPr>
      <w:r>
        <w:rPr>
          <w:noProof/>
        </w:rPr>
        <w:br w:type="page"/>
      </w:r>
    </w:p>
    <w:p w:rsidR="001C1F3A" w:rsidRDefault="004E78CF">
      <w:pPr>
        <w:pStyle w:val="Heading1"/>
        <w:rPr>
          <w:noProof/>
          <w:sz w:val="22"/>
        </w:rPr>
      </w:pPr>
      <w:bookmarkStart w:id="13" w:name="_Toc1149228"/>
      <w:r>
        <w:rPr>
          <w:noProof/>
        </w:rPr>
        <w:t>5. CONCLUZII</w:t>
      </w:r>
      <w:bookmarkEnd w:id="13"/>
    </w:p>
    <w:p w:rsidR="001C1F3A" w:rsidRDefault="004E78CF">
      <w:pPr>
        <w:spacing w:after="120"/>
        <w:jc w:val="both"/>
        <w:rPr>
          <w:rFonts w:ascii="Times New Roman" w:hAnsi="Times New Roman" w:cs="Times New Roman"/>
          <w:noProof/>
          <w:sz w:val="24"/>
          <w:szCs w:val="24"/>
        </w:rPr>
      </w:pPr>
      <w:r>
        <w:rPr>
          <w:rFonts w:ascii="Times New Roman" w:hAnsi="Times New Roman"/>
          <w:noProof/>
          <w:sz w:val="24"/>
        </w:rPr>
        <w:t xml:space="preserve">UE este pe cale să își realizeze obiectivul privind energia din surse regenerabile pentru 2020. În 2017, ponderea energiei din surse regenerabile în mixul </w:t>
      </w:r>
      <w:r>
        <w:rPr>
          <w:rFonts w:ascii="Times New Roman" w:hAnsi="Times New Roman"/>
          <w:noProof/>
          <w:sz w:val="24"/>
        </w:rPr>
        <w:t>energetic al UE a atins 17,52 %. Investițiile în energia din surse regenerabile sunt determinate tot mai mult de piață, iar ponderea subvențiilor publice scade. Acest lucru a fost determinat de reducerile semnificative ale costurilor tehnologiilor legate d</w:t>
      </w:r>
      <w:r>
        <w:rPr>
          <w:rFonts w:ascii="Times New Roman" w:hAnsi="Times New Roman"/>
          <w:noProof/>
          <w:sz w:val="24"/>
        </w:rPr>
        <w:t>e energia din surse regenerabile, de reducerea subvențiilor prin scheme de sprijin mai competitive și a fost exemplificat prin numeroasele rezultate ale licitațiilor cu costuri zero sau reduse din câteva țări europene.</w:t>
      </w:r>
    </w:p>
    <w:p w:rsidR="001C1F3A" w:rsidRDefault="004E78CF">
      <w:pPr>
        <w:spacing w:after="120"/>
        <w:jc w:val="both"/>
        <w:rPr>
          <w:rFonts w:ascii="Times New Roman" w:hAnsi="Times New Roman" w:cs="Times New Roman"/>
          <w:noProof/>
          <w:sz w:val="24"/>
          <w:szCs w:val="24"/>
        </w:rPr>
      </w:pPr>
      <w:r>
        <w:rPr>
          <w:rFonts w:ascii="Times New Roman" w:hAnsi="Times New Roman"/>
          <w:noProof/>
          <w:sz w:val="24"/>
        </w:rPr>
        <w:t xml:space="preserve">Cu toate acestea, ritmul de creștere </w:t>
      </w:r>
      <w:r>
        <w:rPr>
          <w:rFonts w:ascii="Times New Roman" w:hAnsi="Times New Roman"/>
          <w:noProof/>
          <w:sz w:val="24"/>
        </w:rPr>
        <w:t xml:space="preserve">a ponderii energiei din surse regenerabile a încetinit începând cu 2014. Deși UE este încă pe cale să își realizeze obiectivele privind energia din surse regenerabile pentru 2020, în perioada rămasă până în 2020 ar trebui intensificate eforturile pentru a </w:t>
      </w:r>
      <w:r>
        <w:rPr>
          <w:rFonts w:ascii="Times New Roman" w:hAnsi="Times New Roman"/>
          <w:noProof/>
          <w:sz w:val="24"/>
        </w:rPr>
        <w:t>asigura acest lucru, inclusiv ținându-se cont de consumul de energie mai mare preconizat în viitor. În 2017, 11 state membre aveau deja o pondere a energiei din surse regenerabile care depășește obiectivele lor pentru 2020. Alte 10 state membre și-au reali</w:t>
      </w:r>
      <w:r>
        <w:rPr>
          <w:rFonts w:ascii="Times New Roman" w:hAnsi="Times New Roman"/>
          <w:noProof/>
          <w:sz w:val="24"/>
        </w:rPr>
        <w:t>zat sau și-au depășit traiectoria orientativă prevăzută în Directiva privind energia din surse regenerabile pentru perioada de doi ani 2017-2018. Cu toate acestea, există șapte state membre (Belgia, Franța, Irlanda, Luxemburg, Țările de Jos, Polonia, Slove</w:t>
      </w:r>
      <w:r>
        <w:rPr>
          <w:rFonts w:ascii="Times New Roman" w:hAnsi="Times New Roman"/>
          <w:noProof/>
          <w:sz w:val="24"/>
        </w:rPr>
        <w:t xml:space="preserve">nia) care ar trebui să își intensifice eforturile de a respecta traiectoria medie din 2017-2018 pentru realizarea obiectivului din 2020. </w:t>
      </w:r>
    </w:p>
    <w:p w:rsidR="001C1F3A" w:rsidRDefault="004E78CF">
      <w:pPr>
        <w:jc w:val="both"/>
        <w:rPr>
          <w:rFonts w:ascii="Times New Roman" w:hAnsi="Times New Roman" w:cs="Times New Roman"/>
          <w:noProof/>
          <w:sz w:val="24"/>
          <w:szCs w:val="24"/>
        </w:rPr>
      </w:pPr>
      <w:r>
        <w:rPr>
          <w:rFonts w:ascii="Times New Roman" w:hAnsi="Times New Roman"/>
          <w:noProof/>
          <w:sz w:val="24"/>
        </w:rPr>
        <w:t>Pentru a realiza obiectivele privind energia din surse regenerabile pentru 2020 și pentru a menține aceste niveluri ca</w:t>
      </w:r>
      <w:r>
        <w:rPr>
          <w:rFonts w:ascii="Times New Roman" w:hAnsi="Times New Roman"/>
          <w:noProof/>
          <w:sz w:val="24"/>
        </w:rPr>
        <w:t xml:space="preserve"> bază începând cu anul 2021, majoritatea statelor membre sunt încurajate să își intensifice eforturile în continuare, atât pentru a utiliza sursele regenerabile de energie în cele trei sectoare, cât și pentru a reduce consumul de energie. Modelarea recentă</w:t>
      </w:r>
      <w:r>
        <w:rPr>
          <w:rFonts w:ascii="Times New Roman" w:hAnsi="Times New Roman"/>
          <w:noProof/>
          <w:sz w:val="24"/>
        </w:rPr>
        <w:t xml:space="preserve"> a arătat că politicile puse în aplicare în prezent privind energia din surse regenerabile și inițiativele deja planificate de politică privind energia din surse regenerabile ar putea fi insuficiente într-o serie de state membre pentru ca acestea să își re</w:t>
      </w:r>
      <w:r>
        <w:rPr>
          <w:rFonts w:ascii="Times New Roman" w:hAnsi="Times New Roman"/>
          <w:noProof/>
          <w:sz w:val="24"/>
        </w:rPr>
        <w:t>alizeze la timp obiectivele obligatorii naționale, dacă se ia în considerare doar aprovizionarea internă, fără mecanismele de cooperare. În final, statele membre ar trebui să ia în considerare posibilitatea de a utiliza transferurile statistice, astfel cum</w:t>
      </w:r>
      <w:r>
        <w:rPr>
          <w:rFonts w:ascii="Times New Roman" w:hAnsi="Times New Roman"/>
          <w:noProof/>
          <w:sz w:val="24"/>
        </w:rPr>
        <w:t xml:space="preserve"> se prevede în Directiva privind energia din surse regenerabile, fie ca modalitate de a asigura realizarea obiectivelor atunci când există un deficit, fie pentru a-și vinde excedentele potențiale către alte state membre. Comisia este pregătită să sprijine </w:t>
      </w:r>
      <w:r>
        <w:rPr>
          <w:rFonts w:ascii="Times New Roman" w:hAnsi="Times New Roman"/>
          <w:noProof/>
          <w:sz w:val="24"/>
        </w:rPr>
        <w:t xml:space="preserve">în mod activ statele membre în această privință și să faciliteze cooperarea necesară. </w:t>
      </w:r>
    </w:p>
    <w:p w:rsidR="001C1F3A" w:rsidRDefault="004E78CF">
      <w:pPr>
        <w:spacing w:after="120"/>
        <w:jc w:val="both"/>
        <w:rPr>
          <w:rFonts w:ascii="Times New Roman" w:hAnsi="Times New Roman" w:cs="Times New Roman"/>
          <w:noProof/>
          <w:sz w:val="24"/>
          <w:szCs w:val="24"/>
        </w:rPr>
      </w:pPr>
      <w:r>
        <w:rPr>
          <w:rFonts w:ascii="Times New Roman" w:hAnsi="Times New Roman"/>
          <w:noProof/>
          <w:sz w:val="24"/>
        </w:rPr>
        <w:t xml:space="preserve">În acest context, noua mobilizare a eforturilor la toate nivelurile și în întreaga Uniune Europeană este în curs. Aceasta are loc, printre altele, prin intermediul </w:t>
      </w:r>
      <w:r>
        <w:rPr>
          <w:rFonts w:ascii="Times New Roman" w:hAnsi="Times New Roman"/>
          <w:noProof/>
          <w:sz w:val="24"/>
        </w:rPr>
        <w:t>Grupului operativ specific privind eficiența energetică, lansat de Comisie, alături de noile licitații privind energia din surse regenerabile, anunțate deja în câteva state membre, de exemplu în Franța, Țările de Jos și Polonia, sau prin utilizarea pe scar</w:t>
      </w:r>
      <w:r>
        <w:rPr>
          <w:rFonts w:ascii="Times New Roman" w:hAnsi="Times New Roman"/>
          <w:noProof/>
          <w:sz w:val="24"/>
        </w:rPr>
        <w:t>ă mai largă a acordurilor de achiziție corporativă de energie electrică prin care întreprinderile europene au achiziționat o cantitate record de capacitate de producere de energie eoliană în 2018. Se preconizează că aceste măsuri vor produce rezultate în a</w:t>
      </w:r>
      <w:r>
        <w:rPr>
          <w:rFonts w:ascii="Times New Roman" w:hAnsi="Times New Roman"/>
          <w:noProof/>
          <w:sz w:val="24"/>
        </w:rPr>
        <w:t>nii următori.</w:t>
      </w:r>
    </w:p>
    <w:p w:rsidR="001C1F3A" w:rsidRDefault="004E78CF">
      <w:pPr>
        <w:jc w:val="both"/>
        <w:rPr>
          <w:rFonts w:ascii="Times New Roman" w:hAnsi="Times New Roman" w:cs="Times New Roman"/>
          <w:noProof/>
          <w:sz w:val="24"/>
          <w:szCs w:val="24"/>
        </w:rPr>
      </w:pPr>
      <w:r>
        <w:rPr>
          <w:rFonts w:ascii="Times New Roman" w:hAnsi="Times New Roman"/>
          <w:noProof/>
          <w:sz w:val="24"/>
        </w:rPr>
        <w:t>Biocombustibilii consumați în UE sunt produși în continuare în mare parte din materii prime interne. Criteriile de durabilitate ale UE au reușit să reducă la minimum riscul unui impact direct major asupra mediului, asociat biocombustibililor,</w:t>
      </w:r>
      <w:r>
        <w:rPr>
          <w:rFonts w:ascii="Times New Roman" w:hAnsi="Times New Roman"/>
          <w:noProof/>
          <w:sz w:val="24"/>
        </w:rPr>
        <w:t xml:space="preserve"> indiferent dacă aceștia sunt produși la nivel intern sau dacă sunt importați din țările terțe. În ultimii câțiva ani, sistemele voluntare recunoscute de Comisia Europeană au devenit principalul instrument pentru a demonstra îndeplinirea criteriilor UE de </w:t>
      </w:r>
      <w:r>
        <w:rPr>
          <w:rFonts w:ascii="Times New Roman" w:hAnsi="Times New Roman"/>
          <w:noProof/>
          <w:sz w:val="24"/>
        </w:rPr>
        <w:t>durabilitate privind biocombustibilii și, prin urmare, acestea au făcut obiectul unui control din ce în ce mai intens din partea publicului. În plus, Directiva privind energia din surse regenerabile II include un cadru consolidat privind durabilitatea pent</w:t>
      </w:r>
      <w:r>
        <w:rPr>
          <w:rFonts w:ascii="Times New Roman" w:hAnsi="Times New Roman"/>
          <w:noProof/>
          <w:sz w:val="24"/>
        </w:rPr>
        <w:t>ru toate utilizările bioenergiei (care nu se limitează la biocombustibili, dar care acoperă, de asemenea, utilizarea biomasei și a biogazului în căldură și energie electrică), inclusiv o nouă abordare care limitează rolul biocombustibililor ce prezintă ris</w:t>
      </w:r>
      <w:r>
        <w:rPr>
          <w:rFonts w:ascii="Times New Roman" w:hAnsi="Times New Roman"/>
          <w:noProof/>
          <w:sz w:val="24"/>
        </w:rPr>
        <w:t>curi ridicate din perspectiva ILUC (a schimbării indirecte a destinației terenurilor). Guvernanța sistemelor voluntare a fost consolidată, inclusiv soliditatea auditurilor efectuate de terți.</w:t>
      </w:r>
    </w:p>
    <w:sectPr w:rsidR="001C1F3A">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3A" w:rsidRDefault="004E78CF">
      <w:pPr>
        <w:spacing w:after="0" w:line="240" w:lineRule="auto"/>
      </w:pPr>
      <w:r>
        <w:separator/>
      </w:r>
    </w:p>
  </w:endnote>
  <w:endnote w:type="continuationSeparator" w:id="0">
    <w:p w:rsidR="001C1F3A" w:rsidRDefault="004E78CF">
      <w:pPr>
        <w:spacing w:after="0" w:line="240" w:lineRule="auto"/>
      </w:pPr>
      <w:r>
        <w:continuationSeparator/>
      </w:r>
    </w:p>
  </w:endnote>
  <w:endnote w:type="continuationNotice" w:id="1">
    <w:p w:rsidR="001C1F3A" w:rsidRDefault="001C1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A" w:rsidRDefault="001C1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A" w:rsidRDefault="004E78CF">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A" w:rsidRDefault="001C1F3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A" w:rsidRDefault="001C1F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018997"/>
      <w:docPartObj>
        <w:docPartGallery w:val="Page Numbers (Bottom of Page)"/>
        <w:docPartUnique/>
      </w:docPartObj>
    </w:sdtPr>
    <w:sdtEndPr>
      <w:rPr>
        <w:noProof/>
      </w:rPr>
    </w:sdtEndPr>
    <w:sdtContent>
      <w:p w:rsidR="001C1F3A" w:rsidRDefault="004E78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C1F3A" w:rsidRDefault="001C1F3A">
    <w:pPr>
      <w:pStyle w:val="Footer"/>
      <w:tabs>
        <w:tab w:val="center" w:pos="4638"/>
      </w:tabs>
      <w:rPr>
        <w:rFonts w:cs="Arial"/>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A" w:rsidRDefault="001C1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3A" w:rsidRDefault="004E78CF">
      <w:pPr>
        <w:spacing w:after="0" w:line="240" w:lineRule="auto"/>
      </w:pPr>
      <w:r>
        <w:separator/>
      </w:r>
    </w:p>
  </w:footnote>
  <w:footnote w:type="continuationSeparator" w:id="0">
    <w:p w:rsidR="001C1F3A" w:rsidRDefault="004E78CF">
      <w:pPr>
        <w:spacing w:after="0" w:line="240" w:lineRule="auto"/>
      </w:pPr>
      <w:r>
        <w:continuationSeparator/>
      </w:r>
    </w:p>
  </w:footnote>
  <w:footnote w:type="continuationNotice" w:id="1">
    <w:p w:rsidR="001C1F3A" w:rsidRDefault="001C1F3A">
      <w:pPr>
        <w:spacing w:after="0" w:line="240" w:lineRule="auto"/>
      </w:pPr>
    </w:p>
  </w:footnote>
  <w:footnote w:id="2">
    <w:p w:rsidR="001C1F3A" w:rsidRDefault="004E78CF">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hyperlink r:id="rId1">
        <w:r>
          <w:rPr>
            <w:rStyle w:val="Hyperlink"/>
          </w:rPr>
          <w:t>https://ec.europa.eu/energy/en/topics/energy-strategy-and-energy-union/clean-energy-all-europeans</w:t>
        </w:r>
      </w:hyperlink>
      <w:r>
        <w:rPr>
          <w:rFonts w:ascii="Times New Roman" w:hAnsi="Times New Roman"/>
        </w:rPr>
        <w:t xml:space="preserve"> </w:t>
      </w:r>
    </w:p>
  </w:footnote>
  <w:footnote w:id="3">
    <w:p w:rsidR="001C1F3A" w:rsidRDefault="004E78CF">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Directiva 2009/28/CE a Parlamentului Eur</w:t>
      </w:r>
      <w:r>
        <w:rPr>
          <w:rFonts w:ascii="Times New Roman" w:hAnsi="Times New Roman"/>
        </w:rPr>
        <w:t>opean și a Consiliului din 23 aprilie 2009 privind promovarea utilizării energiei din surse regenerabile, JO L 140, pp. 16-62.</w:t>
      </w:r>
    </w:p>
  </w:footnote>
  <w:footnote w:id="4">
    <w:p w:rsidR="001C1F3A" w:rsidRDefault="004E78CF">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https://www.eea.europa.eu/publication</w:t>
        </w:r>
        <w:r>
          <w:rPr>
            <w:rStyle w:val="Hyperlink"/>
            <w:rFonts w:ascii="Times New Roman" w:hAnsi="Times New Roman"/>
          </w:rPr>
          <w:t>s/renewable-energy-in-europe-2018</w:t>
        </w:r>
      </w:hyperlink>
      <w:r>
        <w:rPr>
          <w:rFonts w:ascii="Times New Roman" w:hAnsi="Times New Roman"/>
        </w:rPr>
        <w:t xml:space="preserve"> </w:t>
      </w:r>
    </w:p>
  </w:footnote>
  <w:footnote w:id="5">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773: O planetă curată pentru toți. O viziune europeană strategică pe termen lung pentru o economie prosperă, modernă, competitivă și neutră din punctul de vedere al impactului asupra climei.</w:t>
      </w:r>
    </w:p>
  </w:footnote>
  <w:footnote w:id="6">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w:t>
      </w:r>
    </w:p>
  </w:footnote>
  <w:footnote w:id="7">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w:t>
      </w:r>
      <w:r>
        <w:rPr>
          <w:rFonts w:ascii="Times New Roman" w:hAnsi="Times New Roman"/>
        </w:rPr>
        <w:t>nicatul de presă al Energinet.dk, 31 august 2018.</w:t>
      </w:r>
    </w:p>
  </w:footnote>
  <w:footnote w:id="8">
    <w:p w:rsidR="001C1F3A" w:rsidRDefault="004E78CF">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w:t>
      </w:r>
      <w:hyperlink r:id="rId3">
        <w:r>
          <w:rPr>
            <w:rStyle w:val="Hyperlink"/>
            <w:rFonts w:ascii="Times New Roman" w:hAnsi="Times New Roman"/>
            <w:color w:val="000000" w:themeColor="text1"/>
          </w:rPr>
          <w:t>https://www.eea.europa.eu/publications/renewable-energy-in-europe-2018/</w:t>
        </w:r>
      </w:hyperlink>
      <w:r>
        <w:rPr>
          <w:rFonts w:ascii="Times New Roman" w:hAnsi="Times New Roman"/>
          <w:color w:val="000000" w:themeColor="text1"/>
        </w:rPr>
        <w:t xml:space="preserve"> </w:t>
      </w:r>
    </w:p>
  </w:footnote>
  <w:footnote w:id="9">
    <w:p w:rsidR="001C1F3A" w:rsidRDefault="004E78CF">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AEM, estimări pentru 2017.</w:t>
      </w:r>
    </w:p>
  </w:footnote>
  <w:footnote w:id="10">
    <w:p w:rsidR="001C1F3A" w:rsidRDefault="004E78CF">
      <w:pPr>
        <w:pStyle w:val="FootnoteText"/>
        <w:rPr>
          <w:rFonts w:ascii="Times New Roman" w:hAnsi="Times New Roman" w:cs="Times New Roman"/>
        </w:rPr>
      </w:pPr>
      <w:r>
        <w:rPr>
          <w:rStyle w:val="FootnoteReference"/>
          <w:rFonts w:ascii="Times New Roman" w:hAnsi="Times New Roman"/>
          <w:color w:val="000000" w:themeColor="text1"/>
        </w:rPr>
        <w:footnoteRef/>
      </w:r>
      <w:r>
        <w:rPr>
          <w:rFonts w:ascii="Times New Roman" w:hAnsi="Times New Roman"/>
          <w:color w:val="000000" w:themeColor="text1"/>
        </w:rPr>
        <w:t xml:space="preserve"> JRC (2017</w:t>
      </w:r>
      <w:r>
        <w:rPr>
          <w:rFonts w:ascii="Times New Roman" w:hAnsi="Times New Roman"/>
          <w:color w:val="000000" w:themeColor="text1"/>
        </w:rPr>
        <w:t>), Monitorizarea cercetării și a inovării în domeniul tehnologiilor energetice cu emisii reduse de CO</w:t>
      </w:r>
      <w:r>
        <w:rPr>
          <w:rFonts w:ascii="Times New Roman" w:hAnsi="Times New Roman"/>
          <w:color w:val="000000" w:themeColor="text1"/>
          <w:vertAlign w:val="subscript"/>
        </w:rPr>
        <w:t>2</w:t>
      </w:r>
      <w:r>
        <w:rPr>
          <w:rFonts w:ascii="Times New Roman" w:hAnsi="Times New Roman"/>
          <w:color w:val="000000" w:themeColor="text1"/>
        </w:rPr>
        <w:t xml:space="preserve">, </w:t>
      </w:r>
      <w:hyperlink r:id="rId4">
        <w:r>
          <w:rPr>
            <w:rStyle w:val="Hyperlink"/>
            <w:rFonts w:ascii="Times New Roman" w:hAnsi="Times New Roman"/>
            <w:color w:val="auto"/>
          </w:rPr>
          <w:t>http://publications.jrc.ec.europa.eu/repository/handle/JRC105642</w:t>
        </w:r>
      </w:hyperlink>
      <w:r>
        <w:rPr>
          <w:rFonts w:ascii="Times New Roman" w:hAnsi="Times New Roman"/>
        </w:rPr>
        <w:t>.</w:t>
      </w:r>
    </w:p>
  </w:footnote>
  <w:footnote w:id="11">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Statele Unite, Japonia, Coreea de Sud, China.</w:t>
      </w:r>
    </w:p>
  </w:footnote>
  <w:footnote w:id="12">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IRENA (2019), raport intitulat</w:t>
      </w:r>
      <w:hyperlink r:id="rId5">
        <w:r>
          <w:rPr>
            <w:rStyle w:val="Hyperlink"/>
            <w:rFonts w:ascii="Times New Roman" w:hAnsi="Times New Roman"/>
            <w:color w:val="auto"/>
            <w:u w:val="none"/>
          </w:rPr>
          <w:t>„</w:t>
        </w:r>
        <w:r>
          <w:rPr>
            <w:rStyle w:val="Hyperlink"/>
            <w:rFonts w:ascii="Times New Roman" w:hAnsi="Times New Roman"/>
            <w:i/>
            <w:color w:val="auto"/>
            <w:u w:val="none"/>
          </w:rPr>
          <w:t>Innovation landscape for a renewable-powered future</w:t>
        </w:r>
        <w:r>
          <w:rPr>
            <w:rStyle w:val="Hyperlink"/>
            <w:rFonts w:ascii="Times New Roman" w:hAnsi="Times New Roman"/>
            <w:color w:val="auto"/>
            <w:u w:val="none"/>
          </w:rPr>
          <w:t xml:space="preserve">: </w:t>
        </w:r>
        <w:r>
          <w:rPr>
            <w:rStyle w:val="Hyperlink"/>
            <w:rFonts w:ascii="Times New Roman" w:hAnsi="Times New Roman"/>
            <w:i/>
            <w:color w:val="auto"/>
            <w:u w:val="none"/>
          </w:rPr>
          <w:t xml:space="preserve">Solutions to </w:t>
        </w:r>
        <w:r>
          <w:rPr>
            <w:rStyle w:val="Hyperlink"/>
            <w:rFonts w:ascii="Times New Roman" w:hAnsi="Times New Roman"/>
            <w:i/>
            <w:color w:val="auto"/>
            <w:u w:val="none"/>
          </w:rPr>
          <w:t>integrate variable renewables</w:t>
        </w:r>
        <w:r>
          <w:rPr>
            <w:rStyle w:val="Hyperlink"/>
            <w:rFonts w:ascii="Times New Roman" w:hAnsi="Times New Roman"/>
            <w:color w:val="auto"/>
            <w:u w:val="none"/>
          </w:rPr>
          <w:t>” (Mediul de inovare pentru un viitor propulsat cu energie din surse regenerabile: soluții pentru integrarea surselor regenerabile de energie variabile)</w:t>
        </w:r>
      </w:hyperlink>
      <w:r>
        <w:rPr>
          <w:rStyle w:val="Hyperlink"/>
          <w:rFonts w:ascii="Times New Roman" w:hAnsi="Times New Roman"/>
          <w:color w:val="auto"/>
          <w:u w:val="none"/>
        </w:rPr>
        <w:t xml:space="preserve">, </w:t>
      </w:r>
      <w:r>
        <w:rPr>
          <w:rStyle w:val="Emphasis"/>
          <w:rFonts w:ascii="Times New Roman" w:hAnsi="Times New Roman"/>
          <w:i w:val="0"/>
        </w:rPr>
        <w:t>publicat la Bruxelles. la 19 februarie 2019.</w:t>
      </w:r>
    </w:p>
  </w:footnote>
  <w:footnote w:id="13">
    <w:p w:rsidR="001C1F3A" w:rsidRDefault="004E78CF">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JRC (2017), Lanțul de apro</w:t>
      </w:r>
      <w:r>
        <w:rPr>
          <w:rFonts w:ascii="Times New Roman" w:hAnsi="Times New Roman"/>
          <w:color w:val="000000" w:themeColor="text1"/>
        </w:rPr>
        <w:t>vizionare al tehnologiilor pentru energia din surse regenerabile în Europa.</w:t>
      </w:r>
    </w:p>
  </w:footnote>
  <w:footnote w:id="14">
    <w:p w:rsidR="001C1F3A" w:rsidRDefault="004E78CF">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Hoogland O., Van der Lijn, N., Rademaekers, K., Gentili, P., Colozza, P., Morichi, C., 2017, </w:t>
      </w:r>
      <w:r>
        <w:rPr>
          <w:rFonts w:ascii="Times New Roman" w:hAnsi="Times New Roman"/>
          <w:i/>
          <w:color w:val="000000" w:themeColor="text1"/>
        </w:rPr>
        <w:t>Assessment of Photovoltaics (PV) Task F Strategies to rebuild the European PV sector</w:t>
      </w:r>
      <w:r>
        <w:rPr>
          <w:rFonts w:ascii="Times New Roman" w:hAnsi="Times New Roman"/>
          <w:color w:val="000000" w:themeColor="text1"/>
        </w:rPr>
        <w:t xml:space="preserve"> (Evaluarea industriei fotovoltaice. Sarcina F. Strategii de reconstruire a sectorului fotovoltaic european), Trinomics.</w:t>
      </w:r>
    </w:p>
  </w:footnote>
  <w:footnote w:id="15">
    <w:p w:rsidR="001C1F3A" w:rsidRDefault="004E78CF">
      <w:pPr>
        <w:pStyle w:val="FootnoteText"/>
      </w:pPr>
      <w:r>
        <w:rPr>
          <w:rStyle w:val="FootnoteReference"/>
        </w:rPr>
        <w:footnoteRef/>
      </w:r>
      <w:r>
        <w:t xml:space="preserve"> </w:t>
      </w:r>
      <w:hyperlink r:id="rId6">
        <w:r>
          <w:rPr>
            <w:rStyle w:val="Hyperlink"/>
            <w:rFonts w:ascii="Times New Roman" w:hAnsi="Times New Roman"/>
          </w:rPr>
          <w:t>https://ec.europa</w:t>
        </w:r>
        <w:r>
          <w:rPr>
            <w:rStyle w:val="Hyperlink"/>
            <w:rFonts w:ascii="Times New Roman" w:hAnsi="Times New Roman"/>
          </w:rPr>
          <w:t>.eu/energy/en/topics/technology-and-innovation/strategic-energy-technology-plan</w:t>
        </w:r>
      </w:hyperlink>
      <w:r>
        <w:t xml:space="preserve"> </w:t>
      </w:r>
    </w:p>
  </w:footnote>
  <w:footnote w:id="16">
    <w:p w:rsidR="001C1F3A" w:rsidRDefault="004E78CF">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Barometrul Eurobserv’ER (2019) 2018. https://www.eurobserv-er.org/18th-annual-overview-barometer/</w:t>
      </w:r>
    </w:p>
  </w:footnote>
  <w:footnote w:id="17">
    <w:p w:rsidR="001C1F3A" w:rsidRDefault="004E78CF">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https://ec.europa.eu/energy/en/data-analysis/energy-prices-and-costs</w:t>
      </w:r>
    </w:p>
  </w:footnote>
  <w:footnote w:id="18">
    <w:p w:rsidR="001C1F3A" w:rsidRDefault="004E78CF">
      <w:pPr>
        <w:pStyle w:val="FootnoteText"/>
        <w:rPr>
          <w:lang w:val="en-US"/>
        </w:rPr>
      </w:pPr>
      <w:r>
        <w:rPr>
          <w:rStyle w:val="FootnoteReference"/>
          <w:rFonts w:ascii="Times New Roman" w:hAnsi="Times New Roman"/>
        </w:rPr>
        <w:footnoteRef/>
      </w:r>
      <w:r>
        <w:rPr>
          <w:rFonts w:ascii="Times New Roman" w:hAnsi="Times New Roman"/>
        </w:rPr>
        <w:t xml:space="preserve"> IR</w:t>
      </w:r>
      <w:r>
        <w:rPr>
          <w:rFonts w:ascii="Times New Roman" w:hAnsi="Times New Roman"/>
        </w:rPr>
        <w:t xml:space="preserve">ENA (2019). </w:t>
      </w:r>
      <w:r>
        <w:rPr>
          <w:rFonts w:ascii="Times New Roman" w:hAnsi="Times New Roman"/>
          <w:i/>
          <w:color w:val="333333"/>
        </w:rPr>
        <w:t>A New World:</w:t>
      </w:r>
      <w:r>
        <w:rPr>
          <w:rFonts w:ascii="Times New Roman" w:hAnsi="Times New Roman"/>
          <w:color w:val="333333"/>
        </w:rPr>
        <w:t xml:space="preserve"> </w:t>
      </w:r>
      <w:r>
        <w:rPr>
          <w:rFonts w:ascii="Times New Roman" w:hAnsi="Times New Roman"/>
          <w:i/>
          <w:color w:val="333333"/>
        </w:rPr>
        <w:t>the geopolitics of the energy transformation</w:t>
      </w:r>
      <w:r>
        <w:rPr>
          <w:rFonts w:ascii="Times New Roman" w:hAnsi="Times New Roman"/>
          <w:color w:val="333333"/>
        </w:rPr>
        <w:t xml:space="preserve"> (O lume nouă: geopolitica transformării energetice).</w:t>
      </w:r>
    </w:p>
  </w:footnote>
  <w:footnote w:id="19">
    <w:p w:rsidR="001C1F3A" w:rsidRDefault="004E78CF">
      <w:pPr>
        <w:autoSpaceDE w:val="0"/>
        <w:autoSpaceDN w:val="0"/>
        <w:adjustRightInd w:val="0"/>
        <w:spacing w:after="0" w:line="240" w:lineRule="auto"/>
        <w:rPr>
          <w:rFonts w:ascii="Times New Roman" w:hAnsi="Times New Roman" w:cs="Times New Roman"/>
        </w:rPr>
      </w:pPr>
      <w:r>
        <w:rPr>
          <w:rStyle w:val="FootnoteReference"/>
          <w:rFonts w:ascii="Times New Roman" w:hAnsi="Times New Roman"/>
          <w:color w:val="000000" w:themeColor="text1"/>
          <w:sz w:val="20"/>
        </w:rPr>
        <w:footnoteRef/>
      </w:r>
      <w:r>
        <w:rPr>
          <w:rFonts w:ascii="Times New Roman" w:hAnsi="Times New Roman"/>
          <w:color w:val="000000" w:themeColor="text1"/>
          <w:sz w:val="20"/>
        </w:rPr>
        <w:t xml:space="preserve"> IRENA (2018), </w:t>
      </w:r>
      <w:r>
        <w:rPr>
          <w:rFonts w:ascii="Times New Roman" w:hAnsi="Times New Roman"/>
          <w:i/>
          <w:color w:val="000000" w:themeColor="text1"/>
          <w:sz w:val="20"/>
        </w:rPr>
        <w:t>Off-grid Renewable Energy Solutions:</w:t>
      </w:r>
      <w:r>
        <w:rPr>
          <w:rFonts w:ascii="Times New Roman" w:hAnsi="Times New Roman"/>
          <w:color w:val="000000" w:themeColor="text1"/>
          <w:sz w:val="20"/>
        </w:rPr>
        <w:t xml:space="preserve"> </w:t>
      </w:r>
      <w:r>
        <w:rPr>
          <w:rFonts w:ascii="Times New Roman" w:hAnsi="Times New Roman"/>
          <w:i/>
          <w:color w:val="000000" w:themeColor="text1"/>
          <w:sz w:val="20"/>
        </w:rPr>
        <w:t>Global and Regional Status and Trends</w:t>
      </w:r>
      <w:r>
        <w:rPr>
          <w:rFonts w:ascii="Times New Roman" w:hAnsi="Times New Roman"/>
          <w:color w:val="000000" w:themeColor="text1"/>
          <w:sz w:val="20"/>
        </w:rPr>
        <w:t xml:space="preserve"> (Soluții de energie din surse regenerabile neconectate la rețea: situația și tendințele la nivel mondial și regional).</w:t>
      </w:r>
    </w:p>
  </w:footnote>
  <w:footnote w:id="20">
    <w:p w:rsidR="001C1F3A" w:rsidRDefault="004E78CF">
      <w:pPr>
        <w:pStyle w:val="FootnoteText"/>
        <w:rPr>
          <w:rFonts w:ascii="Times New Roman" w:hAnsi="Times New Roman" w:cs="Times New Roman"/>
        </w:rPr>
      </w:pPr>
      <w:r>
        <w:rPr>
          <w:rStyle w:val="FootnoteReference"/>
          <w:rFonts w:ascii="Times New Roman" w:hAnsi="Times New Roman"/>
          <w:color w:val="000000" w:themeColor="text1"/>
        </w:rPr>
        <w:footnoteRef/>
      </w:r>
      <w:r>
        <w:rPr>
          <w:rFonts w:ascii="Times New Roman" w:hAnsi="Times New Roman"/>
          <w:color w:val="000000" w:themeColor="text1"/>
        </w:rPr>
        <w:t xml:space="preserve"> AIE (2017) Raportul special al WEO din 2017: </w:t>
      </w:r>
      <w:r>
        <w:rPr>
          <w:rFonts w:ascii="Times New Roman" w:hAnsi="Times New Roman"/>
          <w:i/>
          <w:color w:val="000000" w:themeColor="text1"/>
        </w:rPr>
        <w:t>Energy Access Outlook</w:t>
      </w:r>
      <w:r>
        <w:rPr>
          <w:rFonts w:ascii="Times New Roman" w:hAnsi="Times New Roman"/>
          <w:color w:val="000000" w:themeColor="text1"/>
        </w:rPr>
        <w:t xml:space="preserve"> (Perspectivele privind accesul la energie).</w:t>
      </w:r>
    </w:p>
  </w:footnote>
  <w:footnote w:id="21">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Directiva (UE) 2015/1</w:t>
      </w:r>
      <w:r>
        <w:rPr>
          <w:rFonts w:ascii="Times New Roman" w:hAnsi="Times New Roman"/>
        </w:rPr>
        <w:t>513.</w:t>
      </w:r>
    </w:p>
  </w:footnote>
  <w:footnote w:id="22">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7">
        <w:r>
          <w:rPr>
            <w:rStyle w:val="Hyperlink"/>
            <w:rFonts w:ascii="Times New Roman" w:hAnsi="Times New Roman"/>
          </w:rPr>
          <w:t>https://ec.europa.eu/energy/en/topics/renewable-energy/progress-reports</w:t>
        </w:r>
      </w:hyperlink>
      <w:r>
        <w:rPr>
          <w:rFonts w:ascii="Times New Roman" w:hAnsi="Times New Roman"/>
        </w:rPr>
        <w:t xml:space="preserve"> </w:t>
      </w:r>
    </w:p>
  </w:footnote>
  <w:footnote w:id="23">
    <w:p w:rsidR="001C1F3A" w:rsidRDefault="004E78CF">
      <w:pPr>
        <w:pStyle w:val="FootnoteText"/>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https://ec.europa.eu/energy/en/topics/renewable-energy/national-action-plans</w:t>
        </w:r>
      </w:hyperlink>
    </w:p>
  </w:footnote>
  <w:footnote w:id="24">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 PONDERI 2017. Utilizând setul de multiplicatori din Directiva privind energia din surse regenerabile I.</w:t>
      </w:r>
    </w:p>
  </w:footnote>
  <w:footnote w:id="25">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Inclusiv Norvegia.</w:t>
      </w:r>
    </w:p>
  </w:footnote>
  <w:footnote w:id="26">
    <w:p w:rsidR="001C1F3A" w:rsidRDefault="004E78CF">
      <w:pPr>
        <w:pStyle w:val="FootnoteText"/>
        <w:rPr>
          <w:lang w:val="pt-PT"/>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https://ec.europa.eu/energy/en/topics/renewable-energy/progress-reports</w:t>
        </w:r>
      </w:hyperlink>
      <w:r>
        <w:rPr>
          <w:rFonts w:ascii="Times New Roman" w:hAnsi="Times New Roman"/>
        </w:rPr>
        <w:t xml:space="preserve"> </w:t>
      </w:r>
    </w:p>
  </w:footnote>
  <w:footnote w:id="27">
    <w:p w:rsidR="001C1F3A" w:rsidRDefault="004E78CF">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Navigant 2019: </w:t>
      </w:r>
      <w:hyperlink r:id="rId10">
        <w:r>
          <w:rPr>
            <w:rStyle w:val="Hyperlink"/>
            <w:rFonts w:ascii="Times New Roman" w:hAnsi="Times New Roman"/>
            <w:i/>
          </w:rPr>
          <w:t>Technical assistance in realisation of the 4th report on progress of renewable energy in the EU</w:t>
        </w:r>
        <w:r>
          <w:rPr>
            <w:rStyle w:val="Hyperlink"/>
            <w:rFonts w:ascii="Times New Roman" w:hAnsi="Times New Roman"/>
          </w:rPr>
          <w:t xml:space="preserve"> (Asistența tehnică pentru realizarea celui de-al patrulea raport privind progresele înregistrate în domeniul energiei din surse regenerabile din UE), raport final</w:t>
        </w:r>
      </w:hyperlink>
      <w:r>
        <w:rPr>
          <w:rFonts w:ascii="Times New Roman" w:hAnsi="Times New Roman"/>
        </w:rPr>
        <w:t>.</w:t>
      </w:r>
    </w:p>
  </w:footnote>
  <w:footnote w:id="28">
    <w:p w:rsidR="001C1F3A" w:rsidRDefault="004E78CF">
      <w:pPr>
        <w:pStyle w:val="FootnoteText"/>
      </w:pPr>
      <w:r>
        <w:rPr>
          <w:rStyle w:val="FootnoteReference"/>
        </w:rPr>
        <w:footnoteRef/>
      </w:r>
      <w:r>
        <w:t xml:space="preserve"> </w:t>
      </w:r>
      <w:r>
        <w:rPr>
          <w:rFonts w:ascii="Times New Roman" w:hAnsi="Times New Roman"/>
        </w:rPr>
        <w:t>Tabelul include doar statele membre care au furnizat aceste informații specifice în rapoa</w:t>
      </w:r>
      <w:r>
        <w:rPr>
          <w:rFonts w:ascii="Times New Roman" w:hAnsi="Times New Roman"/>
        </w:rPr>
        <w:t>rtele lor privind progresele înregistrate.</w:t>
      </w:r>
    </w:p>
  </w:footnote>
  <w:footnote w:id="29">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Calculul din scenariu a fost efectuat aplicând modelul Green-X, care este un instrument de simulare pentru instrumentele de politică privind energia din surse regenerabile în Europa </w:t>
      </w:r>
      <w:hyperlink r:id="rId11">
        <w:r>
          <w:rPr>
            <w:rStyle w:val="Hyperlink"/>
            <w:rFonts w:ascii="Times New Roman" w:hAnsi="Times New Roman"/>
          </w:rPr>
          <w:t>https://green-x.at/</w:t>
        </w:r>
      </w:hyperlink>
      <w:r>
        <w:rPr>
          <w:rStyle w:val="Hyperlink"/>
          <w:rFonts w:ascii="Times New Roman" w:hAnsi="Times New Roman"/>
        </w:rPr>
        <w:t>.</w:t>
      </w:r>
    </w:p>
  </w:footnote>
  <w:footnote w:id="30">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Acest interval indică incertitudinea legată de principalul parametru de intrare pentru evaluarea bazată pe modele a progreselor viitoare în materie de energie din surse regenerabile. Cererea de energie (creșterea) viitoare </w:t>
      </w:r>
      <w:r>
        <w:rPr>
          <w:rFonts w:ascii="Times New Roman" w:hAnsi="Times New Roman"/>
        </w:rPr>
        <w:t>ș</w:t>
      </w:r>
      <w:r>
        <w:rPr>
          <w:rFonts w:ascii="Times New Roman" w:hAnsi="Times New Roman"/>
        </w:rPr>
        <w:t>i punerea în aplicare a politicilor joacă un rol decisiv în această privință.</w:t>
      </w:r>
    </w:p>
  </w:footnote>
  <w:footnote w:id="31">
    <w:p w:rsidR="001C1F3A" w:rsidRDefault="004E78CF">
      <w:pPr>
        <w:pStyle w:val="FootnoteText"/>
      </w:pPr>
      <w:r>
        <w:rPr>
          <w:rStyle w:val="FootnoteReference"/>
        </w:rPr>
        <w:footnoteRef/>
      </w:r>
      <w:r>
        <w:t xml:space="preserve"> </w:t>
      </w:r>
      <w:r>
        <w:rPr>
          <w:rFonts w:ascii="Times New Roman" w:hAnsi="Times New Roman"/>
        </w:rPr>
        <w:t xml:space="preserve">Navigant 2019: </w:t>
      </w:r>
      <w:hyperlink r:id="rId12">
        <w:r>
          <w:rPr>
            <w:rStyle w:val="Hyperlink"/>
            <w:rFonts w:ascii="Times New Roman" w:hAnsi="Times New Roman"/>
            <w:i/>
          </w:rPr>
          <w:t>Technical assistance in realisation of the 4th report on progress of renewable energy in the EU</w:t>
        </w:r>
        <w:r>
          <w:rPr>
            <w:rStyle w:val="Hyperlink"/>
            <w:rFonts w:ascii="Times New Roman" w:hAnsi="Times New Roman"/>
          </w:rPr>
          <w:t xml:space="preserve"> (Asistența tehnică pentru realizarea celui de-al patrulea raport privind progresele înregistrate în domeniul energiei din surse regen</w:t>
        </w:r>
        <w:r>
          <w:rPr>
            <w:rStyle w:val="Hyperlink"/>
            <w:rFonts w:ascii="Times New Roman" w:hAnsi="Times New Roman"/>
          </w:rPr>
          <w:t>erabile din UE), raport final</w:t>
        </w:r>
      </w:hyperlink>
      <w:r>
        <w:rPr>
          <w:rStyle w:val="Hyperlink"/>
          <w:rFonts w:ascii="Times New Roman" w:hAnsi="Times New Roman"/>
        </w:rPr>
        <w:t>.</w:t>
      </w:r>
    </w:p>
  </w:footnote>
  <w:footnote w:id="32">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https://ec.europa.eu/energy/en/topics/energy-strategy-and-energy-union/governance-energy-union/national-energy-climate-plans.</w:t>
      </w:r>
    </w:p>
  </w:footnote>
  <w:footnote w:id="33">
    <w:p w:rsidR="001C1F3A" w:rsidRDefault="004E78CF">
      <w:pPr>
        <w:pStyle w:val="FootnoteText"/>
      </w:pPr>
      <w:r>
        <w:rPr>
          <w:rStyle w:val="FootnoteReference"/>
          <w:rFonts w:ascii="Times New Roman" w:hAnsi="Times New Roman"/>
        </w:rPr>
        <w:footnoteRef/>
      </w:r>
      <w:r>
        <w:rPr>
          <w:rFonts w:ascii="Times New Roman" w:hAnsi="Times New Roman"/>
        </w:rPr>
        <w:t xml:space="preserve"> Navigant 2019.</w:t>
      </w:r>
    </w:p>
  </w:footnote>
  <w:footnote w:id="34">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Principala sursă pentru datele și evaluarea din prezenta secțiune: Navigant 20</w:t>
      </w:r>
      <w:r>
        <w:rPr>
          <w:rFonts w:ascii="Times New Roman" w:hAnsi="Times New Roman"/>
        </w:rPr>
        <w:t>19: Asistență tehnică pentru realizarea raportului din 2018 privind durabilitatea biocombustibililor.</w:t>
      </w:r>
    </w:p>
  </w:footnote>
  <w:footnote w:id="35">
    <w:p w:rsidR="001C1F3A" w:rsidRDefault="004E78CF">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 analiza materiilor prime pentru biocombustibili se ia în considerare comerțul internațional cu biocombustibili și materiile prime pentru aceștia, pre</w:t>
      </w:r>
      <w:r>
        <w:rPr>
          <w:rFonts w:ascii="Times New Roman" w:hAnsi="Times New Roman"/>
        </w:rPr>
        <w:t>cum și eficacitatea transformării.</w:t>
      </w:r>
    </w:p>
  </w:footnote>
  <w:footnote w:id="36">
    <w:p w:rsidR="001C1F3A" w:rsidRDefault="004E78CF">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Calculată pe baza emisiilor estimate provizorii aferente schimbării indirecte a destinației terenurilor, generate de materiile prime pentru biocombustibili, biolichide și combustibili din biomasă (g CO</w:t>
      </w:r>
      <w:r>
        <w:rPr>
          <w:rFonts w:ascii="Times New Roman" w:hAnsi="Times New Roman"/>
          <w:vertAlign w:val="subscript"/>
        </w:rPr>
        <w:t>2</w:t>
      </w:r>
      <w:r>
        <w:rPr>
          <w:rFonts w:ascii="Times New Roman" w:hAnsi="Times New Roman"/>
        </w:rPr>
        <w:t xml:space="preserve"> echivalent/MJ) d</w:t>
      </w:r>
      <w:r>
        <w:rPr>
          <w:rFonts w:ascii="Times New Roman" w:hAnsi="Times New Roman"/>
        </w:rPr>
        <w:t>in anexa VIII la Directiva (UE) 2018/2001. Pentru informații suplimentare, a se vedea Navigant 2019.</w:t>
      </w:r>
    </w:p>
  </w:footnote>
  <w:footnote w:id="37">
    <w:p w:rsidR="001C1F3A" w:rsidRDefault="004E78CF">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Studiu privind cerințele în materie de biocombustibili și biolichide decurgând din Directiva (UE) 2015/1513 realizat de Wageningen Research, Agenția nați</w:t>
      </w:r>
      <w:r>
        <w:rPr>
          <w:rFonts w:ascii="Times New Roman" w:hAnsi="Times New Roman"/>
        </w:rPr>
        <w:t>onală neerlandeză pentru evaluarea mediului și CENER, 2017.</w:t>
      </w:r>
    </w:p>
  </w:footnote>
  <w:footnote w:id="38">
    <w:p w:rsidR="001C1F3A" w:rsidRDefault="004E78CF">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Cu toate acestea, ar trebui remarcat că nu sunt disponibile date specifice locului și nici date referitoare în mod specific la impactul local asupra mediului al cultivării de materii prime pentru</w:t>
      </w:r>
      <w:r>
        <w:rPr>
          <w:rFonts w:ascii="Times New Roman" w:hAnsi="Times New Roman"/>
        </w:rPr>
        <w:t xml:space="preserve"> producerea de biocombustibili.</w:t>
      </w:r>
    </w:p>
  </w:footnote>
  <w:footnote w:id="39">
    <w:p w:rsidR="001C1F3A" w:rsidRDefault="004E78CF">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remarca faptul că politica agricolă comună (PAC) actuală contribuie în mod semnificativ la sprijinirea biodiversității și la promovarea sistemelor agricole durabile prin măsuri complementare în cadrul unei game de ins</w:t>
      </w:r>
      <w:r>
        <w:rPr>
          <w:rFonts w:ascii="Times New Roman" w:hAnsi="Times New Roman"/>
        </w:rPr>
        <w:t>trumente diverse. În ceea ce privește viitoarea PAC de după 2020, unul dintre cele nouă obiective specifice ale PAC este acela de a contribui la protecția biodiversității, la consolidarea serviciilor de ecosistem și la conservarea habitatelor și a peisajul</w:t>
      </w:r>
      <w:r>
        <w:rPr>
          <w:rFonts w:ascii="Times New Roman" w:hAnsi="Times New Roman"/>
        </w:rPr>
        <w:t>ui. Politica vizează să sporească nivelul de ambiție în materie de mediu și climă.</w:t>
      </w:r>
    </w:p>
  </w:footnote>
  <w:footnote w:id="40">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Navigant 2019.</w:t>
      </w:r>
    </w:p>
  </w:footnote>
  <w:footnote w:id="41">
    <w:p w:rsidR="001C1F3A" w:rsidRDefault="004E78CF">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CE, 2019, Raport asupra stadiului extinderii la scară mondială a producției de culturi relevante pentru alimente și furaje.</w:t>
      </w:r>
    </w:p>
  </w:footnote>
  <w:footnote w:id="42">
    <w:p w:rsidR="001C1F3A" w:rsidRDefault="004E78CF">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C(2019) 2055 final.</w:t>
      </w:r>
    </w:p>
  </w:footnote>
  <w:footnote w:id="43">
    <w:p w:rsidR="001C1F3A" w:rsidRDefault="004E78CF">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Revizuirea listei de materii prime din părțile A și B ale anexei IX la directivă, în vederea adăugării de materii prime care îndeplinesc o serie de criterii stricte, se va realiza până în iunie 2021.</w:t>
      </w:r>
    </w:p>
  </w:footnote>
  <w:footnote w:id="44">
    <w:p w:rsidR="001C1F3A" w:rsidRDefault="004E78C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https://ec.europa.eu/energy/sites/ener/files/document</w:t>
      </w:r>
      <w:r>
        <w:rPr>
          <w:rFonts w:ascii="Times New Roman" w:hAnsi="Times New Roman"/>
        </w:rPr>
        <w:t>s/voluntary_schemes_overview_february_2019.pdf</w:t>
      </w:r>
    </w:p>
  </w:footnote>
  <w:footnote w:id="45">
    <w:p w:rsidR="001C1F3A" w:rsidRDefault="004E78CF">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Comunicarea Comisiei cu privire la sistemele voluntare și la valorile standard (2010/C 160/01) a stabilit principiile conform cărora Comisia își îndeplinește responsabilitățile în ceea ce privește emiterea a</w:t>
      </w:r>
      <w:r>
        <w:rPr>
          <w:rFonts w:ascii="Times New Roman" w:hAnsi="Times New Roman"/>
        </w:rPr>
        <w:t>cestor decizii. Acest document a fost completat de o Comunicare privind implementarea practică a sistemului de durabilitate al UE pentru biocarburanți și biolichide (2010/C 160/02).</w:t>
      </w:r>
    </w:p>
  </w:footnote>
  <w:footnote w:id="46">
    <w:p w:rsidR="001C1F3A" w:rsidRDefault="004E78CF">
      <w:pPr>
        <w:pStyle w:val="FootnoteText"/>
        <w:jc w:val="both"/>
      </w:pPr>
      <w:r>
        <w:rPr>
          <w:rStyle w:val="FootnoteReference"/>
          <w:rFonts w:ascii="Times New Roman" w:hAnsi="Times New Roman"/>
        </w:rPr>
        <w:footnoteRef/>
      </w:r>
      <w:r>
        <w:rPr>
          <w:rFonts w:ascii="Times New Roman" w:hAnsi="Times New Roman"/>
        </w:rPr>
        <w:t xml:space="preserve"> Navigant, 2019. Revizuirea rapoartelor anuale privind sistemele voluntar</w:t>
      </w:r>
      <w:r>
        <w:rPr>
          <w:rFonts w:ascii="Times New Roman" w:hAnsi="Times New Roman"/>
        </w:rPr>
        <w:t>e.</w:t>
      </w:r>
    </w:p>
  </w:footnote>
  <w:footnote w:id="47">
    <w:p w:rsidR="001C1F3A" w:rsidRDefault="004E78CF">
      <w:pPr>
        <w:pStyle w:val="FootnoteText"/>
      </w:pPr>
      <w:r>
        <w:rPr>
          <w:rStyle w:val="FootnoteReference"/>
        </w:rPr>
        <w:footnoteRef/>
      </w:r>
      <w:r>
        <w:t xml:space="preserve"> </w:t>
      </w:r>
      <w:r>
        <w:rPr>
          <w:rFonts w:ascii="Times New Roman" w:hAnsi="Times New Roman"/>
        </w:rPr>
        <w:t>Detalii privind procesul de recunoaștere a sistemelor voluntare sunt disponibile pe următorul site al Comisiei:</w:t>
      </w:r>
      <w:r>
        <w:rPr>
          <w:rStyle w:val="Hyperlink"/>
          <w:rFonts w:ascii="Times New Roman" w:hAnsi="Times New Roman"/>
          <w:sz w:val="16"/>
        </w:rPr>
        <w:t xml:space="preserve"> </w:t>
      </w:r>
      <w:hyperlink r:id="rId13">
        <w:r>
          <w:rPr>
            <w:rStyle w:val="Hyperlink"/>
            <w:rFonts w:ascii="Times New Roman" w:hAnsi="Times New Roman"/>
          </w:rPr>
          <w:t>https://ec.europa.eu/energy/en/topics/renewable-energy/biofuels/voluntary-schemes</w:t>
        </w:r>
      </w:hyperlink>
      <w:r>
        <w:rPr>
          <w:rStyle w:val="Hyperlink"/>
          <w:rFonts w:ascii="Times New Roman" w:hAnsi="Times New Roman"/>
        </w:rPr>
        <w:t>.</w:t>
      </w:r>
    </w:p>
  </w:footnote>
  <w:footnote w:id="48">
    <w:p w:rsidR="001C1F3A" w:rsidRDefault="004E78CF">
      <w:pPr>
        <w:pStyle w:val="FootnoteText"/>
        <w:jc w:val="both"/>
        <w:rPr>
          <w:lang w:val="en-US"/>
        </w:rPr>
      </w:pPr>
      <w:r>
        <w:rPr>
          <w:rStyle w:val="FootnoteReference"/>
          <w:rFonts w:ascii="Times New Roman" w:hAnsi="Times New Roman"/>
        </w:rPr>
        <w:footnoteRef/>
      </w:r>
      <w:r>
        <w:rPr>
          <w:rFonts w:ascii="Times New Roman" w:hAnsi="Times New Roman"/>
        </w:rPr>
        <w:t xml:space="preserve"> Curtea de Conturi Europeană (CCE), 2016, Raportul special nr. 18/2016: Sistemul UE de certificare a biocarburanților durabili.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A" w:rsidRDefault="001C1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A" w:rsidRDefault="001C1F3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A" w:rsidRDefault="001C1F3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A" w:rsidRDefault="001C1F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A" w:rsidRDefault="004E78CF">
    <w:pPr>
      <w:pStyle w:val="Header"/>
    </w:pPr>
    <w:r>
      <w:rPr>
        <w:noProof/>
        <w:lang w:val="fr-BE" w:eastAsia="fr-BE" w:bidi="ar-SA"/>
      </w:rPr>
      <w:drawing>
        <wp:anchor distT="0" distB="0" distL="114300" distR="114300" simplePos="0" relativeHeight="251658242" behindDoc="0" locked="1" layoutInCell="1" allowOverlap="1">
          <wp:simplePos x="0" y="0"/>
          <wp:positionH relativeFrom="page">
            <wp:posOffset>3625850</wp:posOffset>
          </wp:positionH>
          <wp:positionV relativeFrom="page">
            <wp:posOffset>395605</wp:posOffset>
          </wp:positionV>
          <wp:extent cx="2520000" cy="576000"/>
          <wp:effectExtent l="0" t="0" r="0" b="0"/>
          <wp:wrapNone/>
          <wp:docPr id="3" name="Bild 109" descr="ECOFYS Logo WTTS Colou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COFYS Logo WTTS Colou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20000" cy="576000"/>
                  </a:xfrm>
                  <a:prstGeom prst="rect">
                    <a:avLst/>
                  </a:prstGeom>
                  <a:noFill/>
                  <a:ln>
                    <a:noFill/>
                  </a:ln>
                </pic:spPr>
              </pic:pic>
            </a:graphicData>
          </a:graphic>
        </wp:anchor>
      </w:drawing>
    </w:r>
    <w:r>
      <w:rPr>
        <w:noProof/>
        <w:lang w:val="fr-BE" w:eastAsia="fr-BE" w:bidi="ar-SA"/>
      </w:rPr>
      <w:drawing>
        <wp:anchor distT="0" distB="0" distL="114300" distR="114300" simplePos="0" relativeHeight="251658241" behindDoc="0" locked="1" layoutInCell="1" allowOverlap="1">
          <wp:simplePos x="0" y="0"/>
          <wp:positionH relativeFrom="page">
            <wp:posOffset>3625850</wp:posOffset>
          </wp:positionH>
          <wp:positionV relativeFrom="page">
            <wp:posOffset>395605</wp:posOffset>
          </wp:positionV>
          <wp:extent cx="2520000" cy="575122"/>
          <wp:effectExtent l="0" t="0" r="0" b="0"/>
          <wp:wrapNone/>
          <wp:docPr id="4" name="Bild 102" descr="ECOFYS Logo WTTS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COFYS Logo WTTS b/w" hidden="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520000" cy="575122"/>
                  </a:xfrm>
                  <a:prstGeom prst="rect">
                    <a:avLst/>
                  </a:prstGeom>
                  <a:noFill/>
                  <a:ln>
                    <a:noFill/>
                  </a:ln>
                </pic:spPr>
              </pic:pic>
            </a:graphicData>
          </a:graphic>
        </wp:anchor>
      </w:drawing>
    </w:r>
    <w:r>
      <w:rPr>
        <w:noProof/>
        <w:lang w:val="fr-BE" w:eastAsia="fr-BE" w:bidi="ar-SA"/>
      </w:rPr>
      <w:drawing>
        <wp:anchor distT="0" distB="0" distL="114300" distR="114300" simplePos="0" relativeHeight="251658240" behindDoc="0" locked="1" layoutInCell="1" allowOverlap="1">
          <wp:simplePos x="0" y="0"/>
          <wp:positionH relativeFrom="page">
            <wp:posOffset>4086225</wp:posOffset>
          </wp:positionH>
          <wp:positionV relativeFrom="page">
            <wp:posOffset>450215</wp:posOffset>
          </wp:positionV>
          <wp:extent cx="1969200" cy="723600"/>
          <wp:effectExtent l="0" t="0" r="0" b="635"/>
          <wp:wrapNone/>
          <wp:docPr id="5" name="Bild 99" descr="ECOFYS 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COFYS Logo b/w" hidden="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69200" cy="72360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A" w:rsidRDefault="004E78CF">
    <w:pPr>
      <w:pStyle w:val="Header"/>
    </w:pPr>
    <w:r>
      <w:rPr>
        <w:noProof/>
        <w:lang w:val="fr-BE" w:eastAsia="fr-BE" w:bidi="ar-SA"/>
      </w:rPr>
      <w:drawing>
        <wp:anchor distT="0" distB="0" distL="114300" distR="114300" simplePos="0" relativeHeight="251658244" behindDoc="0" locked="1" layoutInCell="1" allowOverlap="1">
          <wp:simplePos x="0" y="0"/>
          <wp:positionH relativeFrom="page">
            <wp:posOffset>4087495</wp:posOffset>
          </wp:positionH>
          <wp:positionV relativeFrom="page">
            <wp:posOffset>450215</wp:posOffset>
          </wp:positionV>
          <wp:extent cx="2514600" cy="723900"/>
          <wp:effectExtent l="0" t="0" r="0" b="0"/>
          <wp:wrapNone/>
          <wp:docPr id="6" name="Bild 80" descr="ECOFYS 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COFYS Logo b/w" hidden="1"/>
                  <pic:cNvPicPr>
                    <a:picLocks noChangeAspect="1" noChangeArrowheads="1"/>
                  </pic:cNvPicPr>
                </pic:nvPicPr>
                <pic:blipFill>
                  <a:blip r:embed="rId1">
                    <a:extLst>
                      <a:ext uri="{28A0092B-C50C-407E-A947-70E740481C1C}">
                        <a14:useLocalDpi xmlns:a14="http://schemas.microsoft.com/office/drawing/2010/main" val="0"/>
                      </a:ext>
                    </a:extLst>
                  </a:blip>
                  <a:srcRect l="1335" t="4370" r="1335" b="4370"/>
                  <a:stretch>
                    <a:fillRect/>
                  </a:stretch>
                </pic:blipFill>
                <pic:spPr bwMode="auto">
                  <a:xfrm>
                    <a:off x="0" y="0"/>
                    <a:ext cx="2514600" cy="723900"/>
                  </a:xfrm>
                  <a:prstGeom prst="rect">
                    <a:avLst/>
                  </a:prstGeom>
                  <a:noFill/>
                  <a:ln>
                    <a:noFill/>
                  </a:ln>
                </pic:spPr>
              </pic:pic>
            </a:graphicData>
          </a:graphic>
        </wp:anchor>
      </w:drawing>
    </w:r>
    <w:r>
      <w:rPr>
        <w:noProof/>
        <w:lang w:val="fr-BE" w:eastAsia="fr-BE" w:bidi="ar-SA"/>
      </w:rPr>
      <w:drawing>
        <wp:anchor distT="0" distB="0" distL="114300" distR="114300" simplePos="0" relativeHeight="251658243" behindDoc="0" locked="1" layoutInCell="1" allowOverlap="1">
          <wp:simplePos x="0" y="0"/>
          <wp:positionH relativeFrom="page">
            <wp:posOffset>4086225</wp:posOffset>
          </wp:positionH>
          <wp:positionV relativeFrom="page">
            <wp:posOffset>450215</wp:posOffset>
          </wp:positionV>
          <wp:extent cx="2516505" cy="717550"/>
          <wp:effectExtent l="0" t="0" r="0" b="6350"/>
          <wp:wrapNone/>
          <wp:docPr id="7" name="Bild 79" descr="ECOFY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COFYS Logo Colour" hidden="1"/>
                  <pic:cNvPicPr>
                    <a:picLocks noChangeAspect="1" noChangeArrowheads="1"/>
                  </pic:cNvPicPr>
                </pic:nvPicPr>
                <pic:blipFill>
                  <a:blip r:embed="rId2">
                    <a:extLst>
                      <a:ext uri="{28A0092B-C50C-407E-A947-70E740481C1C}">
                        <a14:useLocalDpi xmlns:a14="http://schemas.microsoft.com/office/drawing/2010/main" val="0"/>
                      </a:ext>
                    </a:extLst>
                  </a:blip>
                  <a:srcRect l="1335" t="4370" r="1335" b="4370"/>
                  <a:stretch>
                    <a:fillRect/>
                  </a:stretch>
                </pic:blipFill>
                <pic:spPr bwMode="auto">
                  <a:xfrm>
                    <a:off x="0" y="0"/>
                    <a:ext cx="2516505" cy="717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8AF"/>
    <w:multiLevelType w:val="hybridMultilevel"/>
    <w:tmpl w:val="B464EC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6D9715E"/>
    <w:multiLevelType w:val="hybridMultilevel"/>
    <w:tmpl w:val="980221A2"/>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6C21EE"/>
    <w:multiLevelType w:val="hybridMultilevel"/>
    <w:tmpl w:val="C760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D33CB"/>
    <w:multiLevelType w:val="hybridMultilevel"/>
    <w:tmpl w:val="6CC41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B41578"/>
    <w:multiLevelType w:val="hybridMultilevel"/>
    <w:tmpl w:val="AB90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43A39"/>
    <w:multiLevelType w:val="hybridMultilevel"/>
    <w:tmpl w:val="A6FC826A"/>
    <w:lvl w:ilvl="0" w:tplc="D8642F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513306"/>
    <w:multiLevelType w:val="hybridMultilevel"/>
    <w:tmpl w:val="506478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30E6AF9"/>
    <w:multiLevelType w:val="hybridMultilevel"/>
    <w:tmpl w:val="5D76CBDE"/>
    <w:lvl w:ilvl="0" w:tplc="04090001">
      <w:start w:val="1"/>
      <w:numFmt w:val="bullet"/>
      <w:lvlText w:val=""/>
      <w:lvlJc w:val="left"/>
      <w:pPr>
        <w:ind w:left="720" w:hanging="360"/>
      </w:pPr>
      <w:rPr>
        <w:rFonts w:ascii="Symbol" w:hAnsi="Symbol" w:hint="default"/>
        <w:lang w:val="en-US"/>
      </w:rPr>
    </w:lvl>
    <w:lvl w:ilvl="1" w:tplc="4EDA8508">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94BAA"/>
    <w:multiLevelType w:val="hybridMultilevel"/>
    <w:tmpl w:val="115667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4967031"/>
    <w:multiLevelType w:val="hybridMultilevel"/>
    <w:tmpl w:val="D4C4DE1A"/>
    <w:lvl w:ilvl="0" w:tplc="04090001">
      <w:start w:val="1"/>
      <w:numFmt w:val="bullet"/>
      <w:lvlText w:val=""/>
      <w:lvlJc w:val="left"/>
      <w:pPr>
        <w:ind w:left="720" w:hanging="360"/>
      </w:pPr>
      <w:rPr>
        <w:rFonts w:ascii="Symbol" w:hAnsi="Symbol" w:hint="default"/>
        <w:lang w:val="en-US"/>
      </w:rPr>
    </w:lvl>
    <w:lvl w:ilvl="1" w:tplc="4EDA8508">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66EAB"/>
    <w:multiLevelType w:val="hybridMultilevel"/>
    <w:tmpl w:val="E30840D4"/>
    <w:lvl w:ilvl="0" w:tplc="8EC0EF94">
      <w:start w:val="1"/>
      <w:numFmt w:val="bullet"/>
      <w:lvlText w:val=""/>
      <w:lvlJc w:val="left"/>
      <w:pPr>
        <w:tabs>
          <w:tab w:val="num" w:pos="720"/>
        </w:tabs>
        <w:ind w:left="720" w:hanging="360"/>
      </w:pPr>
      <w:rPr>
        <w:rFonts w:ascii="Wingdings" w:hAnsi="Wingdings" w:hint="default"/>
      </w:rPr>
    </w:lvl>
    <w:lvl w:ilvl="1" w:tplc="81A05D08">
      <w:start w:val="244"/>
      <w:numFmt w:val="bullet"/>
      <w:lvlText w:val="•"/>
      <w:lvlJc w:val="left"/>
      <w:pPr>
        <w:tabs>
          <w:tab w:val="num" w:pos="1440"/>
        </w:tabs>
        <w:ind w:left="1440" w:hanging="360"/>
      </w:pPr>
      <w:rPr>
        <w:rFonts w:ascii="Arial" w:hAnsi="Arial" w:hint="default"/>
      </w:rPr>
    </w:lvl>
    <w:lvl w:ilvl="2" w:tplc="6CFA2202" w:tentative="1">
      <w:start w:val="1"/>
      <w:numFmt w:val="bullet"/>
      <w:lvlText w:val=""/>
      <w:lvlJc w:val="left"/>
      <w:pPr>
        <w:tabs>
          <w:tab w:val="num" w:pos="2160"/>
        </w:tabs>
        <w:ind w:left="2160" w:hanging="360"/>
      </w:pPr>
      <w:rPr>
        <w:rFonts w:ascii="Wingdings" w:hAnsi="Wingdings" w:hint="default"/>
      </w:rPr>
    </w:lvl>
    <w:lvl w:ilvl="3" w:tplc="0E0091D2" w:tentative="1">
      <w:start w:val="1"/>
      <w:numFmt w:val="bullet"/>
      <w:lvlText w:val=""/>
      <w:lvlJc w:val="left"/>
      <w:pPr>
        <w:tabs>
          <w:tab w:val="num" w:pos="2880"/>
        </w:tabs>
        <w:ind w:left="2880" w:hanging="360"/>
      </w:pPr>
      <w:rPr>
        <w:rFonts w:ascii="Wingdings" w:hAnsi="Wingdings" w:hint="default"/>
      </w:rPr>
    </w:lvl>
    <w:lvl w:ilvl="4" w:tplc="CED67C7A" w:tentative="1">
      <w:start w:val="1"/>
      <w:numFmt w:val="bullet"/>
      <w:lvlText w:val=""/>
      <w:lvlJc w:val="left"/>
      <w:pPr>
        <w:tabs>
          <w:tab w:val="num" w:pos="3600"/>
        </w:tabs>
        <w:ind w:left="3600" w:hanging="360"/>
      </w:pPr>
      <w:rPr>
        <w:rFonts w:ascii="Wingdings" w:hAnsi="Wingdings" w:hint="default"/>
      </w:rPr>
    </w:lvl>
    <w:lvl w:ilvl="5" w:tplc="DCFA0DDE" w:tentative="1">
      <w:start w:val="1"/>
      <w:numFmt w:val="bullet"/>
      <w:lvlText w:val=""/>
      <w:lvlJc w:val="left"/>
      <w:pPr>
        <w:tabs>
          <w:tab w:val="num" w:pos="4320"/>
        </w:tabs>
        <w:ind w:left="4320" w:hanging="360"/>
      </w:pPr>
      <w:rPr>
        <w:rFonts w:ascii="Wingdings" w:hAnsi="Wingdings" w:hint="default"/>
      </w:rPr>
    </w:lvl>
    <w:lvl w:ilvl="6" w:tplc="6E66DE3E" w:tentative="1">
      <w:start w:val="1"/>
      <w:numFmt w:val="bullet"/>
      <w:lvlText w:val=""/>
      <w:lvlJc w:val="left"/>
      <w:pPr>
        <w:tabs>
          <w:tab w:val="num" w:pos="5040"/>
        </w:tabs>
        <w:ind w:left="5040" w:hanging="360"/>
      </w:pPr>
      <w:rPr>
        <w:rFonts w:ascii="Wingdings" w:hAnsi="Wingdings" w:hint="default"/>
      </w:rPr>
    </w:lvl>
    <w:lvl w:ilvl="7" w:tplc="82D6BF40" w:tentative="1">
      <w:start w:val="1"/>
      <w:numFmt w:val="bullet"/>
      <w:lvlText w:val=""/>
      <w:lvlJc w:val="left"/>
      <w:pPr>
        <w:tabs>
          <w:tab w:val="num" w:pos="5760"/>
        </w:tabs>
        <w:ind w:left="5760" w:hanging="360"/>
      </w:pPr>
      <w:rPr>
        <w:rFonts w:ascii="Wingdings" w:hAnsi="Wingdings" w:hint="default"/>
      </w:rPr>
    </w:lvl>
    <w:lvl w:ilvl="8" w:tplc="819810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C4C9A"/>
    <w:multiLevelType w:val="hybridMultilevel"/>
    <w:tmpl w:val="8EEA27E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33260FC"/>
    <w:multiLevelType w:val="hybridMultilevel"/>
    <w:tmpl w:val="E3086BCC"/>
    <w:lvl w:ilvl="0" w:tplc="08090017">
      <w:start w:val="1"/>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5B3F5C66"/>
    <w:multiLevelType w:val="hybridMultilevel"/>
    <w:tmpl w:val="212856A8"/>
    <w:lvl w:ilvl="0" w:tplc="08090003">
      <w:start w:val="1"/>
      <w:numFmt w:val="bullet"/>
      <w:lvlText w:val="o"/>
      <w:lvlJc w:val="left"/>
      <w:pPr>
        <w:ind w:left="360" w:hanging="360"/>
      </w:pPr>
      <w:rPr>
        <w:rFonts w:ascii="Courier New" w:hAnsi="Courier New" w:cs="Courier New"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C31C9"/>
    <w:multiLevelType w:val="hybridMultilevel"/>
    <w:tmpl w:val="4B5451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7E016EB"/>
    <w:multiLevelType w:val="hybridMultilevel"/>
    <w:tmpl w:val="D4D6AEFE"/>
    <w:lvl w:ilvl="0" w:tplc="EE12E508">
      <w:start w:val="1"/>
      <w:numFmt w:val="decimal"/>
      <w:pStyle w:val="Heading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1C7667"/>
    <w:multiLevelType w:val="hybridMultilevel"/>
    <w:tmpl w:val="4F086370"/>
    <w:lvl w:ilvl="0" w:tplc="0809000F">
      <w:start w:val="1"/>
      <w:numFmt w:val="decimal"/>
      <w:lvlText w:val="%1."/>
      <w:lvlJc w:val="left"/>
      <w:pPr>
        <w:ind w:left="720" w:hanging="360"/>
      </w:pPr>
      <w:rPr>
        <w:rFonts w:hint="default"/>
      </w:rPr>
    </w:lvl>
    <w:lvl w:ilvl="1" w:tplc="E9421FA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E29AA"/>
    <w:multiLevelType w:val="hybridMultilevel"/>
    <w:tmpl w:val="275EC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1"/>
  </w:num>
  <w:num w:numId="5">
    <w:abstractNumId w:val="15"/>
  </w:num>
  <w:num w:numId="6">
    <w:abstractNumId w:val="15"/>
  </w:num>
  <w:num w:numId="7">
    <w:abstractNumId w:val="15"/>
  </w:num>
  <w:num w:numId="8">
    <w:abstractNumId w:val="15"/>
  </w:num>
  <w:num w:numId="9">
    <w:abstractNumId w:val="15"/>
    <w:lvlOverride w:ilvl="0">
      <w:startOverride w:val="1"/>
    </w:lvlOverride>
  </w:num>
  <w:num w:numId="10">
    <w:abstractNumId w:val="0"/>
  </w:num>
  <w:num w:numId="11">
    <w:abstractNumId w:val="4"/>
  </w:num>
  <w:num w:numId="12">
    <w:abstractNumId w:val="13"/>
  </w:num>
  <w:num w:numId="13">
    <w:abstractNumId w:val="12"/>
  </w:num>
  <w:num w:numId="14">
    <w:abstractNumId w:val="10"/>
  </w:num>
  <w:num w:numId="15">
    <w:abstractNumId w:val="16"/>
  </w:num>
  <w:num w:numId="16">
    <w:abstractNumId w:val="17"/>
  </w:num>
  <w:num w:numId="17">
    <w:abstractNumId w:val="8"/>
  </w:num>
  <w:num w:numId="18">
    <w:abstractNumId w:val="6"/>
  </w:num>
  <w:num w:numId="19">
    <w:abstractNumId w:val="3"/>
  </w:num>
  <w:num w:numId="20">
    <w:abstractNumId w:val="2"/>
  </w:num>
  <w:num w:numId="21">
    <w:abstractNumId w:val="15"/>
  </w:num>
  <w:num w:numId="22">
    <w:abstractNumId w:val="15"/>
  </w:num>
  <w:num w:numId="23">
    <w:abstractNumId w:val="15"/>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5"/>
    <w:lvlOverride w:ilvl="0">
      <w:startOverride w:val="1"/>
    </w:lvlOverride>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3330CF3-E079-42F7-8DD0-09E8358F85B9"/>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xelles, "/>
    <w:docVar w:name="LW_EMISSION_SUFFIX" w:val=" "/>
    <w:docVar w:name="LW_ID_DOCTYPE_NONLW" w:val="CP-008"/>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2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aport privind progresele înregistrate în domeniul energiei din surse regenerabile"/>
    <w:docVar w:name="LW_TYPE.DOC.CP" w:val="RAPORT AL COMISIEI C\u258?TRE PARLAMENTUL EUROPEAN, CONSILIU, COMITETUL ECONOMIC \u536?I SOCIAL EUROPEAN \u536?I COMITETUL REGIUNILOR"/>
  </w:docVars>
  <w:rsids>
    <w:rsidRoot w:val="001C1F3A"/>
    <w:rsid w:val="001C1F3A"/>
    <w:rsid w:val="004E7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61F71F5-BA59-4148-90E5-EAA7988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ro-RO"/>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pPr>
      <w:keepNext/>
      <w:keepLines/>
      <w:numPr>
        <w:numId w:val="5"/>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rPr>
      <w:sz w:val="20"/>
      <w:szCs w:val="20"/>
    </w:rPr>
  </w:style>
  <w:style w:type="character" w:styleId="FootnoteReference">
    <w:name w:val="footnote reference"/>
    <w:aliases w:val="number,SUPERS,Footnote Reference Superscript,stylish,Footnote symbol,Footnote Reference Number,Footnote reference number,note TESI,-E Fußnotenzeichen,ftref,EN Footnote Reference,(Diplomarbeit FZ),(Diplomarbeit FZ)1,(Diplomarbeit FZ)2"/>
    <w:basedOn w:val="DefaultParagraphFont"/>
    <w:uiPriority w:val="99"/>
    <w:unhideWhenUsed/>
    <w:qFormat/>
    <w:rPr>
      <w:vertAlign w:val="superscript"/>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Bullet 1"/>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table" w:customStyle="1" w:styleId="Tablestylegreen2">
    <w:name w:val="Tablestyle_green2"/>
    <w:basedOn w:val="TableNormal"/>
    <w:pPr>
      <w:spacing w:before="100" w:beforeAutospacing="1" w:after="100" w:afterAutospacing="1" w:line="240" w:lineRule="auto"/>
      <w:contextualSpacing/>
    </w:pPr>
    <w:rPr>
      <w:rFonts w:ascii="Arial" w:eastAsia="Times New Roman" w:hAnsi="Arial" w:cs="Times New Roman"/>
      <w:color w:val="000000"/>
      <w:sz w:val="16"/>
      <w:szCs w:val="18"/>
    </w:rPr>
    <w:tblPr>
      <w:tblStyleRowBandSize w:val="1"/>
      <w:tblStyleColBandSize w:val="1"/>
      <w:tblInd w:w="108" w:type="dxa"/>
      <w:tblBorders>
        <w:bottom w:val="single" w:sz="18" w:space="0" w:color="648C1A"/>
      </w:tblBorders>
    </w:tblPr>
    <w:tcPr>
      <w:vAlign w:val="center"/>
    </w:tcPr>
    <w:tblStylePr w:type="firstRow">
      <w:rPr>
        <w:rFonts w:ascii="Arial" w:hAnsi="Arial"/>
        <w:b w:val="0"/>
        <w:color w:val="000000"/>
        <w:sz w:val="16"/>
      </w:rPr>
      <w:tblPr/>
      <w:tcPr>
        <w:tcBorders>
          <w:top w:val="single" w:sz="4" w:space="0" w:color="8B8D8E"/>
          <w:left w:val="single" w:sz="4" w:space="0" w:color="8B8D8E"/>
          <w:bottom w:val="single" w:sz="4" w:space="0" w:color="8B8D8E"/>
          <w:right w:val="single" w:sz="4" w:space="0" w:color="8B8D8E"/>
          <w:insideH w:val="single" w:sz="4" w:space="0" w:color="8B8D8E"/>
          <w:insideV w:val="single" w:sz="4" w:space="0" w:color="8B8D8E"/>
          <w:tl2br w:val="nil"/>
          <w:tr2bl w:val="nil"/>
        </w:tcBorders>
      </w:tcPr>
    </w:tblStylePr>
    <w:tblStylePr w:type="lastRow">
      <w:rPr>
        <w:rFonts w:ascii="Arial" w:hAnsi="Arial"/>
        <w:sz w:val="16"/>
      </w:rPr>
      <w:tblPr/>
      <w:tcPr>
        <w:tcBorders>
          <w:top w:val="nil"/>
          <w:left w:val="single" w:sz="4" w:space="0" w:color="8B8D8E"/>
          <w:bottom w:val="single" w:sz="18" w:space="0" w:color="648C1A"/>
          <w:right w:val="single" w:sz="4" w:space="0" w:color="8B8D8E"/>
          <w:insideH w:val="nil"/>
          <w:insideV w:val="single" w:sz="4" w:space="0" w:color="8B8D8E"/>
          <w:tl2br w:val="nil"/>
          <w:tr2bl w:val="nil"/>
        </w:tcBorders>
      </w:tcPr>
    </w:tblStylePr>
    <w:tblStylePr w:type="firstCol">
      <w:rPr>
        <w:rFonts w:ascii="Arial" w:hAnsi="Arial"/>
        <w:b/>
        <w:i w:val="0"/>
        <w:color w:val="FFFFFF"/>
        <w:sz w:val="16"/>
      </w:rPr>
      <w:tblPr/>
      <w:tcPr>
        <w:tcBorders>
          <w:bottom w:val="nil"/>
          <w:insideH w:val="single" w:sz="4" w:space="0" w:color="FFFFFF" w:themeColor="background1"/>
        </w:tcBorders>
        <w:shd w:val="clear" w:color="auto" w:fill="648C1A"/>
      </w:tc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rPr>
        <w:rFonts w:ascii="Arial" w:hAnsi="Arial"/>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Arial" w:hAnsi="Arial"/>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neCell">
      <w:rPr>
        <w:rFonts w:ascii="Arial" w:hAnsi="Arial"/>
      </w:rPr>
    </w:tblStylePr>
    <w:tblStylePr w:type="nwCell">
      <w:rPr>
        <w:rFonts w:ascii="Arial" w:hAnsi="Arial"/>
        <w:b/>
        <w:color w:val="FFFFFF"/>
        <w:sz w:val="16"/>
      </w:rPr>
      <w:tblPr/>
      <w:tcPr>
        <w:tcBorders>
          <w:top w:val="single" w:sz="4" w:space="0" w:color="7AB800"/>
          <w:left w:val="single" w:sz="4" w:space="0" w:color="7AB800"/>
          <w:bottom w:val="single" w:sz="4" w:space="0" w:color="FFFFFF"/>
          <w:right w:val="single" w:sz="4" w:space="0" w:color="7AB800"/>
          <w:insideH w:val="nil"/>
          <w:insideV w:val="nil"/>
          <w:tl2br w:val="nil"/>
          <w:tr2bl w:val="nil"/>
        </w:tcBorders>
      </w:tcPr>
    </w:tblStylePr>
    <w:tblStylePr w:type="seCell">
      <w:rPr>
        <w:rFonts w:ascii="Arial" w:hAnsi="Arial"/>
      </w:rPr>
    </w:tblStylePr>
    <w:tblStylePr w:type="swCell">
      <w:rPr>
        <w:rFonts w:ascii="Arial" w:hAnsi="Arial"/>
      </w:rPr>
      <w:tblPr/>
      <w:tcPr>
        <w:tcBorders>
          <w:top w:val="single" w:sz="4" w:space="0" w:color="FFFFFF"/>
          <w:left w:val="single" w:sz="4" w:space="0" w:color="7AB800"/>
          <w:bottom w:val="single" w:sz="18" w:space="0" w:color="648C1A"/>
          <w:right w:val="single" w:sz="4" w:space="0" w:color="7AB800"/>
          <w:insideH w:val="nil"/>
          <w:insideV w:val="nil"/>
          <w:tl2br w:val="nil"/>
          <w:tr2bl w:val="nil"/>
        </w:tcBorders>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
    <w:name w:val="m"/>
    <w:basedOn w:val="Normal"/>
    <w:pPr>
      <w:jc w:val="both"/>
    </w:pPr>
    <w:rPr>
      <w:rFonts w:ascii="Times New Roman" w:hAnsi="Times New Roman" w:cs="Times New Roman"/>
      <w:b/>
      <w:sz w:val="24"/>
      <w:szCs w:val="24"/>
      <w:u w:val="single"/>
    </w:rPr>
  </w:style>
  <w:style w:type="character" w:customStyle="1" w:styleId="Heading1Char">
    <w:name w:val="Heading 1 Char"/>
    <w:basedOn w:val="DefaultParagraphFont"/>
    <w:link w:val="Heading1"/>
    <w:rPr>
      <w:rFonts w:ascii="Times New Roman" w:hAnsi="Times New Roman" w:cs="Times New Roman"/>
      <w:b/>
      <w:sz w:val="24"/>
      <w:szCs w:val="24"/>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itleChar"/>
    <w:link w:val="FooterCoverPage"/>
    <w:rPr>
      <w:rFonts w:ascii="Times New Roman" w:eastAsiaTheme="majorEastAsia" w:hAnsi="Times New Roman" w:cs="Times New Roman"/>
      <w:spacing w:val="-10"/>
      <w:kern w:val="28"/>
      <w:sz w:val="24"/>
      <w:szCs w:val="5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itleChar"/>
    <w:link w:val="FooterSensitivity"/>
    <w:rPr>
      <w:rFonts w:ascii="Times New Roman" w:eastAsiaTheme="majorEastAsia" w:hAnsi="Times New Roman" w:cs="Times New Roman"/>
      <w:b/>
      <w:spacing w:val="-10"/>
      <w:kern w:val="28"/>
      <w:sz w:val="32"/>
      <w:szCs w:val="56"/>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itleChar"/>
    <w:link w:val="HeaderCoverPage"/>
    <w:rPr>
      <w:rFonts w:ascii="Times New Roman" w:eastAsiaTheme="majorEastAsia" w:hAnsi="Times New Roman" w:cs="Times New Roman"/>
      <w:spacing w:val="-10"/>
      <w:kern w:val="28"/>
      <w:sz w:val="24"/>
      <w:szCs w:val="56"/>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itleChar"/>
    <w:link w:val="HeaderSensitivity"/>
    <w:rPr>
      <w:rFonts w:ascii="Times New Roman" w:eastAsiaTheme="majorEastAsia" w:hAnsi="Times New Roman" w:cs="Times New Roman"/>
      <w:b/>
      <w:spacing w:val="-10"/>
      <w:kern w:val="28"/>
      <w:sz w:val="32"/>
      <w:szCs w:val="56"/>
    </w:rPr>
  </w:style>
  <w:style w:type="table" w:customStyle="1" w:styleId="Tablestylegreen">
    <w:name w:val="Tablestyle_green"/>
    <w:basedOn w:val="TableNormal"/>
    <w:pPr>
      <w:spacing w:before="100" w:beforeAutospacing="1" w:after="100" w:afterAutospacing="1" w:line="283" w:lineRule="atLeast"/>
      <w:contextualSpacing/>
    </w:pPr>
    <w:rPr>
      <w:rFonts w:ascii="Verdana" w:eastAsia="Times New Roman" w:hAnsi="Verdana" w:cs="Times New Roman"/>
      <w:color w:val="000000"/>
      <w:sz w:val="16"/>
      <w:szCs w:val="20"/>
    </w:rPr>
    <w:tblPr>
      <w:tblStyleRowBandSize w:val="1"/>
      <w:tblStyleColBandSize w:val="1"/>
      <w:tblInd w:w="108" w:type="dxa"/>
    </w:tblPr>
    <w:tcPr>
      <w:vAlign w:val="center"/>
    </w:tcPr>
    <w:tblStylePr w:type="firstRow">
      <w:rPr>
        <w:rFonts w:ascii="Cambria" w:hAnsi="Cambria"/>
        <w:b/>
        <w:color w:val="FFFFFF"/>
        <w:sz w:val="16"/>
      </w:rPr>
      <w:tblPr/>
      <w:tcPr>
        <w:tcBorders>
          <w:top w:val="single" w:sz="4" w:space="0" w:color="7AB800"/>
          <w:left w:val="single" w:sz="4" w:space="0" w:color="7AB800"/>
          <w:bottom w:val="single" w:sz="4" w:space="0" w:color="7AB800"/>
          <w:right w:val="single" w:sz="4" w:space="0" w:color="7AB800"/>
          <w:insideH w:val="single" w:sz="4" w:space="0" w:color="7AB800"/>
          <w:insideV w:val="single" w:sz="4" w:space="0" w:color="FFFFFF"/>
          <w:tl2br w:val="nil"/>
          <w:tr2bl w:val="nil"/>
        </w:tcBorders>
        <w:shd w:val="clear" w:color="auto" w:fill="7AB800"/>
      </w:tcPr>
    </w:tblStylePr>
    <w:tblStylePr w:type="lastRow">
      <w:rPr>
        <w:rFonts w:ascii="Cambria" w:hAnsi="Cambria"/>
        <w:sz w:val="16"/>
      </w:rPr>
      <w:tblPr/>
      <w:tcPr>
        <w:tcBorders>
          <w:top w:val="nil"/>
          <w:left w:val="single" w:sz="4" w:space="0" w:color="8B8D8E"/>
          <w:bottom w:val="single" w:sz="18" w:space="0" w:color="7AB800"/>
          <w:right w:val="single" w:sz="4" w:space="0" w:color="8B8D8E"/>
          <w:insideH w:val="nil"/>
          <w:insideV w:val="single" w:sz="4" w:space="0" w:color="8B8D8E"/>
          <w:tl2br w:val="nil"/>
          <w:tr2bl w:val="nil"/>
        </w:tcBorders>
      </w:tcPr>
    </w:tblStylePr>
    <w:tblStylePr w:type="firstCol">
      <w:rPr>
        <w:rFonts w:ascii="Cambria" w:hAnsi="Cambria"/>
        <w:sz w:val="16"/>
      </w:rPr>
    </w:tblStylePr>
    <w:tblStylePr w:type="lastCol">
      <w:rPr>
        <w:rFonts w:ascii="Cambria" w:hAnsi="Cambria"/>
        <w:sz w:val="16"/>
      </w:rPr>
    </w:tblStylePr>
    <w:tblStylePr w:type="band1Vert">
      <w:rPr>
        <w:rFonts w:ascii="Cambria" w:hAnsi="Cambria"/>
        <w:sz w:val="16"/>
      </w:rPr>
    </w:tblStylePr>
    <w:tblStylePr w:type="band2Vert">
      <w:rPr>
        <w:rFonts w:ascii="Cambria" w:hAnsi="Cambria"/>
        <w:sz w:val="16"/>
      </w:rPr>
    </w:tblStylePr>
    <w:tblStylePr w:type="band1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neCell">
      <w:rPr>
        <w:rFonts w:ascii="Cambria" w:hAnsi="Cambria"/>
        <w:sz w:val="16"/>
      </w:rPr>
    </w:tblStylePr>
    <w:tblStylePr w:type="nwCell">
      <w:rPr>
        <w:rFonts w:ascii="Cambria" w:hAnsi="Cambria"/>
        <w:sz w:val="16"/>
      </w:rPr>
    </w:tblStylePr>
    <w:tblStylePr w:type="seCell">
      <w:rPr>
        <w:rFonts w:ascii="Cambria" w:hAnsi="Cambria"/>
        <w:sz w:val="16"/>
      </w:rPr>
    </w:tblStylePr>
    <w:tblStylePr w:type="swCell">
      <w:rPr>
        <w:rFonts w:ascii="Cambria" w:hAnsi="Cambria"/>
        <w:sz w:val="16"/>
      </w:rPr>
    </w:tblStylePr>
  </w:style>
  <w:style w:type="paragraph" w:styleId="NoSpacing">
    <w:name w:val="No Spacing"/>
    <w:uiPriority w:val="1"/>
    <w:qFormat/>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rPr>
      <w:rFonts w:ascii="Calibri" w:hAnsi="Calibri" w:cs="Calibri"/>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
    <w:basedOn w:val="DefaultParagraphFont"/>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5645">
      <w:bodyDiv w:val="1"/>
      <w:marLeft w:val="0"/>
      <w:marRight w:val="0"/>
      <w:marTop w:val="0"/>
      <w:marBottom w:val="0"/>
      <w:divBdr>
        <w:top w:val="none" w:sz="0" w:space="0" w:color="auto"/>
        <w:left w:val="none" w:sz="0" w:space="0" w:color="auto"/>
        <w:bottom w:val="none" w:sz="0" w:space="0" w:color="auto"/>
        <w:right w:val="none" w:sz="0" w:space="0" w:color="auto"/>
      </w:divBdr>
    </w:div>
    <w:div w:id="164974368">
      <w:bodyDiv w:val="1"/>
      <w:marLeft w:val="0"/>
      <w:marRight w:val="0"/>
      <w:marTop w:val="0"/>
      <w:marBottom w:val="0"/>
      <w:divBdr>
        <w:top w:val="none" w:sz="0" w:space="0" w:color="auto"/>
        <w:left w:val="none" w:sz="0" w:space="0" w:color="auto"/>
        <w:bottom w:val="none" w:sz="0" w:space="0" w:color="auto"/>
        <w:right w:val="none" w:sz="0" w:space="0" w:color="auto"/>
      </w:divBdr>
    </w:div>
    <w:div w:id="225191113">
      <w:bodyDiv w:val="1"/>
      <w:marLeft w:val="0"/>
      <w:marRight w:val="0"/>
      <w:marTop w:val="0"/>
      <w:marBottom w:val="0"/>
      <w:divBdr>
        <w:top w:val="none" w:sz="0" w:space="0" w:color="auto"/>
        <w:left w:val="none" w:sz="0" w:space="0" w:color="auto"/>
        <w:bottom w:val="none" w:sz="0" w:space="0" w:color="auto"/>
        <w:right w:val="none" w:sz="0" w:space="0" w:color="auto"/>
      </w:divBdr>
    </w:div>
    <w:div w:id="320473223">
      <w:bodyDiv w:val="1"/>
      <w:marLeft w:val="0"/>
      <w:marRight w:val="0"/>
      <w:marTop w:val="0"/>
      <w:marBottom w:val="0"/>
      <w:divBdr>
        <w:top w:val="none" w:sz="0" w:space="0" w:color="auto"/>
        <w:left w:val="none" w:sz="0" w:space="0" w:color="auto"/>
        <w:bottom w:val="none" w:sz="0" w:space="0" w:color="auto"/>
        <w:right w:val="none" w:sz="0" w:space="0" w:color="auto"/>
      </w:divBdr>
    </w:div>
    <w:div w:id="394857189">
      <w:bodyDiv w:val="1"/>
      <w:marLeft w:val="0"/>
      <w:marRight w:val="0"/>
      <w:marTop w:val="0"/>
      <w:marBottom w:val="0"/>
      <w:divBdr>
        <w:top w:val="none" w:sz="0" w:space="0" w:color="auto"/>
        <w:left w:val="none" w:sz="0" w:space="0" w:color="auto"/>
        <w:bottom w:val="none" w:sz="0" w:space="0" w:color="auto"/>
        <w:right w:val="none" w:sz="0" w:space="0" w:color="auto"/>
      </w:divBdr>
      <w:divsChild>
        <w:div w:id="902058367">
          <w:marLeft w:val="446"/>
          <w:marRight w:val="0"/>
          <w:marTop w:val="0"/>
          <w:marBottom w:val="0"/>
          <w:divBdr>
            <w:top w:val="none" w:sz="0" w:space="0" w:color="auto"/>
            <w:left w:val="none" w:sz="0" w:space="0" w:color="auto"/>
            <w:bottom w:val="none" w:sz="0" w:space="0" w:color="auto"/>
            <w:right w:val="none" w:sz="0" w:space="0" w:color="auto"/>
          </w:divBdr>
        </w:div>
        <w:div w:id="1232037879">
          <w:marLeft w:val="1166"/>
          <w:marRight w:val="0"/>
          <w:marTop w:val="120"/>
          <w:marBottom w:val="0"/>
          <w:divBdr>
            <w:top w:val="none" w:sz="0" w:space="0" w:color="auto"/>
            <w:left w:val="none" w:sz="0" w:space="0" w:color="auto"/>
            <w:bottom w:val="none" w:sz="0" w:space="0" w:color="auto"/>
            <w:right w:val="none" w:sz="0" w:space="0" w:color="auto"/>
          </w:divBdr>
        </w:div>
        <w:div w:id="1272587569">
          <w:marLeft w:val="1166"/>
          <w:marRight w:val="0"/>
          <w:marTop w:val="120"/>
          <w:marBottom w:val="0"/>
          <w:divBdr>
            <w:top w:val="none" w:sz="0" w:space="0" w:color="auto"/>
            <w:left w:val="none" w:sz="0" w:space="0" w:color="auto"/>
            <w:bottom w:val="none" w:sz="0" w:space="0" w:color="auto"/>
            <w:right w:val="none" w:sz="0" w:space="0" w:color="auto"/>
          </w:divBdr>
        </w:div>
        <w:div w:id="1600016838">
          <w:marLeft w:val="1166"/>
          <w:marRight w:val="0"/>
          <w:marTop w:val="120"/>
          <w:marBottom w:val="0"/>
          <w:divBdr>
            <w:top w:val="none" w:sz="0" w:space="0" w:color="auto"/>
            <w:left w:val="none" w:sz="0" w:space="0" w:color="auto"/>
            <w:bottom w:val="none" w:sz="0" w:space="0" w:color="auto"/>
            <w:right w:val="none" w:sz="0" w:space="0" w:color="auto"/>
          </w:divBdr>
        </w:div>
        <w:div w:id="1443575271">
          <w:marLeft w:val="1166"/>
          <w:marRight w:val="0"/>
          <w:marTop w:val="120"/>
          <w:marBottom w:val="0"/>
          <w:divBdr>
            <w:top w:val="none" w:sz="0" w:space="0" w:color="auto"/>
            <w:left w:val="none" w:sz="0" w:space="0" w:color="auto"/>
            <w:bottom w:val="none" w:sz="0" w:space="0" w:color="auto"/>
            <w:right w:val="none" w:sz="0" w:space="0" w:color="auto"/>
          </w:divBdr>
        </w:div>
        <w:div w:id="2097700191">
          <w:marLeft w:val="446"/>
          <w:marRight w:val="0"/>
          <w:marTop w:val="0"/>
          <w:marBottom w:val="0"/>
          <w:divBdr>
            <w:top w:val="none" w:sz="0" w:space="0" w:color="auto"/>
            <w:left w:val="none" w:sz="0" w:space="0" w:color="auto"/>
            <w:bottom w:val="none" w:sz="0" w:space="0" w:color="auto"/>
            <w:right w:val="none" w:sz="0" w:space="0" w:color="auto"/>
          </w:divBdr>
        </w:div>
        <w:div w:id="346250767">
          <w:marLeft w:val="446"/>
          <w:marRight w:val="0"/>
          <w:marTop w:val="0"/>
          <w:marBottom w:val="0"/>
          <w:divBdr>
            <w:top w:val="none" w:sz="0" w:space="0" w:color="auto"/>
            <w:left w:val="none" w:sz="0" w:space="0" w:color="auto"/>
            <w:bottom w:val="none" w:sz="0" w:space="0" w:color="auto"/>
            <w:right w:val="none" w:sz="0" w:space="0" w:color="auto"/>
          </w:divBdr>
        </w:div>
        <w:div w:id="593049214">
          <w:marLeft w:val="446"/>
          <w:marRight w:val="0"/>
          <w:marTop w:val="0"/>
          <w:marBottom w:val="0"/>
          <w:divBdr>
            <w:top w:val="none" w:sz="0" w:space="0" w:color="auto"/>
            <w:left w:val="none" w:sz="0" w:space="0" w:color="auto"/>
            <w:bottom w:val="none" w:sz="0" w:space="0" w:color="auto"/>
            <w:right w:val="none" w:sz="0" w:space="0" w:color="auto"/>
          </w:divBdr>
        </w:div>
      </w:divsChild>
    </w:div>
    <w:div w:id="461772440">
      <w:bodyDiv w:val="1"/>
      <w:marLeft w:val="0"/>
      <w:marRight w:val="0"/>
      <w:marTop w:val="0"/>
      <w:marBottom w:val="0"/>
      <w:divBdr>
        <w:top w:val="none" w:sz="0" w:space="0" w:color="auto"/>
        <w:left w:val="none" w:sz="0" w:space="0" w:color="auto"/>
        <w:bottom w:val="none" w:sz="0" w:space="0" w:color="auto"/>
        <w:right w:val="none" w:sz="0" w:space="0" w:color="auto"/>
      </w:divBdr>
    </w:div>
    <w:div w:id="657808420">
      <w:bodyDiv w:val="1"/>
      <w:marLeft w:val="0"/>
      <w:marRight w:val="0"/>
      <w:marTop w:val="0"/>
      <w:marBottom w:val="0"/>
      <w:divBdr>
        <w:top w:val="none" w:sz="0" w:space="0" w:color="auto"/>
        <w:left w:val="none" w:sz="0" w:space="0" w:color="auto"/>
        <w:bottom w:val="none" w:sz="0" w:space="0" w:color="auto"/>
        <w:right w:val="none" w:sz="0" w:space="0" w:color="auto"/>
      </w:divBdr>
    </w:div>
    <w:div w:id="790173814">
      <w:bodyDiv w:val="1"/>
      <w:marLeft w:val="0"/>
      <w:marRight w:val="0"/>
      <w:marTop w:val="0"/>
      <w:marBottom w:val="0"/>
      <w:divBdr>
        <w:top w:val="none" w:sz="0" w:space="0" w:color="auto"/>
        <w:left w:val="none" w:sz="0" w:space="0" w:color="auto"/>
        <w:bottom w:val="none" w:sz="0" w:space="0" w:color="auto"/>
        <w:right w:val="none" w:sz="0" w:space="0" w:color="auto"/>
      </w:divBdr>
      <w:divsChild>
        <w:div w:id="105933229">
          <w:marLeft w:val="0"/>
          <w:marRight w:val="0"/>
          <w:marTop w:val="0"/>
          <w:marBottom w:val="0"/>
          <w:divBdr>
            <w:top w:val="none" w:sz="0" w:space="0" w:color="auto"/>
            <w:left w:val="none" w:sz="0" w:space="0" w:color="auto"/>
            <w:bottom w:val="none" w:sz="0" w:space="0" w:color="auto"/>
            <w:right w:val="none" w:sz="0" w:space="0" w:color="auto"/>
          </w:divBdr>
        </w:div>
        <w:div w:id="723679239">
          <w:marLeft w:val="0"/>
          <w:marRight w:val="0"/>
          <w:marTop w:val="0"/>
          <w:marBottom w:val="0"/>
          <w:divBdr>
            <w:top w:val="none" w:sz="0" w:space="0" w:color="auto"/>
            <w:left w:val="none" w:sz="0" w:space="0" w:color="auto"/>
            <w:bottom w:val="none" w:sz="0" w:space="0" w:color="auto"/>
            <w:right w:val="none" w:sz="0" w:space="0" w:color="auto"/>
          </w:divBdr>
        </w:div>
        <w:div w:id="1353192411">
          <w:marLeft w:val="0"/>
          <w:marRight w:val="0"/>
          <w:marTop w:val="0"/>
          <w:marBottom w:val="0"/>
          <w:divBdr>
            <w:top w:val="none" w:sz="0" w:space="0" w:color="auto"/>
            <w:left w:val="none" w:sz="0" w:space="0" w:color="auto"/>
            <w:bottom w:val="none" w:sz="0" w:space="0" w:color="auto"/>
            <w:right w:val="none" w:sz="0" w:space="0" w:color="auto"/>
          </w:divBdr>
        </w:div>
        <w:div w:id="1339038297">
          <w:marLeft w:val="0"/>
          <w:marRight w:val="0"/>
          <w:marTop w:val="0"/>
          <w:marBottom w:val="0"/>
          <w:divBdr>
            <w:top w:val="none" w:sz="0" w:space="0" w:color="auto"/>
            <w:left w:val="none" w:sz="0" w:space="0" w:color="auto"/>
            <w:bottom w:val="none" w:sz="0" w:space="0" w:color="auto"/>
            <w:right w:val="none" w:sz="0" w:space="0" w:color="auto"/>
          </w:divBdr>
        </w:div>
        <w:div w:id="1463038868">
          <w:marLeft w:val="0"/>
          <w:marRight w:val="0"/>
          <w:marTop w:val="0"/>
          <w:marBottom w:val="0"/>
          <w:divBdr>
            <w:top w:val="none" w:sz="0" w:space="0" w:color="auto"/>
            <w:left w:val="none" w:sz="0" w:space="0" w:color="auto"/>
            <w:bottom w:val="none" w:sz="0" w:space="0" w:color="auto"/>
            <w:right w:val="none" w:sz="0" w:space="0" w:color="auto"/>
          </w:divBdr>
        </w:div>
        <w:div w:id="1090080788">
          <w:marLeft w:val="0"/>
          <w:marRight w:val="0"/>
          <w:marTop w:val="0"/>
          <w:marBottom w:val="0"/>
          <w:divBdr>
            <w:top w:val="none" w:sz="0" w:space="0" w:color="auto"/>
            <w:left w:val="none" w:sz="0" w:space="0" w:color="auto"/>
            <w:bottom w:val="none" w:sz="0" w:space="0" w:color="auto"/>
            <w:right w:val="none" w:sz="0" w:space="0" w:color="auto"/>
          </w:divBdr>
        </w:div>
      </w:divsChild>
    </w:div>
    <w:div w:id="870532033">
      <w:bodyDiv w:val="1"/>
      <w:marLeft w:val="0"/>
      <w:marRight w:val="0"/>
      <w:marTop w:val="0"/>
      <w:marBottom w:val="0"/>
      <w:divBdr>
        <w:top w:val="none" w:sz="0" w:space="0" w:color="auto"/>
        <w:left w:val="none" w:sz="0" w:space="0" w:color="auto"/>
        <w:bottom w:val="none" w:sz="0" w:space="0" w:color="auto"/>
        <w:right w:val="none" w:sz="0" w:space="0" w:color="auto"/>
      </w:divBdr>
    </w:div>
    <w:div w:id="892428815">
      <w:bodyDiv w:val="1"/>
      <w:marLeft w:val="0"/>
      <w:marRight w:val="0"/>
      <w:marTop w:val="0"/>
      <w:marBottom w:val="0"/>
      <w:divBdr>
        <w:top w:val="none" w:sz="0" w:space="0" w:color="auto"/>
        <w:left w:val="none" w:sz="0" w:space="0" w:color="auto"/>
        <w:bottom w:val="none" w:sz="0" w:space="0" w:color="auto"/>
        <w:right w:val="none" w:sz="0" w:space="0" w:color="auto"/>
      </w:divBdr>
    </w:div>
    <w:div w:id="902184038">
      <w:bodyDiv w:val="1"/>
      <w:marLeft w:val="0"/>
      <w:marRight w:val="0"/>
      <w:marTop w:val="0"/>
      <w:marBottom w:val="0"/>
      <w:divBdr>
        <w:top w:val="none" w:sz="0" w:space="0" w:color="auto"/>
        <w:left w:val="none" w:sz="0" w:space="0" w:color="auto"/>
        <w:bottom w:val="none" w:sz="0" w:space="0" w:color="auto"/>
        <w:right w:val="none" w:sz="0" w:space="0" w:color="auto"/>
      </w:divBdr>
    </w:div>
    <w:div w:id="1181815246">
      <w:bodyDiv w:val="1"/>
      <w:marLeft w:val="0"/>
      <w:marRight w:val="0"/>
      <w:marTop w:val="0"/>
      <w:marBottom w:val="0"/>
      <w:divBdr>
        <w:top w:val="none" w:sz="0" w:space="0" w:color="auto"/>
        <w:left w:val="none" w:sz="0" w:space="0" w:color="auto"/>
        <w:bottom w:val="none" w:sz="0" w:space="0" w:color="auto"/>
        <w:right w:val="none" w:sz="0" w:space="0" w:color="auto"/>
      </w:divBdr>
    </w:div>
    <w:div w:id="1253509040">
      <w:bodyDiv w:val="1"/>
      <w:marLeft w:val="0"/>
      <w:marRight w:val="0"/>
      <w:marTop w:val="0"/>
      <w:marBottom w:val="0"/>
      <w:divBdr>
        <w:top w:val="none" w:sz="0" w:space="0" w:color="auto"/>
        <w:left w:val="none" w:sz="0" w:space="0" w:color="auto"/>
        <w:bottom w:val="none" w:sz="0" w:space="0" w:color="auto"/>
        <w:right w:val="none" w:sz="0" w:space="0" w:color="auto"/>
      </w:divBdr>
    </w:div>
    <w:div w:id="1385910443">
      <w:bodyDiv w:val="1"/>
      <w:marLeft w:val="0"/>
      <w:marRight w:val="0"/>
      <w:marTop w:val="0"/>
      <w:marBottom w:val="0"/>
      <w:divBdr>
        <w:top w:val="none" w:sz="0" w:space="0" w:color="auto"/>
        <w:left w:val="none" w:sz="0" w:space="0" w:color="auto"/>
        <w:bottom w:val="none" w:sz="0" w:space="0" w:color="auto"/>
        <w:right w:val="none" w:sz="0" w:space="0" w:color="auto"/>
      </w:divBdr>
    </w:div>
    <w:div w:id="1740126237">
      <w:bodyDiv w:val="1"/>
      <w:marLeft w:val="0"/>
      <w:marRight w:val="0"/>
      <w:marTop w:val="0"/>
      <w:marBottom w:val="0"/>
      <w:divBdr>
        <w:top w:val="none" w:sz="0" w:space="0" w:color="auto"/>
        <w:left w:val="none" w:sz="0" w:space="0" w:color="auto"/>
        <w:bottom w:val="none" w:sz="0" w:space="0" w:color="auto"/>
        <w:right w:val="none" w:sz="0" w:space="0" w:color="auto"/>
      </w:divBdr>
    </w:div>
    <w:div w:id="19651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ergy/en/topics/renewable-energy/national-action-plans" TargetMode="External"/><Relationship Id="rId13" Type="http://schemas.openxmlformats.org/officeDocument/2006/relationships/hyperlink" Target="https://ec.europa.eu/energy/en/topics/renewable-energy/biofuels/voluntary-schemes" TargetMode="External"/><Relationship Id="rId3" Type="http://schemas.openxmlformats.org/officeDocument/2006/relationships/hyperlink" Target="https://www.eea.europa.eu/publications/renewable-energy-in-europe-2018/" TargetMode="External"/><Relationship Id="rId7" Type="http://schemas.openxmlformats.org/officeDocument/2006/relationships/hyperlink" Target="https://ec.europa.eu/energy/en/topics/renewable-energy/progress-reports" TargetMode="External"/><Relationship Id="rId12" Type="http://schemas.openxmlformats.org/officeDocument/2006/relationships/hyperlink" Target="https://ec.europa.eu/energy/sites/ener/files/documents/technical_assistance_in_realisation_of_the_4th_report_on_progress_of_renewable_energy_in_the_eu-final_report.pdf" TargetMode="External"/><Relationship Id="rId2" Type="http://schemas.openxmlformats.org/officeDocument/2006/relationships/hyperlink" Target="https://www.eea.europa.eu/publications/renewable-energy-in-europe-2018" TargetMode="External"/><Relationship Id="rId1" Type="http://schemas.openxmlformats.org/officeDocument/2006/relationships/hyperlink" Target="https://ec.europa.eu/energy/en/topics/energy-strategy-and-energy-union/clean-energy-all-europeans" TargetMode="External"/><Relationship Id="rId6" Type="http://schemas.openxmlformats.org/officeDocument/2006/relationships/hyperlink" Target="https://ec.europa.eu/energy/en/topics/technology-and-innovation/strategic-energy-technology-plan" TargetMode="External"/><Relationship Id="rId11" Type="http://schemas.openxmlformats.org/officeDocument/2006/relationships/hyperlink" Target="https://green-x.at/" TargetMode="External"/><Relationship Id="rId5" Type="http://schemas.openxmlformats.org/officeDocument/2006/relationships/hyperlink" Target="https://irena.org/publications/2019/Feb/Innovation-landscape-for-a-renewable-powered-future" TargetMode="External"/><Relationship Id="rId10" Type="http://schemas.openxmlformats.org/officeDocument/2006/relationships/hyperlink" Target="https://ec.europa.eu/energy/sites/ener/files/documents/technical_assistance_in_realisation_of_the_4th_report_on_progress_of_renewable_energy_in_the_eu-final_report.pdf" TargetMode="External"/><Relationship Id="rId4" Type="http://schemas.openxmlformats.org/officeDocument/2006/relationships/hyperlink" Target="http://publications.jrc.ec.europa.eu/repository/handle/JRC105642" TargetMode="External"/><Relationship Id="rId9" Type="http://schemas.openxmlformats.org/officeDocument/2006/relationships/hyperlink" Target="https://ec.europa.eu/energy/en/topics/renewable-energy/progress-reports"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4F0F68B67CF1945B8B4A078243B88F3" ma:contentTypeVersion="1" ma:contentTypeDescription="Create a new document in this library." ma:contentTypeScope="" ma:versionID="37c2f5fd27b3e91ad37b4e6c7f736fd8">
  <xsd:schema xmlns:xsd="http://www.w3.org/2001/XMLSchema" xmlns:xs="http://www.w3.org/2001/XMLSchema" xmlns:p="http://schemas.microsoft.com/office/2006/metadata/properties" xmlns:ns3="201b05e8-1b4f-451b-82dc-925fd82222d6" targetNamespace="http://schemas.microsoft.com/office/2006/metadata/properties" ma:root="true" ma:fieldsID="16ef9ff56465373dd39a16ec5d63ee94" ns3:_="">
    <xsd:import namespace="201b05e8-1b4f-451b-82dc-925fd82222d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05e8-1b4f-451b-82dc-925fd82222d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01b05e8-1b4f-451b-82dc-925fd82222d6" xsi:nil="true"/>
    <EC_Collab_Status xmlns="201b05e8-1b4f-451b-82dc-925fd82222d6">Not Started</EC_Collab_Status>
    <EC_Collab_DocumentLanguage xmlns="201b05e8-1b4f-451b-82dc-925fd82222d6">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DE0A63-2D4F-4242-96BD-7AE45F24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05e8-1b4f-451b-82dc-925fd822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53A68-698E-46B4-9BA1-4254F2386410}">
  <ds:schemaRefs>
    <ds:schemaRef ds:uri="http://purl.org/dc/terms/"/>
    <ds:schemaRef ds:uri="http://schemas.openxmlformats.org/package/2006/metadata/core-properties"/>
    <ds:schemaRef ds:uri="201b05e8-1b4f-451b-82dc-925fd82222d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13D722-B8B6-49F5-8C14-46C143A28125}">
  <ds:schemaRefs>
    <ds:schemaRef ds:uri="http://schemas.microsoft.com/sharepoint/v3/contenttype/forms"/>
  </ds:schemaRefs>
</ds:datastoreItem>
</file>

<file path=customXml/itemProps4.xml><?xml version="1.0" encoding="utf-8"?>
<ds:datastoreItem xmlns:ds="http://schemas.openxmlformats.org/officeDocument/2006/customXml" ds:itemID="{67F72A12-E5F4-48F1-8E9F-2954A57C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20</Pages>
  <Words>6946</Words>
  <Characters>38348</Characters>
  <Application>Microsoft Office Word</Application>
  <DocSecurity>0</DocSecurity>
  <Lines>1036</Lines>
  <Paragraphs>573</Paragraphs>
  <ScaleCrop>false</ScaleCrop>
  <HeadingPairs>
    <vt:vector size="2" baseType="variant">
      <vt:variant>
        <vt:lpstr>Title</vt:lpstr>
      </vt:variant>
      <vt:variant>
        <vt:i4>1</vt:i4>
      </vt:variant>
    </vt:vector>
  </HeadingPairs>
  <TitlesOfParts>
    <vt:vector size="1" baseType="lpstr">
      <vt:lpstr>RES progress report</vt:lpstr>
    </vt:vector>
  </TitlesOfParts>
  <Manager/>
  <Company/>
  <LinksUpToDate>false</LinksUpToDate>
  <CharactersWithSpaces>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progress report</dc:title>
  <dc:creator/>
  <cp:lastModifiedBy>KITRIMI Efstathia (SG)</cp:lastModifiedBy>
  <cp:revision>22</cp:revision>
  <cp:lastPrinted>2019-03-13T15:57:00Z</cp:lastPrinted>
  <dcterms:created xsi:type="dcterms:W3CDTF">2019-03-28T10:38:00Z</dcterms:created>
  <dcterms:modified xsi:type="dcterms:W3CDTF">2019-04-08T08:36:00Z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0x010100258AA79CEB83498886A3A086811232500084F0F68B67CF1945B8B4A078243B88F3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