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4B" w:rsidRDefault="00B062B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32F104E-7162-420E-8C96-8715730F8024" style="width:450.6pt;height:306.6pt">
            <v:imagedata r:id="rId11" o:title=""/>
          </v:shape>
        </w:pict>
      </w:r>
    </w:p>
    <w:bookmarkEnd w:id="0"/>
    <w:p w:rsidR="00BF174B" w:rsidRDefault="00BF174B">
      <w:pPr>
        <w:rPr>
          <w:noProof/>
        </w:rPr>
        <w:sectPr w:rsidR="00BF174B">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BF174B" w:rsidRDefault="00BF174B">
      <w:pPr>
        <w:rPr>
          <w:noProof/>
        </w:rPr>
      </w:pPr>
      <w:bookmarkStart w:id="1" w:name="_GoBack"/>
      <w:bookmarkEnd w:id="1"/>
    </w:p>
    <w:p w:rsidR="00BF174B" w:rsidRDefault="00B062BA">
      <w:pPr>
        <w:pStyle w:val="Heading1"/>
        <w:rPr>
          <w:noProof/>
        </w:rPr>
      </w:pPr>
      <w:bookmarkStart w:id="2" w:name="_Toc1149217"/>
      <w:r>
        <w:rPr>
          <w:noProof/>
        </w:rPr>
        <w:t>1. UVOD</w:t>
      </w:r>
      <w:bookmarkEnd w:id="2"/>
    </w:p>
    <w:p w:rsidR="00BF174B" w:rsidRDefault="00B062BA">
      <w:pPr>
        <w:jc w:val="both"/>
        <w:rPr>
          <w:rFonts w:ascii="Times New Roman" w:hAnsi="Times New Roman" w:cs="Times New Roman"/>
          <w:noProof/>
          <w:sz w:val="24"/>
          <w:szCs w:val="24"/>
        </w:rPr>
      </w:pPr>
      <w:r>
        <w:rPr>
          <w:rFonts w:ascii="Times New Roman" w:hAnsi="Times New Roman"/>
          <w:noProof/>
          <w:sz w:val="24"/>
        </w:rPr>
        <w:t>Z začetkom veljavnosti Direktive (EU) 2018/2001</w:t>
      </w:r>
      <w:r>
        <w:rPr>
          <w:noProof/>
        </w:rPr>
        <w:t xml:space="preserve"> </w:t>
      </w:r>
      <w:r>
        <w:rPr>
          <w:rFonts w:ascii="Times New Roman" w:hAnsi="Times New Roman"/>
          <w:noProof/>
          <w:sz w:val="24"/>
        </w:rPr>
        <w:t xml:space="preserve">o spodbujanju uporabe energije iz obnovljivih virov </w:t>
      </w:r>
      <w:r>
        <w:rPr>
          <w:rFonts w:ascii="Times New Roman" w:hAnsi="Times New Roman"/>
          <w:noProof/>
          <w:sz w:val="24"/>
        </w:rPr>
        <w:t>(RED II) 24. decembra 2018 je bil vzpostavljen nov okvir, ki bo kos izzivom prihodnosti za doseganje zavezujočega cilja Unije, ki predpostavlja vsaj 32-odstotni delež energije iz obnovljivih virov v bruto končni porabi energije do leta 2030. Ta okvir bo te</w:t>
      </w:r>
      <w:r>
        <w:rPr>
          <w:rFonts w:ascii="Times New Roman" w:hAnsi="Times New Roman"/>
          <w:noProof/>
          <w:sz w:val="24"/>
        </w:rPr>
        <w:t>meljil na napredku, doseženem v skladu s trenutno direktivo, med drugim z obveznostjo držav članic, da cilje za leto 2020 ohranijo kot osnovo za svoje usmeritve v naslednjem desetletju. To dodatno dopolnjujejo drugi elementi svežnja Čista energija za vse E</w:t>
      </w:r>
      <w:r>
        <w:rPr>
          <w:rFonts w:ascii="Times New Roman" w:hAnsi="Times New Roman"/>
          <w:noProof/>
          <w:sz w:val="24"/>
        </w:rPr>
        <w:t>vropejce</w:t>
      </w:r>
      <w:r>
        <w:rPr>
          <w:rStyle w:val="FootnoteReference"/>
          <w:rFonts w:ascii="Times New Roman" w:hAnsi="Times New Roman"/>
          <w:noProof/>
          <w:sz w:val="24"/>
        </w:rPr>
        <w:footnoteReference w:id="2"/>
      </w:r>
      <w:r>
        <w:rPr>
          <w:rFonts w:ascii="Times New Roman" w:hAnsi="Times New Roman"/>
          <w:noProof/>
          <w:sz w:val="24"/>
        </w:rPr>
        <w:t>.</w:t>
      </w:r>
    </w:p>
    <w:p w:rsidR="00BF174B" w:rsidRDefault="00B062BA">
      <w:pPr>
        <w:jc w:val="both"/>
        <w:rPr>
          <w:rFonts w:ascii="Times New Roman" w:hAnsi="Times New Roman" w:cs="Times New Roman"/>
          <w:noProof/>
          <w:sz w:val="24"/>
          <w:szCs w:val="24"/>
        </w:rPr>
      </w:pPr>
      <w:r>
        <w:rPr>
          <w:rFonts w:ascii="Times New Roman" w:hAnsi="Times New Roman"/>
          <w:noProof/>
          <w:sz w:val="24"/>
        </w:rPr>
        <w:t>Energija iz obnovljivih virov je v središču prednostnih nalog energetske unije. Direktiva 2009/28/ES o spodbujanju uporabe energije iz obnovljivih virov</w:t>
      </w:r>
      <w:r>
        <w:rPr>
          <w:rStyle w:val="FootnoteReference"/>
          <w:rFonts w:ascii="Times New Roman" w:hAnsi="Times New Roman"/>
          <w:noProof/>
          <w:sz w:val="24"/>
        </w:rPr>
        <w:footnoteReference w:id="3"/>
      </w:r>
      <w:r>
        <w:rPr>
          <w:rFonts w:ascii="Times New Roman" w:hAnsi="Times New Roman"/>
          <w:noProof/>
          <w:sz w:val="24"/>
        </w:rPr>
        <w:t xml:space="preserve"> (RED I) je osrednji element v politiki energetske unije in ključna gonilna sila pri dosegan</w:t>
      </w:r>
      <w:r>
        <w:rPr>
          <w:rFonts w:ascii="Times New Roman" w:hAnsi="Times New Roman"/>
          <w:noProof/>
          <w:sz w:val="24"/>
        </w:rPr>
        <w:t xml:space="preserve">ju ciljev v zvezi z obnovljivimi viri energije do leta 2020.  </w:t>
      </w:r>
    </w:p>
    <w:p w:rsidR="00BF174B" w:rsidRDefault="00B062BA">
      <w:pPr>
        <w:jc w:val="both"/>
        <w:rPr>
          <w:rFonts w:ascii="Calibri" w:hAnsi="Calibri" w:cs="Calibri"/>
          <w:noProof/>
          <w:color w:val="333333"/>
          <w:sz w:val="26"/>
          <w:szCs w:val="26"/>
        </w:rPr>
      </w:pPr>
      <w:r>
        <w:rPr>
          <w:rFonts w:ascii="Times New Roman" w:hAnsi="Times New Roman"/>
          <w:noProof/>
          <w:sz w:val="24"/>
        </w:rPr>
        <w:t xml:space="preserve">Politična prednostna naloga Evropske unije, da postane vodilna svetovna sila na področju obnovljivih virov energije, temelji na prisotnosti obnovljivih virov energije v vseh petih razsežnostih </w:t>
      </w:r>
      <w:r>
        <w:rPr>
          <w:rFonts w:ascii="Times New Roman" w:hAnsi="Times New Roman"/>
          <w:noProof/>
          <w:sz w:val="24"/>
        </w:rPr>
        <w:t xml:space="preserve">energetske unije. Obnovljivi viri energije z vidika </w:t>
      </w:r>
      <w:r>
        <w:rPr>
          <w:rFonts w:ascii="Times New Roman" w:hAnsi="Times New Roman"/>
          <w:i/>
          <w:noProof/>
          <w:sz w:val="24"/>
        </w:rPr>
        <w:t>energetske varnosti</w:t>
      </w:r>
      <w:r>
        <w:rPr>
          <w:rFonts w:ascii="Times New Roman" w:hAnsi="Times New Roman"/>
          <w:noProof/>
          <w:sz w:val="24"/>
        </w:rPr>
        <w:t xml:space="preserve"> zmanjšujejo odvisnost od uvoza fosilnih goriv. Ocenjuje se, da je EU s povečanjem uporabe energije iz obnovljivih virov v letu 2016</w:t>
      </w:r>
      <w:r>
        <w:rPr>
          <w:rStyle w:val="FootnoteReference"/>
          <w:rFonts w:ascii="Times New Roman" w:hAnsi="Times New Roman"/>
          <w:noProof/>
          <w:sz w:val="24"/>
        </w:rPr>
        <w:footnoteReference w:id="4"/>
      </w:r>
      <w:r>
        <w:rPr>
          <w:rFonts w:ascii="Times New Roman" w:hAnsi="Times New Roman"/>
          <w:noProof/>
          <w:sz w:val="24"/>
        </w:rPr>
        <w:t xml:space="preserve"> zmanjšala svoje povpraševanje po fosilnih gorivih z</w:t>
      </w:r>
      <w:r>
        <w:rPr>
          <w:rFonts w:ascii="Times New Roman" w:hAnsi="Times New Roman"/>
          <w:noProof/>
          <w:sz w:val="24"/>
        </w:rPr>
        <w:t>a 143 milijonov ton ekvivalenta nafte (Mtoe) (približno 12 % skupne primarne porabe fosilnih goriv) v primerjavi s porabo energije iz obnovljivih virov leta 2005. Podobno se bo odvisnost Evrope od uvoza energije, zlasti kar zadeva uvoz nafte in plina, v le</w:t>
      </w:r>
      <w:r>
        <w:rPr>
          <w:rFonts w:ascii="Times New Roman" w:hAnsi="Times New Roman"/>
          <w:noProof/>
          <w:sz w:val="24"/>
        </w:rPr>
        <w:t>tu 2050 zmanjšala s 55 % na 20 % zaradi primarne oskrbe z energijo, ki bi večinoma izvirala iz obnovljivih virov energije</w:t>
      </w:r>
      <w:r>
        <w:rPr>
          <w:rStyle w:val="FootnoteReference"/>
          <w:rFonts w:ascii="Times New Roman" w:hAnsi="Times New Roman"/>
          <w:noProof/>
          <w:sz w:val="24"/>
        </w:rPr>
        <w:footnoteReference w:id="5"/>
      </w:r>
      <w:r>
        <w:rPr>
          <w:rFonts w:ascii="Times New Roman" w:hAnsi="Times New Roman"/>
          <w:noProof/>
          <w:sz w:val="24"/>
        </w:rPr>
        <w:t xml:space="preserve">. Na </w:t>
      </w:r>
      <w:r>
        <w:rPr>
          <w:rFonts w:ascii="Times New Roman" w:hAnsi="Times New Roman"/>
          <w:i/>
          <w:noProof/>
          <w:sz w:val="24"/>
        </w:rPr>
        <w:t>notranjem energijskem trgu</w:t>
      </w:r>
      <w:r>
        <w:rPr>
          <w:rFonts w:ascii="Times New Roman" w:hAnsi="Times New Roman"/>
          <w:noProof/>
          <w:sz w:val="24"/>
        </w:rPr>
        <w:t xml:space="preserve"> imajo obnovljivi viri energije vedno večjo vlogo zlasti na trgu električne energije, kjer je proizvodn</w:t>
      </w:r>
      <w:r>
        <w:rPr>
          <w:rFonts w:ascii="Times New Roman" w:hAnsi="Times New Roman"/>
          <w:noProof/>
          <w:sz w:val="24"/>
        </w:rPr>
        <w:t>ja energije iz obnovljivih virov leta 2017</w:t>
      </w:r>
      <w:r>
        <w:rPr>
          <w:rStyle w:val="FootnoteReference"/>
          <w:rFonts w:ascii="Times New Roman" w:hAnsi="Times New Roman"/>
          <w:noProof/>
          <w:sz w:val="24"/>
        </w:rPr>
        <w:footnoteReference w:id="6"/>
      </w:r>
      <w:r>
        <w:rPr>
          <w:rFonts w:ascii="Times New Roman" w:hAnsi="Times New Roman"/>
          <w:noProof/>
          <w:sz w:val="24"/>
        </w:rPr>
        <w:t xml:space="preserve"> znašala skoraj tretjino (30,8 %) bruto proizvodnje električne energije v EU-28. </w:t>
      </w:r>
    </w:p>
    <w:p w:rsidR="00BF174B" w:rsidRDefault="00B062BA">
      <w:pPr>
        <w:jc w:val="both"/>
        <w:rPr>
          <w:rFonts w:ascii="Times New Roman" w:hAnsi="Times New Roman" w:cs="Times New Roman"/>
          <w:noProof/>
          <w:sz w:val="24"/>
          <w:szCs w:val="24"/>
        </w:rPr>
      </w:pPr>
      <w:r>
        <w:rPr>
          <w:rFonts w:ascii="Times New Roman" w:hAnsi="Times New Roman"/>
          <w:noProof/>
          <w:sz w:val="24"/>
        </w:rPr>
        <w:t>Vedno opaznejša je tudi vloga plinov iz obnovljivih virov. Nazoren primer tega je, da je delež bioplina glede na skupno porabo plin</w:t>
      </w:r>
      <w:r>
        <w:rPr>
          <w:rFonts w:ascii="Times New Roman" w:hAnsi="Times New Roman"/>
          <w:noProof/>
          <w:sz w:val="24"/>
        </w:rPr>
        <w:t>a julija 2018 na Danskem znašal 18,6 %, kar je 50 % več kot leto prej</w:t>
      </w:r>
      <w:r>
        <w:rPr>
          <w:rStyle w:val="FootnoteReference"/>
          <w:rFonts w:ascii="Times New Roman" w:hAnsi="Times New Roman"/>
          <w:noProof/>
          <w:sz w:val="24"/>
        </w:rPr>
        <w:footnoteReference w:id="7"/>
      </w:r>
      <w:r>
        <w:rPr>
          <w:rFonts w:ascii="Times New Roman" w:hAnsi="Times New Roman"/>
          <w:noProof/>
          <w:sz w:val="24"/>
        </w:rPr>
        <w:t xml:space="preserve">. Kar zadeva </w:t>
      </w:r>
      <w:r>
        <w:rPr>
          <w:rFonts w:ascii="Times New Roman" w:hAnsi="Times New Roman"/>
          <w:i/>
          <w:noProof/>
          <w:sz w:val="24"/>
        </w:rPr>
        <w:t>energijsko učinkovitost</w:t>
      </w:r>
      <w:r>
        <w:rPr>
          <w:rFonts w:ascii="Times New Roman" w:hAnsi="Times New Roman"/>
          <w:noProof/>
          <w:sz w:val="24"/>
        </w:rPr>
        <w:t xml:space="preserve">, je manjša poraba energije tesno povezana z doseganjem večjega deleža obnovljivih virov energije in večjim vključevanjem obnovljivih virov energije manjšega obsega v stavbe, s čimer se energijska učinkovitost izboljša na stroškovno učinkovit način. Poleg </w:t>
      </w:r>
      <w:r>
        <w:rPr>
          <w:rFonts w:ascii="Times New Roman" w:hAnsi="Times New Roman"/>
          <w:noProof/>
          <w:sz w:val="24"/>
        </w:rPr>
        <w:t xml:space="preserve">tega ima energija iz obnovljivih virov pomembno vlogo pri </w:t>
      </w:r>
      <w:r>
        <w:rPr>
          <w:rFonts w:ascii="Times New Roman" w:hAnsi="Times New Roman"/>
          <w:i/>
          <w:noProof/>
          <w:sz w:val="24"/>
        </w:rPr>
        <w:t>razogljičenju</w:t>
      </w:r>
      <w:r>
        <w:rPr>
          <w:rFonts w:ascii="Times New Roman" w:hAnsi="Times New Roman"/>
          <w:noProof/>
          <w:sz w:val="24"/>
        </w:rPr>
        <w:t xml:space="preserve">; leta 2016 je delež obnovljivih virov energije prispeval k </w:t>
      </w:r>
      <w:r>
        <w:rPr>
          <w:rFonts w:ascii="Times New Roman" w:hAnsi="Times New Roman"/>
          <w:noProof/>
          <w:sz w:val="24"/>
        </w:rPr>
        <w:lastRenderedPageBreak/>
        <w:t>460 milijonom ton bruto preprečenih emisij CO2 (kar je več od skupnih emisij TGP v Italiji leta 2016)</w:t>
      </w:r>
      <w:r>
        <w:rPr>
          <w:rStyle w:val="FootnoteReference"/>
          <w:rFonts w:ascii="Times New Roman" w:hAnsi="Times New Roman"/>
          <w:noProof/>
          <w:sz w:val="24"/>
        </w:rPr>
        <w:footnoteReference w:id="8"/>
      </w:r>
      <w:r>
        <w:rPr>
          <w:rFonts w:ascii="Times New Roman" w:hAnsi="Times New Roman"/>
          <w:noProof/>
          <w:sz w:val="24"/>
        </w:rPr>
        <w:t>, po ocenah sodeč pa na</w:t>
      </w:r>
      <w:r>
        <w:rPr>
          <w:rFonts w:ascii="Times New Roman" w:hAnsi="Times New Roman"/>
          <w:noProof/>
          <w:sz w:val="24"/>
        </w:rPr>
        <w:t>j bi bilo leta 2017 preprečenih emisij še več, in sicer 499 milijonov ton</w:t>
      </w:r>
      <w:r>
        <w:rPr>
          <w:rStyle w:val="FootnoteReference"/>
          <w:rFonts w:ascii="Times New Roman" w:hAnsi="Times New Roman"/>
          <w:noProof/>
          <w:sz w:val="24"/>
        </w:rPr>
        <w:footnoteReference w:id="9"/>
      </w:r>
      <w:r>
        <w:rPr>
          <w:rFonts w:ascii="Times New Roman" w:hAnsi="Times New Roman"/>
          <w:noProof/>
          <w:sz w:val="24"/>
        </w:rPr>
        <w:t xml:space="preserve">. Obnovljivi viri energije imajo hkrati ključno vlogo pri </w:t>
      </w:r>
      <w:r>
        <w:rPr>
          <w:rFonts w:ascii="Times New Roman" w:hAnsi="Times New Roman"/>
          <w:i/>
          <w:noProof/>
          <w:sz w:val="24"/>
        </w:rPr>
        <w:t>inovacijah</w:t>
      </w:r>
      <w:r>
        <w:rPr>
          <w:rFonts w:ascii="Times New Roman" w:hAnsi="Times New Roman"/>
          <w:noProof/>
          <w:sz w:val="24"/>
        </w:rPr>
        <w:t>. Na področju obnovljivih virov energije 53 % izumov podjetij s sedežem v EU pridobi patentno varstvo zunaj Evrope</w:t>
      </w:r>
      <w:r>
        <w:rPr>
          <w:rStyle w:val="FootnoteReference"/>
          <w:rFonts w:ascii="Times New Roman" w:hAnsi="Times New Roman"/>
          <w:noProof/>
          <w:sz w:val="24"/>
        </w:rPr>
        <w:footnoteReference w:id="10"/>
      </w:r>
      <w:r>
        <w:rPr>
          <w:rFonts w:ascii="Times New Roman" w:hAnsi="Times New Roman"/>
          <w:noProof/>
          <w:sz w:val="24"/>
        </w:rPr>
        <w:t>. To kaže na visoko vrednost inovacij, saj se varstvo pridobi z namenom, da imajo inovacije možnost dosega tujih trgov in uspeha na njih. Zaradi tega je EU vodilna svetovna sila na področju inovacij, saj je navedeni delež večji od deleža drugih gospodarsk</w:t>
      </w:r>
      <w:r>
        <w:rPr>
          <w:rFonts w:ascii="Times New Roman" w:hAnsi="Times New Roman"/>
          <w:noProof/>
          <w:sz w:val="24"/>
        </w:rPr>
        <w:t>ih velesil</w:t>
      </w:r>
      <w:r>
        <w:rPr>
          <w:rStyle w:val="FootnoteReference"/>
          <w:rFonts w:ascii="Times New Roman" w:hAnsi="Times New Roman"/>
          <w:noProof/>
          <w:sz w:val="24"/>
        </w:rPr>
        <w:footnoteReference w:id="11"/>
      </w:r>
      <w:r>
        <w:rPr>
          <w:rFonts w:ascii="Times New Roman" w:hAnsi="Times New Roman"/>
          <w:noProof/>
          <w:sz w:val="24"/>
        </w:rPr>
        <w:t>. V zvezi s tem je Evropa, kot to priznava Mednarodna agencija za obnovljivo energijo (IRENA), postala svetilnik, ki osvetljuje uspešne poti k prihodnosti oskrbe z energijo, ki bo temeljila na obnovljivih virih energije, in je v ospredju energet</w:t>
      </w:r>
      <w:r>
        <w:rPr>
          <w:rFonts w:ascii="Times New Roman" w:hAnsi="Times New Roman"/>
          <w:noProof/>
          <w:sz w:val="24"/>
        </w:rPr>
        <w:t>skih inovacij</w:t>
      </w:r>
      <w:r>
        <w:rPr>
          <w:rStyle w:val="FootnoteReference"/>
          <w:rFonts w:ascii="Times New Roman" w:hAnsi="Times New Roman"/>
          <w:noProof/>
          <w:color w:val="333333"/>
          <w:sz w:val="24"/>
        </w:rPr>
        <w:footnoteReference w:id="12"/>
      </w:r>
      <w:r>
        <w:rPr>
          <w:rFonts w:ascii="Times New Roman" w:hAnsi="Times New Roman"/>
          <w:noProof/>
          <w:color w:val="333333"/>
          <w:sz w:val="24"/>
        </w:rPr>
        <w:t>.</w:t>
      </w:r>
    </w:p>
    <w:p w:rsidR="00BF174B" w:rsidRDefault="00B062BA">
      <w:pPr>
        <w:jc w:val="both"/>
        <w:rPr>
          <w:rFonts w:ascii="Times New Roman" w:hAnsi="Times New Roman" w:cs="Times New Roman"/>
          <w:noProof/>
          <w:sz w:val="24"/>
          <w:szCs w:val="24"/>
        </w:rPr>
      </w:pPr>
      <w:r>
        <w:rPr>
          <w:rFonts w:ascii="Times New Roman" w:hAnsi="Times New Roman"/>
          <w:noProof/>
          <w:sz w:val="24"/>
        </w:rPr>
        <w:t>Vodilna vloga je prisotna tudi pri različnih tehnologijah za obnovljive vire energije vzdolž njihovih dobavnih verig. V primeru nekaterih tehnologij, kot so vetrne turbine, so proizvajalci iz EU leta 2016 predstavljali najmanj 41 % nove sve</w:t>
      </w:r>
      <w:r>
        <w:rPr>
          <w:rFonts w:ascii="Times New Roman" w:hAnsi="Times New Roman"/>
          <w:noProof/>
          <w:sz w:val="24"/>
        </w:rPr>
        <w:t>tovne inštalirane moči</w:t>
      </w:r>
      <w:r>
        <w:rPr>
          <w:rStyle w:val="FootnoteReference"/>
          <w:rFonts w:ascii="Times New Roman" w:hAnsi="Times New Roman"/>
          <w:noProof/>
          <w:sz w:val="24"/>
        </w:rPr>
        <w:footnoteReference w:id="13"/>
      </w:r>
      <w:r>
        <w:rPr>
          <w:rFonts w:ascii="Times New Roman" w:hAnsi="Times New Roman"/>
          <w:noProof/>
          <w:sz w:val="24"/>
        </w:rPr>
        <w:t>. Kar zadeva fotovoltaično industrijo EU, imajo proizvajalci fotovoltaične opreme v EU največji svetovni tržni delež, ki znaša 50 %, medtem ko imajo proizvajalci razsmernikov v EU svetovni tržni delež v višini več kot 18 %</w:t>
      </w:r>
      <w:r>
        <w:rPr>
          <w:rStyle w:val="FootnoteReference"/>
          <w:rFonts w:ascii="Times New Roman" w:hAnsi="Times New Roman"/>
          <w:noProof/>
          <w:sz w:val="24"/>
        </w:rPr>
        <w:footnoteReference w:id="14"/>
      </w:r>
      <w:r>
        <w:rPr>
          <w:rFonts w:ascii="Times New Roman" w:hAnsi="Times New Roman"/>
          <w:noProof/>
          <w:sz w:val="24"/>
        </w:rPr>
        <w:t>. Poleg te</w:t>
      </w:r>
      <w:r>
        <w:rPr>
          <w:rFonts w:ascii="Times New Roman" w:hAnsi="Times New Roman"/>
          <w:noProof/>
          <w:sz w:val="24"/>
        </w:rPr>
        <w:t>ga je Komisija z namenom, da bi ohranila in razširila svoj položaj v svetovnem vrhu na področju novih tehnologij za energijo oceanov iz obnovljivih virov, sodelovala z državami članicami, da bi se te pridružile prizadevanjem za povečanje uvajanja obnovljiv</w:t>
      </w:r>
      <w:r>
        <w:rPr>
          <w:rFonts w:ascii="Times New Roman" w:hAnsi="Times New Roman"/>
          <w:noProof/>
          <w:sz w:val="24"/>
        </w:rPr>
        <w:t>ih virov energije in izpolnile cilje za zmanjšanje stroškov, določene v načrtu SET</w:t>
      </w:r>
      <w:r>
        <w:rPr>
          <w:rStyle w:val="FootnoteReference"/>
          <w:rFonts w:ascii="Times New Roman" w:hAnsi="Times New Roman"/>
          <w:noProof/>
          <w:sz w:val="24"/>
        </w:rPr>
        <w:footnoteReference w:id="15"/>
      </w:r>
      <w:r>
        <w:rPr>
          <w:rFonts w:ascii="Times New Roman" w:hAnsi="Times New Roman"/>
          <w:noProof/>
          <w:sz w:val="24"/>
        </w:rPr>
        <w:t>. Komisija je ustanovila industrijski forum za čisto energijo o obnovljivih virih energije, da bi okrepila industrijsko podlago za obnovljive vire energije v Evropi. Forum v</w:t>
      </w:r>
      <w:r>
        <w:rPr>
          <w:rFonts w:ascii="Times New Roman" w:hAnsi="Times New Roman"/>
          <w:noProof/>
          <w:sz w:val="24"/>
        </w:rPr>
        <w:t xml:space="preserve"> tesnem sodelovanju s ključnimi akterji iz sektorja predlaga ukrepe za izboljšanje konkurenčnosti evropske dobavne verige za obnovljive vire energije. </w:t>
      </w:r>
    </w:p>
    <w:p w:rsidR="00BF174B" w:rsidRDefault="00B062BA">
      <w:pPr>
        <w:autoSpaceDE w:val="0"/>
        <w:autoSpaceDN w:val="0"/>
        <w:adjustRightInd w:val="0"/>
        <w:jc w:val="both"/>
        <w:rPr>
          <w:rFonts w:ascii="Times New Roman" w:hAnsi="Times New Roman" w:cs="Times New Roman"/>
          <w:noProof/>
          <w:sz w:val="24"/>
          <w:szCs w:val="24"/>
        </w:rPr>
      </w:pPr>
      <w:r>
        <w:rPr>
          <w:rFonts w:ascii="Times New Roman" w:hAnsi="Times New Roman"/>
          <w:noProof/>
          <w:sz w:val="24"/>
        </w:rPr>
        <w:t>Prednosti obnovljivih virov energije močno presegajo učinke petih zgoraj navedenih političnih razsežnost</w:t>
      </w:r>
      <w:r>
        <w:rPr>
          <w:rFonts w:ascii="Times New Roman" w:hAnsi="Times New Roman"/>
          <w:noProof/>
          <w:sz w:val="24"/>
        </w:rPr>
        <w:t>i. Obnovljiva energija je vir gospodarske rasti in delovnih mest za Evropejce, zlasti lokalnih delovnih mest z več kot 1,4 milijona ljudi, ki trenutno delajo v tem sektorju, in s prometom, ocenjenim na 154,7 milijarde EUR</w:t>
      </w:r>
      <w:r>
        <w:rPr>
          <w:rStyle w:val="FootnoteReference"/>
          <w:rFonts w:ascii="Times New Roman" w:hAnsi="Times New Roman"/>
          <w:noProof/>
          <w:sz w:val="24"/>
        </w:rPr>
        <w:footnoteReference w:id="16"/>
      </w:r>
      <w:r>
        <w:rPr>
          <w:rFonts w:ascii="Times New Roman" w:hAnsi="Times New Roman"/>
          <w:noProof/>
          <w:sz w:val="24"/>
        </w:rPr>
        <w:t>. Nedavno poročilo o cenah in stro</w:t>
      </w:r>
      <w:r>
        <w:rPr>
          <w:rFonts w:ascii="Times New Roman" w:hAnsi="Times New Roman"/>
          <w:noProof/>
          <w:sz w:val="24"/>
        </w:rPr>
        <w:t>ških energije v Evropi</w:t>
      </w:r>
      <w:r>
        <w:rPr>
          <w:rStyle w:val="FootnoteReference"/>
          <w:rFonts w:ascii="Times New Roman" w:hAnsi="Times New Roman"/>
          <w:noProof/>
          <w:sz w:val="24"/>
        </w:rPr>
        <w:footnoteReference w:id="17"/>
      </w:r>
      <w:r>
        <w:rPr>
          <w:rFonts w:ascii="Times New Roman" w:hAnsi="Times New Roman"/>
          <w:noProof/>
          <w:sz w:val="24"/>
        </w:rPr>
        <w:t xml:space="preserve"> poleg tega beleži pozitivne učinke na konkurenčnost industrije, saj so večje količine energije iz obnovljivih virov ključni dejavnik za padec veleprodajnih cen energije v zadnjih letih. Kot poudarja agencija IRENA, je vse večje uvaj</w:t>
      </w:r>
      <w:r>
        <w:rPr>
          <w:rFonts w:ascii="Times New Roman" w:hAnsi="Times New Roman"/>
          <w:noProof/>
          <w:sz w:val="24"/>
        </w:rPr>
        <w:t>anje obnovljivih virov energije sprožilo tudi globalno energetsko preobrazbo z znatnimi posledicami za geopolitiko, pri čemer ima EU nesporno vodilni položaj</w:t>
      </w:r>
      <w:r>
        <w:rPr>
          <w:rStyle w:val="FootnoteReference"/>
          <w:rFonts w:ascii="Times New Roman" w:hAnsi="Times New Roman"/>
          <w:noProof/>
          <w:sz w:val="24"/>
        </w:rPr>
        <w:footnoteReference w:id="18"/>
      </w:r>
      <w:r>
        <w:rPr>
          <w:rFonts w:ascii="Times New Roman" w:hAnsi="Times New Roman"/>
          <w:noProof/>
          <w:sz w:val="24"/>
        </w:rPr>
        <w:t>.</w:t>
      </w:r>
    </w:p>
    <w:p w:rsidR="00BF174B" w:rsidRDefault="00B062BA">
      <w:pPr>
        <w:autoSpaceDE w:val="0"/>
        <w:autoSpaceDN w:val="0"/>
        <w:jc w:val="both"/>
        <w:rPr>
          <w:rFonts w:ascii="Times New Roman" w:hAnsi="Times New Roman" w:cs="Times New Roman"/>
          <w:noProof/>
          <w:sz w:val="24"/>
          <w:szCs w:val="24"/>
        </w:rPr>
      </w:pPr>
      <w:r>
        <w:rPr>
          <w:rFonts w:ascii="Times New Roman" w:hAnsi="Times New Roman"/>
          <w:noProof/>
          <w:sz w:val="24"/>
        </w:rPr>
        <w:t>Obnovljivi viri energije prispevajo tudi k zmanjševanju onesnaženosti zraka, državam v razvoju p</w:t>
      </w:r>
      <w:r>
        <w:rPr>
          <w:rFonts w:ascii="Times New Roman" w:hAnsi="Times New Roman"/>
          <w:noProof/>
          <w:sz w:val="24"/>
        </w:rPr>
        <w:t>a omogočajo dostop do cenovno ugodne in čiste energije. Med letoma 2011 in 2016 se je zmogljivost za proizvodnjo električne energije iz obnovljivih virov povečala za skoraj 10 GW, število ljudi, ki imajo koristi od rešitev v povezavi z obnovljivimi viri en</w:t>
      </w:r>
      <w:r>
        <w:rPr>
          <w:rFonts w:ascii="Times New Roman" w:hAnsi="Times New Roman"/>
          <w:noProof/>
          <w:sz w:val="24"/>
        </w:rPr>
        <w:t>ergije, ločenih od omrežja, pa je naraslo za šestkrat, in sicer na več kot 133 milijonov</w:t>
      </w:r>
      <w:r>
        <w:rPr>
          <w:rStyle w:val="FootnoteReference"/>
          <w:rFonts w:ascii="Times New Roman" w:hAnsi="Times New Roman"/>
          <w:noProof/>
          <w:sz w:val="24"/>
        </w:rPr>
        <w:footnoteReference w:id="19"/>
      </w:r>
      <w:r>
        <w:rPr>
          <w:rFonts w:ascii="Times New Roman" w:hAnsi="Times New Roman"/>
          <w:noProof/>
          <w:sz w:val="24"/>
        </w:rPr>
        <w:t>. Ocenjuje se, da bodo obnovljivi viri energije do leta 2030 predstavljali več kot 60 % novega dostopa do električne energije, samostojni sistemi in sistemi mini omrež</w:t>
      </w:r>
      <w:r>
        <w:rPr>
          <w:rFonts w:ascii="Times New Roman" w:hAnsi="Times New Roman"/>
          <w:noProof/>
          <w:sz w:val="24"/>
        </w:rPr>
        <w:t>ij pa bodo zagotovili načine za skoraj polovico novih možnosti dostopa</w:t>
      </w:r>
      <w:r>
        <w:rPr>
          <w:rStyle w:val="FootnoteReference"/>
          <w:rFonts w:ascii="Times New Roman" w:hAnsi="Times New Roman"/>
          <w:noProof/>
          <w:sz w:val="24"/>
        </w:rPr>
        <w:footnoteReference w:id="20"/>
      </w:r>
      <w:r>
        <w:rPr>
          <w:rFonts w:ascii="Times New Roman" w:hAnsi="Times New Roman"/>
          <w:noProof/>
          <w:sz w:val="24"/>
        </w:rPr>
        <w:t>. Ne nazadnje pa je najpomembnejše to, da so obnovljivi viri energije zaradi nižjih stroškov tehnologije v povezavi z digitalizacijo dejanska gonilna sila, s pomočjo katere lahko potroš</w:t>
      </w:r>
      <w:r>
        <w:rPr>
          <w:rFonts w:ascii="Times New Roman" w:hAnsi="Times New Roman"/>
          <w:noProof/>
          <w:sz w:val="24"/>
        </w:rPr>
        <w:t>niki prevzamejo okrepljeno in ključno vlogo pri energetskem prehodu.</w:t>
      </w:r>
    </w:p>
    <w:p w:rsidR="00BF174B" w:rsidRDefault="00B062BA">
      <w:pPr>
        <w:jc w:val="both"/>
        <w:rPr>
          <w:rFonts w:ascii="Times New Roman" w:hAnsi="Times New Roman" w:cs="Times New Roman"/>
          <w:noProof/>
          <w:sz w:val="24"/>
          <w:szCs w:val="24"/>
        </w:rPr>
      </w:pPr>
      <w:r>
        <w:rPr>
          <w:rFonts w:ascii="Times New Roman" w:hAnsi="Times New Roman"/>
          <w:noProof/>
          <w:sz w:val="24"/>
        </w:rPr>
        <w:t>To poročilo nudi najnovejši vpogled v napredek, dosežen do leta 2017, v zvezi z doseganjem cilja 20-odstotnega deleža energije iz obnovljivih virov do leta 2020 in obravnava druge obvezno</w:t>
      </w:r>
      <w:r>
        <w:rPr>
          <w:rFonts w:ascii="Times New Roman" w:hAnsi="Times New Roman"/>
          <w:noProof/>
          <w:sz w:val="24"/>
        </w:rPr>
        <w:t>sti poročanja Evropske komisije v skladu z direktivo RED I in direktivo o posrednih spremembah rabe zemljišč</w:t>
      </w:r>
      <w:r>
        <w:rPr>
          <w:rStyle w:val="FootnoteReference"/>
          <w:rFonts w:ascii="Times New Roman" w:hAnsi="Times New Roman"/>
          <w:noProof/>
          <w:sz w:val="24"/>
        </w:rPr>
        <w:footnoteReference w:id="21"/>
      </w:r>
      <w:r>
        <w:rPr>
          <w:rFonts w:ascii="Times New Roman" w:hAnsi="Times New Roman"/>
          <w:noProof/>
          <w:sz w:val="24"/>
        </w:rPr>
        <w:t>. Za oceno napredka pri doseganju cilja za leto 2020 se kot primarni vir podatkov uporabljajo statistični podatki o energiji, ki so jih države član</w:t>
      </w:r>
      <w:r>
        <w:rPr>
          <w:rFonts w:ascii="Times New Roman" w:hAnsi="Times New Roman"/>
          <w:noProof/>
          <w:sz w:val="24"/>
        </w:rPr>
        <w:t>ice poslale Eurostatu do januarja 2019. To poročilo temelji na 4. polletnem poročilu o napredku na področju energije iz obnovljivih virov držav članic, ki zajema obdobje 2015–2016</w:t>
      </w:r>
      <w:r>
        <w:rPr>
          <w:rStyle w:val="FootnoteReference"/>
          <w:rFonts w:ascii="Times New Roman" w:hAnsi="Times New Roman"/>
          <w:noProof/>
          <w:sz w:val="24"/>
        </w:rPr>
        <w:footnoteReference w:id="22"/>
      </w:r>
      <w:r>
        <w:rPr>
          <w:rFonts w:ascii="Times New Roman" w:hAnsi="Times New Roman"/>
          <w:noProof/>
          <w:sz w:val="24"/>
        </w:rPr>
        <w:t>, in na dodatni tehnični analizi, opravljeni v letu 2018. Vključuje tudi pre</w:t>
      </w:r>
      <w:r>
        <w:rPr>
          <w:rFonts w:ascii="Times New Roman" w:hAnsi="Times New Roman"/>
          <w:noProof/>
          <w:sz w:val="24"/>
        </w:rPr>
        <w:t xml:space="preserve">gled potenciala v smislu mehanizmov sodelovanja ter ocene upravnih okvirov in trajnosti biogoriv. </w:t>
      </w:r>
    </w:p>
    <w:p w:rsidR="00BF174B" w:rsidRDefault="00B062BA">
      <w:pPr>
        <w:pStyle w:val="Heading1"/>
        <w:rPr>
          <w:noProof/>
        </w:rPr>
      </w:pPr>
      <w:bookmarkStart w:id="3" w:name="_Toc1149218"/>
      <w:r>
        <w:rPr>
          <w:noProof/>
        </w:rPr>
        <w:t>2. NAPREDEK EU-28 PRI UVAJANJU ENERGIJE IZ OBNOVLJIVIH VIROV</w:t>
      </w:r>
      <w:bookmarkEnd w:id="3"/>
      <w:r>
        <w:rPr>
          <w:noProof/>
        </w:rPr>
        <w:t xml:space="preserve"> </w:t>
      </w:r>
    </w:p>
    <w:p w:rsidR="00BF174B" w:rsidRDefault="00B062BA">
      <w:pPr>
        <w:jc w:val="both"/>
        <w:rPr>
          <w:rFonts w:ascii="Times New Roman" w:hAnsi="Times New Roman" w:cs="Times New Roman"/>
          <w:noProof/>
          <w:sz w:val="24"/>
          <w:szCs w:val="24"/>
        </w:rPr>
      </w:pPr>
      <w:r>
        <w:rPr>
          <w:rFonts w:ascii="Times New Roman" w:hAnsi="Times New Roman"/>
          <w:noProof/>
          <w:sz w:val="24"/>
        </w:rPr>
        <w:t>Leta 2017 je EU dosegla 17,52-odstotni delež energije iz obnovljivih virov v bruto končni porab</w:t>
      </w:r>
      <w:r>
        <w:rPr>
          <w:rFonts w:ascii="Times New Roman" w:hAnsi="Times New Roman"/>
          <w:noProof/>
          <w:sz w:val="24"/>
        </w:rPr>
        <w:t>i energije, kar je nad okvirno usmeritvijo 16 % za leti 2017 in 2018, medtem ko je cilj za leto 2020 doseči 20-odstotni delež. Poleg tega EU kot celota presega nekoliko ambicioznejšo usmeritev, ki so jo države članice opredelile v svojih nacionalnih akcijs</w:t>
      </w:r>
      <w:r>
        <w:rPr>
          <w:rFonts w:ascii="Times New Roman" w:hAnsi="Times New Roman"/>
          <w:noProof/>
          <w:sz w:val="24"/>
        </w:rPr>
        <w:t>kih načrtih za obnovljive vire energije</w:t>
      </w:r>
      <w:r>
        <w:rPr>
          <w:rStyle w:val="FootnoteReference"/>
          <w:rFonts w:ascii="Times New Roman" w:hAnsi="Times New Roman"/>
          <w:noProof/>
          <w:sz w:val="24"/>
        </w:rPr>
        <w:footnoteReference w:id="23"/>
      </w:r>
      <w:r>
        <w:rPr>
          <w:rFonts w:ascii="Times New Roman" w:hAnsi="Times New Roman"/>
          <w:noProof/>
          <w:sz w:val="24"/>
        </w:rPr>
        <w:t>. EU je na dobri poti, da doseže svoj cilj za leto 2020. V zadnjih letih so se skupni delež obnovljivih virov energije in sektorski deleži energije iz obnovljivih virov v sektorju za električno energijo, sektorju ogr</w:t>
      </w:r>
      <w:r>
        <w:rPr>
          <w:rFonts w:ascii="Times New Roman" w:hAnsi="Times New Roman"/>
          <w:noProof/>
          <w:sz w:val="24"/>
        </w:rPr>
        <w:t>evanja in hlajenja ter v manjši meri tudi v prometnem sektorju na ravni EU nenehno povečevali.</w:t>
      </w:r>
    </w:p>
    <w:p w:rsidR="00BF174B" w:rsidRDefault="00B062BA">
      <w:pPr>
        <w:jc w:val="both"/>
        <w:rPr>
          <w:rFonts w:ascii="Times New Roman" w:hAnsi="Times New Roman" w:cs="Times New Roman"/>
          <w:noProof/>
          <w:sz w:val="24"/>
          <w:szCs w:val="24"/>
        </w:rPr>
      </w:pPr>
      <w:r>
        <w:rPr>
          <w:rFonts w:ascii="Times New Roman" w:hAnsi="Times New Roman"/>
          <w:noProof/>
          <w:sz w:val="24"/>
        </w:rPr>
        <w:t>Kljub temu se je hitrost povečevanja deleža energije iz obnovljivih virov od leta 2014 upočasnila. Medtem ko je delež leta 2014 znašal 16,19 %, je povprečno pove</w:t>
      </w:r>
      <w:r>
        <w:rPr>
          <w:rFonts w:ascii="Times New Roman" w:hAnsi="Times New Roman"/>
          <w:noProof/>
          <w:sz w:val="24"/>
        </w:rPr>
        <w:t>čanje v obdobju 2014–2017 znašalo samo 0,44 odstotne točke na leto, kar je manj od letnega povprečnega povečanja za 0,83 odstotne točke na leto, ki bo potrebno za dosego 20-odstotnega deleža v letu 2020. Ker je okvirna usmeritev iz direktive RED I v zadnji</w:t>
      </w:r>
      <w:r>
        <w:rPr>
          <w:rFonts w:ascii="Times New Roman" w:hAnsi="Times New Roman"/>
          <w:noProof/>
          <w:sz w:val="24"/>
        </w:rPr>
        <w:t xml:space="preserve">h letih večja, bodo za izpolnitev ciljev potrebna okrepljena prizadevanja. </w:t>
      </w:r>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Kar zadeva posamezne sektorje, je bil delež energije iz obnovljivih virov v sektorju električne energije ter sektorju ogrevanja in hlajenja na ravni EU sistematično nad ravnmi, ki </w:t>
      </w:r>
      <w:r>
        <w:rPr>
          <w:rFonts w:ascii="Times New Roman" w:hAnsi="Times New Roman"/>
          <w:noProof/>
          <w:sz w:val="24"/>
        </w:rPr>
        <w:t xml:space="preserve">so jih države članice določile v svojih nacionalnih akcijskih načrtih za obnovljive vire energije, medtem ko v prometnem sektorju delež obnovljivih virov energije v osnovi sledi začrtani usmeritvi. </w:t>
      </w:r>
    </w:p>
    <w:p w:rsidR="00BF174B" w:rsidRDefault="00BF174B">
      <w:pPr>
        <w:jc w:val="both"/>
        <w:rPr>
          <w:rFonts w:ascii="Times New Roman" w:hAnsi="Times New Roman" w:cs="Times New Roman"/>
          <w:noProof/>
          <w:sz w:val="24"/>
          <w:szCs w:val="24"/>
        </w:rPr>
      </w:pPr>
    </w:p>
    <w:p w:rsidR="00BF174B" w:rsidRDefault="00B062BA">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bidi="ar-SA"/>
        </w:rPr>
        <w:drawing>
          <wp:inline distT="0" distB="0" distL="0" distR="0">
            <wp:extent cx="5731510" cy="3554316"/>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554316"/>
                    </a:xfrm>
                    <a:prstGeom prst="rect">
                      <a:avLst/>
                    </a:prstGeom>
                  </pic:spPr>
                </pic:pic>
              </a:graphicData>
            </a:graphic>
          </wp:inline>
        </w:drawing>
      </w:r>
    </w:p>
    <w:p w:rsidR="00BF174B" w:rsidRDefault="00B062BA">
      <w:pPr>
        <w:jc w:val="both"/>
        <w:rPr>
          <w:rFonts w:ascii="Times New Roman" w:hAnsi="Times New Roman" w:cs="Times New Roman"/>
          <w:i/>
          <w:noProof/>
          <w:sz w:val="24"/>
          <w:szCs w:val="24"/>
        </w:rPr>
      </w:pPr>
      <w:r>
        <w:rPr>
          <w:rFonts w:ascii="Times New Roman" w:hAnsi="Times New Roman"/>
          <w:b/>
          <w:i/>
          <w:noProof/>
          <w:sz w:val="24"/>
        </w:rPr>
        <w:t>Slika 1</w:t>
      </w:r>
      <w:r>
        <w:rPr>
          <w:rFonts w:ascii="Times New Roman" w:hAnsi="Times New Roman"/>
          <w:i/>
          <w:noProof/>
          <w:sz w:val="24"/>
        </w:rPr>
        <w:t xml:space="preserve">: Dejanski in načrtovani deleži energije iz obnovljivih virov za EU-28 (2005–2020, v %). Vir: Eurostat in nacionalni akcijski načrti za obnovljive vire energije. </w:t>
      </w:r>
    </w:p>
    <w:p w:rsidR="00BF174B" w:rsidRDefault="00B062BA">
      <w:pPr>
        <w:jc w:val="both"/>
        <w:rPr>
          <w:rFonts w:ascii="Times New Roman" w:hAnsi="Times New Roman" w:cs="Times New Roman"/>
          <w:noProof/>
          <w:sz w:val="24"/>
          <w:szCs w:val="24"/>
        </w:rPr>
      </w:pPr>
      <w:r>
        <w:rPr>
          <w:rFonts w:ascii="Times New Roman" w:hAnsi="Times New Roman"/>
          <w:noProof/>
          <w:sz w:val="24"/>
        </w:rPr>
        <w:t>Kar zadeva absolutno porabo energije iz obnovljivih virov, zagotavlja največji prispevek s sk</w:t>
      </w:r>
      <w:r>
        <w:rPr>
          <w:rFonts w:ascii="Times New Roman" w:hAnsi="Times New Roman"/>
          <w:noProof/>
          <w:sz w:val="24"/>
        </w:rPr>
        <w:t>upno 102 Mtoe v letu 2017 sektor ogrevanja in hlajenja, ki mu tesno sledi sektor električne energije iz obnovljivih virov s porabo 86,7 Mtoe, medtem ko je prometni sektor beležil porabo 23,65 Mtoe</w:t>
      </w:r>
      <w:r>
        <w:rPr>
          <w:rFonts w:ascii="Times New Roman" w:hAnsi="Times New Roman"/>
          <w:noProof/>
          <w:sz w:val="24"/>
          <w:vertAlign w:val="superscript"/>
        </w:rPr>
        <w:footnoteReference w:id="24"/>
      </w:r>
      <w:r>
        <w:rPr>
          <w:rFonts w:ascii="Times New Roman" w:hAnsi="Times New Roman"/>
          <w:noProof/>
          <w:sz w:val="24"/>
        </w:rPr>
        <w:t xml:space="preserve">. </w:t>
      </w:r>
    </w:p>
    <w:p w:rsidR="00BF174B" w:rsidRDefault="00B062BA">
      <w:pPr>
        <w:jc w:val="both"/>
        <w:rPr>
          <w:rFonts w:ascii="Times New Roman" w:hAnsi="Times New Roman" w:cs="Times New Roman"/>
          <w:noProof/>
          <w:sz w:val="24"/>
          <w:szCs w:val="24"/>
        </w:rPr>
      </w:pPr>
      <w:r>
        <w:rPr>
          <w:rFonts w:ascii="Times New Roman" w:hAnsi="Times New Roman"/>
          <w:noProof/>
          <w:sz w:val="24"/>
        </w:rPr>
        <w:t>Glavni obnovljivi viri, ki se uporabljajo pri porabi ene</w:t>
      </w:r>
      <w:r>
        <w:rPr>
          <w:rFonts w:ascii="Times New Roman" w:hAnsi="Times New Roman"/>
          <w:noProof/>
          <w:sz w:val="24"/>
        </w:rPr>
        <w:t xml:space="preserve">rgije, so bili biomasa za ogrevanje in hlajenje, vodna energija in veter za električno energijo ter biogoriva za promet. V sektorju električne energije se jasno kaže premik v smeri obnovljivih virov energije. Eden od ključnih dejavnikov je bilo zmanjšanje </w:t>
      </w:r>
      <w:r>
        <w:rPr>
          <w:rFonts w:ascii="Times New Roman" w:hAnsi="Times New Roman"/>
          <w:noProof/>
          <w:sz w:val="24"/>
        </w:rPr>
        <w:t>stroškov električne energije iz sončne fotovoltaične in vetrne energije, ki so se v obdobju med letoma 2009 in 2018 zmanjšali za skoraj 75 % pri sončni fotovoltaični energiji oziroma za približno 50 % pri vetrni energiji (odvisno od trga) zaradi zmanjšanja</w:t>
      </w:r>
      <w:r>
        <w:rPr>
          <w:rFonts w:ascii="Times New Roman" w:hAnsi="Times New Roman"/>
          <w:noProof/>
          <w:sz w:val="24"/>
        </w:rPr>
        <w:t xml:space="preserve"> stroškov kapitala, napredka na področju učinkovitosti ter izboljšav dobavne verige in konkurenčnih razpisnih postopkov za programe podpore. Leta 2018 je bil projekt Ourika na Portugalskem prvi evropski projekt s področja sončne energije, ki je bil oblikov</w:t>
      </w:r>
      <w:r>
        <w:rPr>
          <w:rFonts w:ascii="Times New Roman" w:hAnsi="Times New Roman"/>
          <w:noProof/>
          <w:sz w:val="24"/>
        </w:rPr>
        <w:t>an brez kakršne koli javne podpore. V Nemčiji so bile tržne premije, plačane za sončni fotovoltaični projekt z močjo 1,4 MW, nižje od tržne vrednosti sončne energije poleti 2018, na Danskem pa so bili razviti novi projekti za vetrno energijo s fiksno tarif</w:t>
      </w:r>
      <w:r>
        <w:rPr>
          <w:rFonts w:ascii="Times New Roman" w:hAnsi="Times New Roman"/>
          <w:noProof/>
          <w:sz w:val="24"/>
        </w:rPr>
        <w:t>o za dovajanje toka v višini 2,5 EUR/MWh. Tako v Nemčiji kot na Nizozemskem so bile na razpise za razvoj morskih vetrnih elektrarn z močjo 1 610 in 700 MW poslane ponudbe z ničelnimi subvencijami.</w:t>
      </w:r>
    </w:p>
    <w:p w:rsidR="00BF174B" w:rsidRDefault="00B062BA">
      <w:pPr>
        <w:jc w:val="both"/>
        <w:rPr>
          <w:rFonts w:ascii="Times New Roman" w:hAnsi="Times New Roman" w:cs="Times New Roman"/>
          <w:noProof/>
          <w:sz w:val="24"/>
          <w:szCs w:val="24"/>
        </w:rPr>
      </w:pPr>
      <w:r>
        <w:rPr>
          <w:rFonts w:ascii="Times New Roman" w:hAnsi="Times New Roman"/>
          <w:noProof/>
          <w:sz w:val="24"/>
        </w:rPr>
        <w:t>Zmanjšanje stroškov je tudi eno ključnih gonil za povečanje</w:t>
      </w:r>
      <w:r>
        <w:rPr>
          <w:rFonts w:ascii="Times New Roman" w:hAnsi="Times New Roman"/>
          <w:noProof/>
          <w:sz w:val="24"/>
        </w:rPr>
        <w:t xml:space="preserve"> pridobivanja energije iz obnovljivih virov s strani podjetij, zlasti v primeru, ko poslovni uporabniki energije podpišejo pogodbo o neposrednem nakupu električne energije z razvijalcem projekta na področju energije iz obnovljivih virov. V Evropi</w:t>
      </w:r>
      <w:r>
        <w:rPr>
          <w:rStyle w:val="FootnoteReference"/>
          <w:rFonts w:ascii="Times New Roman" w:hAnsi="Times New Roman"/>
          <w:noProof/>
          <w:sz w:val="24"/>
        </w:rPr>
        <w:footnoteReference w:id="25"/>
      </w:r>
      <w:r>
        <w:rPr>
          <w:rFonts w:ascii="Times New Roman" w:hAnsi="Times New Roman"/>
          <w:noProof/>
          <w:sz w:val="24"/>
        </w:rPr>
        <w:t xml:space="preserve"> se je ob</w:t>
      </w:r>
      <w:r>
        <w:rPr>
          <w:rFonts w:ascii="Times New Roman" w:hAnsi="Times New Roman"/>
          <w:noProof/>
          <w:sz w:val="24"/>
        </w:rPr>
        <w:t xml:space="preserve">seg pogodb o nakupu električne energije iz obnovljivih virov, ki so jih sklenili poslovni uporabniki, v obdobju 2015–2018 povečal za štirikrat, in sicer s 506 MW na 1 967 MW. </w:t>
      </w:r>
    </w:p>
    <w:p w:rsidR="00BF174B" w:rsidRDefault="00B062BA">
      <w:pPr>
        <w:pStyle w:val="Heading1"/>
        <w:rPr>
          <w:noProof/>
        </w:rPr>
      </w:pPr>
      <w:bookmarkStart w:id="4" w:name="_Toc1149219"/>
      <w:r>
        <w:rPr>
          <w:noProof/>
        </w:rPr>
        <w:t>3. PODROBNE OCENE NAPREDKA DRŽAV ČLANIC IN NAPOVEDI</w:t>
      </w:r>
      <w:bookmarkEnd w:id="4"/>
      <w:r>
        <w:rPr>
          <w:noProof/>
        </w:rPr>
        <w:t xml:space="preserve"> DO LETA 2020</w:t>
      </w:r>
    </w:p>
    <w:p w:rsidR="00BF174B" w:rsidRDefault="00B062BA">
      <w:pPr>
        <w:pStyle w:val="Heading2"/>
        <w:spacing w:after="120"/>
        <w:ind w:left="714" w:hanging="357"/>
        <w:rPr>
          <w:noProof/>
        </w:rPr>
      </w:pPr>
      <w:bookmarkStart w:id="5" w:name="_Toc1149220"/>
      <w:r>
        <w:rPr>
          <w:noProof/>
        </w:rPr>
        <w:t>Napredek na pod</w:t>
      </w:r>
      <w:r>
        <w:rPr>
          <w:noProof/>
        </w:rPr>
        <w:t>ročju električne energije, ogrevanja in hlajenja ter prometa</w:t>
      </w:r>
      <w:bookmarkEnd w:id="5"/>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Deleži energije iz obnovljivih virov odražajo zgodovinsko raznolikost v energetski mešanici držav članic in razlike med državami članicami glede možnosti za razvoj energije iz obnovljivih virov, </w:t>
      </w:r>
      <w:r>
        <w:rPr>
          <w:rFonts w:ascii="Times New Roman" w:hAnsi="Times New Roman"/>
          <w:noProof/>
          <w:sz w:val="24"/>
        </w:rPr>
        <w:t>pri čemer so se deleži leta 2017 gibali od 6,4 % v Luksemburgu do 54,5 % na Švedskem (glej sliko 2).</w:t>
      </w:r>
    </w:p>
    <w:p w:rsidR="00BF174B" w:rsidRDefault="00B062BA">
      <w:pPr>
        <w:jc w:val="both"/>
        <w:rPr>
          <w:rFonts w:ascii="Times New Roman" w:hAnsi="Times New Roman" w:cs="Times New Roman"/>
          <w:noProof/>
          <w:sz w:val="24"/>
          <w:szCs w:val="24"/>
        </w:rPr>
      </w:pPr>
      <w:r>
        <w:rPr>
          <w:rFonts w:ascii="Times New Roman" w:hAnsi="Times New Roman" w:cs="Times New Roman"/>
          <w:noProof/>
          <w:sz w:val="24"/>
          <w:szCs w:val="24"/>
          <w:lang w:val="fr-BE" w:eastAsia="fr-BE" w:bidi="ar-SA"/>
        </w:rPr>
        <w:drawing>
          <wp:inline distT="0" distB="0" distL="0" distR="0">
            <wp:extent cx="5731510" cy="2319171"/>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2319171"/>
                    </a:xfrm>
                    <a:prstGeom prst="rect">
                      <a:avLst/>
                    </a:prstGeom>
                  </pic:spPr>
                </pic:pic>
              </a:graphicData>
            </a:graphic>
          </wp:inline>
        </w:drawing>
      </w:r>
    </w:p>
    <w:p w:rsidR="00BF174B" w:rsidRDefault="00BF174B">
      <w:pPr>
        <w:jc w:val="both"/>
        <w:rPr>
          <w:rFonts w:ascii="Times New Roman" w:hAnsi="Times New Roman" w:cs="Times New Roman"/>
          <w:noProof/>
          <w:sz w:val="24"/>
          <w:szCs w:val="24"/>
        </w:rPr>
      </w:pPr>
    </w:p>
    <w:p w:rsidR="00BF174B" w:rsidRDefault="00B062BA">
      <w:pPr>
        <w:jc w:val="both"/>
        <w:rPr>
          <w:rFonts w:ascii="Times New Roman" w:hAnsi="Times New Roman" w:cs="Times New Roman"/>
          <w:i/>
          <w:noProof/>
          <w:sz w:val="24"/>
          <w:szCs w:val="24"/>
        </w:rPr>
      </w:pPr>
      <w:r>
        <w:rPr>
          <w:rFonts w:ascii="Times New Roman" w:hAnsi="Times New Roman"/>
          <w:b/>
          <w:noProof/>
          <w:sz w:val="24"/>
        </w:rPr>
        <w:t>Slika 2</w:t>
      </w:r>
      <w:r>
        <w:rPr>
          <w:rFonts w:ascii="Times New Roman" w:hAnsi="Times New Roman"/>
          <w:noProof/>
          <w:sz w:val="24"/>
        </w:rPr>
        <w:t xml:space="preserve">: </w:t>
      </w:r>
      <w:r>
        <w:rPr>
          <w:rFonts w:ascii="Times New Roman" w:hAnsi="Times New Roman"/>
          <w:i/>
          <w:noProof/>
          <w:sz w:val="24"/>
        </w:rPr>
        <w:t>Deleži energije iz obnovljivih virov v EU in državah članicah v bruto končni porabi energije v obdobju 2015–2017 v primerjavi z začrtano usmeri</w:t>
      </w:r>
      <w:r>
        <w:rPr>
          <w:rFonts w:ascii="Times New Roman" w:hAnsi="Times New Roman"/>
          <w:i/>
          <w:noProof/>
          <w:sz w:val="24"/>
        </w:rPr>
        <w:t>tvijo iz</w:t>
      </w:r>
      <w:r>
        <w:rPr>
          <w:rFonts w:ascii="Times New Roman" w:hAnsi="Times New Roman"/>
          <w:noProof/>
          <w:sz w:val="24"/>
        </w:rPr>
        <w:t xml:space="preserve"> direktive RED I</w:t>
      </w:r>
      <w:r>
        <w:rPr>
          <w:rFonts w:ascii="Times New Roman" w:hAnsi="Times New Roman"/>
          <w:i/>
          <w:noProof/>
          <w:sz w:val="24"/>
        </w:rPr>
        <w:t xml:space="preserve"> (vir: Eurostat).</w:t>
      </w:r>
    </w:p>
    <w:p w:rsidR="00BF174B" w:rsidRDefault="00B062BA">
      <w:pPr>
        <w:jc w:val="both"/>
        <w:rPr>
          <w:rFonts w:ascii="Times New Roman" w:hAnsi="Times New Roman" w:cs="Times New Roman"/>
          <w:noProof/>
          <w:sz w:val="24"/>
          <w:szCs w:val="24"/>
        </w:rPr>
      </w:pPr>
      <w:r>
        <w:rPr>
          <w:rFonts w:ascii="Times New Roman" w:hAnsi="Times New Roman"/>
          <w:noProof/>
          <w:sz w:val="24"/>
        </w:rPr>
        <w:t>Na podlagi 4. poročil držav članic o napredku na področju energije iz obnovljivih virov („poročila o napredku“), ki zajemajo obdobje 2015–2016</w:t>
      </w:r>
      <w:r>
        <w:rPr>
          <w:rStyle w:val="FootnoteReference"/>
          <w:rFonts w:ascii="Times New Roman" w:hAnsi="Times New Roman"/>
          <w:noProof/>
          <w:sz w:val="24"/>
        </w:rPr>
        <w:footnoteReference w:id="26"/>
      </w:r>
      <w:r>
        <w:rPr>
          <w:rFonts w:ascii="Times New Roman" w:hAnsi="Times New Roman"/>
          <w:noProof/>
          <w:sz w:val="24"/>
        </w:rPr>
        <w:t>, je 25 držav članic presegalo svojo okvirno usmeritev iz direktive RED</w:t>
      </w:r>
      <w:r>
        <w:rPr>
          <w:rFonts w:ascii="Times New Roman" w:hAnsi="Times New Roman"/>
          <w:noProof/>
          <w:sz w:val="24"/>
        </w:rPr>
        <w:t> I za obdobje 2015–2016. Med tremi državami članicami, ki niso dosegle svoje usmeritve iz direktive RED I, se je pri Nizozemski pokazal največji razkorak, saj je dejanski povprečni delež v obdobju 2015–2016 znašal 5,9 %, medtem ko je okvirna usmeritev iz d</w:t>
      </w:r>
      <w:r>
        <w:rPr>
          <w:rFonts w:ascii="Times New Roman" w:hAnsi="Times New Roman"/>
          <w:noProof/>
          <w:sz w:val="24"/>
        </w:rPr>
        <w:t>irektive RED 7,6 %. Razkorak v zvezi z načrtovanim 9,7-odstotnim deležem energije iz obnovljivih virov iz nacionalnega akcijskega načrta v letu 2016 je še večji. Država še vedno zaostaja za začrtano usmeritvijo glede energije iz obnovljivih virov v sektorj</w:t>
      </w:r>
      <w:r>
        <w:rPr>
          <w:rFonts w:ascii="Times New Roman" w:hAnsi="Times New Roman"/>
          <w:noProof/>
          <w:sz w:val="24"/>
        </w:rPr>
        <w:t>u za električno energijo in tudi nekoliko zamuja v zvezi z načrtovanim razvojem energije iz obnovljivih virov v prometnem sektorju. Luksemburg in Francija sta prav tako pod svojo okvirno usmeritvijo iz direktive RED I za obdobje 2015–2016, čeprav le v manj</w:t>
      </w:r>
      <w:r>
        <w:rPr>
          <w:rFonts w:ascii="Times New Roman" w:hAnsi="Times New Roman"/>
          <w:noProof/>
          <w:sz w:val="24"/>
        </w:rPr>
        <w:t xml:space="preserve">šem obsegu. </w:t>
      </w:r>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Podatki Eurostata za leto 2017 ne kažejo bistveno drugačne slike. Enajst držav članic (Bolgarija, Češka, Danska, Estonija, Finska, Hrvaška, Madžarska, Italija, Litva, Romunija in Švedska) je že doseglo delež, ki ustreza njihovemu cilju za </w:t>
      </w:r>
      <w:r>
        <w:rPr>
          <w:rFonts w:ascii="Times New Roman" w:hAnsi="Times New Roman"/>
          <w:noProof/>
          <w:sz w:val="24"/>
        </w:rPr>
        <w:t xml:space="preserve">leto 2020. Od preostalih 17 držav članic jih je deset že doseglo ali preseglo vmesno usmeritev iz direktive RED I za obdobje 2017–2018. Preostalih sedem držav članic (Belgija, Francija, Irska, Luksemburg, Nizozemska, Poljska, Slovenija) bi moralo okrepiti </w:t>
      </w:r>
      <w:r>
        <w:rPr>
          <w:rFonts w:ascii="Times New Roman" w:hAnsi="Times New Roman"/>
          <w:noProof/>
          <w:sz w:val="24"/>
        </w:rPr>
        <w:t>prizadevanja, da do leta 2020 dosežejo povprečno usmeritev iz obdobja 2017–2018.</w:t>
      </w:r>
    </w:p>
    <w:p w:rsidR="00BF174B" w:rsidRDefault="00B062BA">
      <w:pPr>
        <w:jc w:val="both"/>
        <w:rPr>
          <w:rFonts w:ascii="Times New Roman" w:hAnsi="Times New Roman" w:cs="Times New Roman"/>
          <w:noProof/>
          <w:sz w:val="24"/>
          <w:szCs w:val="24"/>
        </w:rPr>
      </w:pPr>
      <w:r>
        <w:rPr>
          <w:rFonts w:ascii="Times New Roman" w:hAnsi="Times New Roman"/>
          <w:noProof/>
          <w:sz w:val="24"/>
        </w:rPr>
        <w:t>Če pogledamo absolutne ravni porabe energije iz obnovljivih virov v EU-28, opazimo znatno, tj. 8-odstotno povečanje s 189 Mtoe v letu 2015 na 204 Mtoe v letu 2017. V istem obd</w:t>
      </w:r>
      <w:r>
        <w:rPr>
          <w:rFonts w:ascii="Times New Roman" w:hAnsi="Times New Roman"/>
          <w:noProof/>
          <w:sz w:val="24"/>
        </w:rPr>
        <w:t>obju pa se je s 1 125 Mtoe na 1 159 Mtoe povečala bruto končna poraba energije, kar je povzročilo zmanjšanje deleža energije iz obnovljivih virov, saj se ta izračuna kot končna poraba energije iz obnovljivih virov, deljena z bruto končno porabo energije. T</w:t>
      </w:r>
      <w:r>
        <w:rPr>
          <w:rFonts w:ascii="Times New Roman" w:hAnsi="Times New Roman"/>
          <w:noProof/>
          <w:sz w:val="24"/>
        </w:rPr>
        <w:t>o povečanje povpraševanja je eden od temeljnih dejavnikov za zmanjšanje deleža energije iz obnovljivih virov v letu 2017 v primerjavi z letom 2016 v devetih državah članicah (Avstrija, Bolgarija, Češka, Madžarska, Poljska, Portugalska, Romunija in Slovaška</w:t>
      </w:r>
      <w:r>
        <w:rPr>
          <w:rFonts w:ascii="Times New Roman" w:hAnsi="Times New Roman"/>
          <w:noProof/>
          <w:sz w:val="24"/>
        </w:rPr>
        <w:t xml:space="preserve">). </w:t>
      </w:r>
    </w:p>
    <w:p w:rsidR="00BF174B" w:rsidRDefault="00B062BA">
      <w:pPr>
        <w:jc w:val="both"/>
        <w:rPr>
          <w:rFonts w:ascii="Times New Roman" w:hAnsi="Times New Roman" w:cs="Times New Roman"/>
          <w:noProof/>
          <w:sz w:val="24"/>
          <w:szCs w:val="24"/>
        </w:rPr>
      </w:pPr>
      <w:r>
        <w:rPr>
          <w:rFonts w:ascii="Times New Roman" w:hAnsi="Times New Roman"/>
          <w:noProof/>
          <w:sz w:val="24"/>
        </w:rPr>
        <w:t>Sektorski deleži energije iz obnovljivih virov so se v obdobju 2015–2017 povečali za veliko večino držav članic. Kljub temu so se za nekatere države članice sektorski deleži spremenili le za manj kot 0,3 odstotne točke. To velja za devet držav članic p</w:t>
      </w:r>
      <w:r>
        <w:rPr>
          <w:rFonts w:ascii="Times New Roman" w:hAnsi="Times New Roman"/>
          <w:noProof/>
          <w:sz w:val="24"/>
        </w:rPr>
        <w:t>ri energiji iz obnovljivih virov v sektorju za električno energijo (Bolgarija, Češka, Španija, Madžarska, Poljska, Romunija, Slovenija, Slovaška, Švedska), sedem pri energiji iz obnovljivih virov v sektorju ogrevanja in hlajenja (Češka, Nemčija, Madžarska,</w:t>
      </w:r>
      <w:r>
        <w:rPr>
          <w:rFonts w:ascii="Times New Roman" w:hAnsi="Times New Roman"/>
          <w:noProof/>
          <w:sz w:val="24"/>
        </w:rPr>
        <w:t xml:space="preserve"> Avstrija, Poljska, Slovenija, Slovaška) in deset pri energiji iz obnovljivih virov v prometnem sektorju (Češka, Danska, Estonija, Madžarska, Ciper, Latvija, Luksemburg, Avstrija, Poljska, Finska).  </w:t>
      </w:r>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V prometnem sektorju, kjer bi morale vse države članice </w:t>
      </w:r>
      <w:r>
        <w:rPr>
          <w:rFonts w:ascii="Times New Roman" w:hAnsi="Times New Roman"/>
          <w:noProof/>
          <w:sz w:val="24"/>
        </w:rPr>
        <w:t>doseči isti cilj, tj. 10-odstotni delež, bi ta upočasnitev lahko predstavljala izziv za osem držav članic (Estonija, Grčija, Madžarska, Ciper, Latvija, Litva, Poljska, Slovenija), ki imajo v prometnem sektorju manj kot 5-odstotno porabo energije iz obnovlj</w:t>
      </w:r>
      <w:r>
        <w:rPr>
          <w:rFonts w:ascii="Times New Roman" w:hAnsi="Times New Roman"/>
          <w:noProof/>
          <w:sz w:val="24"/>
        </w:rPr>
        <w:t xml:space="preserve">ivih virov, zaradi česar bi bilo potrebno hitro povišanje, da bi bil dosežen cilj 10 %. Ena od možnih poti bi prav tako bila uporaba statističnih prenosov za prometni sektor, ki jo omogoča direktiva o posrednih spremembah rabe zemljišč. </w:t>
      </w:r>
    </w:p>
    <w:p w:rsidR="00BF174B" w:rsidRDefault="00B062BA">
      <w:pPr>
        <w:pStyle w:val="Heading2"/>
        <w:spacing w:after="120"/>
        <w:ind w:left="714" w:hanging="357"/>
        <w:rPr>
          <w:noProof/>
        </w:rPr>
      </w:pPr>
      <w:bookmarkStart w:id="6" w:name="_Toc1149221"/>
      <w:r>
        <w:rPr>
          <w:noProof/>
        </w:rPr>
        <w:t>Mehanizmi sodelova</w:t>
      </w:r>
      <w:r>
        <w:rPr>
          <w:noProof/>
        </w:rPr>
        <w:t>nja</w:t>
      </w:r>
      <w:bookmarkEnd w:id="6"/>
    </w:p>
    <w:p w:rsidR="00BF174B" w:rsidRDefault="00B062BA">
      <w:pPr>
        <w:jc w:val="both"/>
        <w:rPr>
          <w:rFonts w:ascii="Times New Roman" w:hAnsi="Times New Roman" w:cs="Times New Roman"/>
          <w:noProof/>
          <w:sz w:val="24"/>
          <w:szCs w:val="24"/>
        </w:rPr>
      </w:pPr>
      <w:r>
        <w:rPr>
          <w:rFonts w:ascii="Times New Roman" w:hAnsi="Times New Roman"/>
          <w:noProof/>
          <w:sz w:val="24"/>
        </w:rPr>
        <w:t>Mehanizmi sodelovanja temeljijo na členih 6 do 11 direktive RED I. Vključujejo več mehanizmov, s katerimi lahko države članice sodelujejo na področju energije iz obnovljivih virov, kot so statistični prenosi, skupni projekti in skupni programi podpore.</w:t>
      </w:r>
      <w:r>
        <w:rPr>
          <w:rFonts w:ascii="Times New Roman" w:hAnsi="Times New Roman"/>
          <w:noProof/>
          <w:sz w:val="24"/>
        </w:rPr>
        <w:t xml:space="preserve"> Statistični prenosi so še posebej pomembni za spodbujanje doseganja ciljev, saj državam članicam, ki so dosegle višji delež energije iz obnovljivih virov od svojega nacionalnega cilja, omogočajo prenos presežka v druge države članice. Trenutno obstajata d</w:t>
      </w:r>
      <w:r>
        <w:rPr>
          <w:rFonts w:ascii="Times New Roman" w:hAnsi="Times New Roman"/>
          <w:noProof/>
          <w:sz w:val="24"/>
        </w:rPr>
        <w:t xml:space="preserve">ve pogodbi, ki urejata uporabo tovrstnih statističnih prenosov, in sicer med Luksemburgom in Litvo ter med Luksemburgom in Estonijo. Pogodbi v obeh primerih določata, da bo Luksemburg statistične prenose prejel za obdobje 2018–2020. </w:t>
      </w:r>
    </w:p>
    <w:p w:rsidR="00BF174B" w:rsidRDefault="00B062BA">
      <w:pPr>
        <w:jc w:val="both"/>
        <w:rPr>
          <w:rFonts w:ascii="Times New Roman" w:hAnsi="Times New Roman" w:cs="Times New Roman"/>
          <w:noProof/>
          <w:sz w:val="24"/>
          <w:szCs w:val="24"/>
        </w:rPr>
      </w:pPr>
      <w:r>
        <w:rPr>
          <w:rFonts w:ascii="Times New Roman" w:hAnsi="Times New Roman"/>
          <w:noProof/>
          <w:sz w:val="24"/>
        </w:rPr>
        <w:t>Glede na ocene, ki so jih države članice vključile v svoja poročila o napredku, bi skupni presežek pri proizvodnji energije iz obnovljivih virov v primerjavi z okvirno usmeritvijo, ki je na voljo za morebitne statistične prenose v letu 2020, obsegal 12 564</w:t>
      </w:r>
      <w:r>
        <w:rPr>
          <w:rFonts w:ascii="Times New Roman" w:hAnsi="Times New Roman"/>
          <w:noProof/>
          <w:sz w:val="24"/>
        </w:rPr>
        <w:t> kiloton ekvivalenta nafte (ktoe). To ustreza približno polovici bruto končne porabe energije iz obnovljivih virov v Franciji. Za državo članico, ki z uporabo lastnih obnovljivih virov energije morda ne bo dosegla cilja za leto 2020, bi to lahko bila izved</w:t>
      </w:r>
      <w:r>
        <w:rPr>
          <w:rFonts w:ascii="Times New Roman" w:hAnsi="Times New Roman"/>
          <w:noProof/>
          <w:sz w:val="24"/>
        </w:rPr>
        <w:t xml:space="preserve">ljiva možnost za stroškovno učinkovito uresničitev njenega cilja (glej preglednico 1). </w:t>
      </w:r>
    </w:p>
    <w:tbl>
      <w:tblPr>
        <w:tblStyle w:val="Tablestylegreen2"/>
        <w:tblW w:w="5005" w:type="pct"/>
        <w:tblLook w:val="04A0" w:firstRow="1" w:lastRow="0" w:firstColumn="1" w:lastColumn="0" w:noHBand="0" w:noVBand="1"/>
      </w:tblPr>
      <w:tblGrid>
        <w:gridCol w:w="1177"/>
        <w:gridCol w:w="706"/>
        <w:gridCol w:w="706"/>
        <w:gridCol w:w="706"/>
        <w:gridCol w:w="706"/>
        <w:gridCol w:w="706"/>
        <w:gridCol w:w="706"/>
        <w:gridCol w:w="706"/>
        <w:gridCol w:w="706"/>
        <w:gridCol w:w="706"/>
        <w:gridCol w:w="706"/>
        <w:gridCol w:w="617"/>
        <w:gridCol w:w="706"/>
      </w:tblGrid>
      <w:tr w:rsidR="00BF174B" w:rsidTr="00BF174B">
        <w:trPr>
          <w:cnfStyle w:val="100000000000" w:firstRow="1" w:lastRow="0" w:firstColumn="0" w:lastColumn="0" w:oddVBand="0" w:evenVBand="0" w:oddHBand="0" w:evenHBand="0" w:firstRowFirstColumn="0" w:firstRowLastColumn="0" w:lastRowFirstColumn="0" w:lastRowLastColumn="0"/>
          <w:trHeight w:val="296"/>
        </w:trPr>
        <w:tc>
          <w:tcPr>
            <w:cnfStyle w:val="001000000100" w:firstRow="0" w:lastRow="0" w:firstColumn="1" w:lastColumn="0" w:oddVBand="0" w:evenVBand="0" w:oddHBand="0" w:evenHBand="0" w:firstRowFirstColumn="1" w:firstRowLastColumn="0" w:lastRowFirstColumn="0" w:lastRowLastColumn="0"/>
            <w:tcW w:w="761" w:type="pct"/>
            <w:noWrap/>
          </w:tcPr>
          <w:p w:rsidR="00BF174B" w:rsidRDefault="00BF174B">
            <w:pPr>
              <w:keepNext/>
              <w:spacing w:before="0" w:beforeAutospacing="0" w:after="0" w:afterAutospacing="0"/>
              <w:jc w:val="both"/>
              <w:rPr>
                <w:rFonts w:cs="Arial"/>
                <w:noProof/>
                <w:color w:val="FFFFFF" w:themeColor="background1"/>
                <w:szCs w:val="16"/>
              </w:rPr>
            </w:pP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2009</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2010</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2011</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2012</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2013</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2014</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2015</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2016</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2017</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2018</w:t>
            </w:r>
          </w:p>
        </w:tc>
        <w:tc>
          <w:tcPr>
            <w:tcW w:w="309"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2019</w:t>
            </w:r>
          </w:p>
        </w:tc>
        <w:tc>
          <w:tcPr>
            <w:tcW w:w="357" w:type="pct"/>
            <w:shd w:val="clear" w:color="auto" w:fill="648C1A"/>
            <w:noWrap/>
          </w:tcPr>
          <w:p w:rsidR="00BF174B" w:rsidRDefault="00B062BA">
            <w:pPr>
              <w:keepNext/>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Arial"/>
                <w:b/>
                <w:noProof/>
                <w:color w:val="FFFFFF" w:themeColor="background1"/>
                <w:szCs w:val="16"/>
              </w:rPr>
            </w:pPr>
            <w:r>
              <w:rPr>
                <w:b/>
                <w:noProof/>
                <w:color w:val="FFFFFF" w:themeColor="background1"/>
              </w:rPr>
              <w:t>2020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Belgija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Bolgarija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372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357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601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420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471</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411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341</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Češka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1 145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1 039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947</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863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892</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678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643</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Danska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694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1 123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1 106</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1 223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1 452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552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619</w:t>
            </w:r>
          </w:p>
        </w:tc>
        <w:tc>
          <w:tcPr>
            <w:tcW w:w="309"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63</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Nemčija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6 895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8 436</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6 546</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9 390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7 272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7 911</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4 130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5 976</w:t>
            </w:r>
          </w:p>
        </w:tc>
        <w:tc>
          <w:tcPr>
            <w:tcW w:w="309"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3 065</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Estonija</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94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186</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235</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279</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296</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Irska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111</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–239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–366</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Grčija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201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320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242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195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–162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737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743</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683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529</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Španija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2 290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3 083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2 720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3 357</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1 990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2 963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2 049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2 793</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 xml:space="preserve"> </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839</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Francija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–641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–2 708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–1 877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–1 565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–3 721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–4 048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–4 075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Italija</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8 324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8 613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7 405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10 011</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10 937</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9 343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9 468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7 789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7 259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5 828</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4 462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3 397</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Ciper</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29</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57</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34</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21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Latvija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–127</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Luksemburg</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c>
          <w:tcPr>
            <w:tcW w:w="309"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Madžarska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1 213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1 295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970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803</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09"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Malta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10</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09"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Nizozemska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Avstrija</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Poljska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543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729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929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530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174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968</w:t>
            </w:r>
          </w:p>
        </w:tc>
        <w:tc>
          <w:tcPr>
            <w:tcW w:w="309"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587</w:t>
            </w:r>
          </w:p>
        </w:tc>
      </w:tr>
      <w:tr w:rsidR="00BF174B" w:rsidTr="00BF174B">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Portugalska</w:t>
            </w: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144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128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154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81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131</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50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Romunija</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1 153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1 306</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794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942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645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692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1 089</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886</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405</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263</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Slovenija</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Slovaška</w:t>
            </w: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b/>
                <w:noProof/>
                <w:szCs w:val="16"/>
              </w:rPr>
            </w:pPr>
          </w:p>
        </w:tc>
        <w:tc>
          <w:tcPr>
            <w:tcW w:w="357"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254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142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222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305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364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90</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110</w:t>
            </w:r>
          </w:p>
        </w:tc>
        <w:tc>
          <w:tcPr>
            <w:tcW w:w="309" w:type="pct"/>
            <w:noWrap/>
          </w:tcPr>
          <w:p w:rsidR="00BF174B" w:rsidRDefault="00BF174B">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0</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Finska</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noProof/>
                <w:szCs w:val="16"/>
              </w:rPr>
            </w:pPr>
            <w:r>
              <w:rPr>
                <w:noProof/>
              </w:rPr>
              <w:t>0</w:t>
            </w:r>
          </w:p>
        </w:tc>
      </w:tr>
      <w:bookmarkStart w:id="7" w:name="RANGE!C29"/>
      <w:tr w:rsidR="00BF174B" w:rsidTr="00BF17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rPr>
              <w:fldChar w:fldCharType="begin"/>
            </w:r>
            <w:r>
              <w:rPr>
                <w:noProof/>
              </w:rPr>
              <w:instrText>HYPERLINK "file:///C:\\Users\\fvonbluecher\\Desktop\\stuff\\2020%20PREBS\\Cooperation%20mechanism%20overview.xlsx" \l "RANGE!#REF!"</w:instrText>
            </w:r>
            <w:r>
              <w:rPr>
                <w:noProof/>
              </w:rPr>
              <w:fldChar w:fldCharType="separate"/>
            </w:r>
            <w:r>
              <w:rPr>
                <w:noProof/>
                <w:color w:val="FFFFFF" w:themeColor="background1"/>
              </w:rPr>
              <w:t>Švedska</w:t>
            </w:r>
            <w:r>
              <w:rPr>
                <w:noProof/>
              </w:rPr>
              <w:fldChar w:fldCharType="end"/>
            </w:r>
            <w:bookmarkEnd w:id="7"/>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2 407</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2 141</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2 482</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3 318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3 214</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3 335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3 347</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3 475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3 215</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3 610</w:t>
            </w:r>
          </w:p>
        </w:tc>
        <w:tc>
          <w:tcPr>
            <w:tcW w:w="309"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3 428</w:t>
            </w:r>
          </w:p>
        </w:tc>
        <w:tc>
          <w:tcPr>
            <w:tcW w:w="357" w:type="pct"/>
            <w:noWrap/>
          </w:tcPr>
          <w:p w:rsidR="00BF174B" w:rsidRDefault="00B062BA">
            <w:pPr>
              <w:keepNext/>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Arial"/>
                <w:noProof/>
                <w:szCs w:val="16"/>
              </w:rPr>
            </w:pPr>
            <w:r>
              <w:rPr>
                <w:noProof/>
              </w:rPr>
              <w:t>3 241</w:t>
            </w:r>
          </w:p>
        </w:tc>
      </w:tr>
      <w:tr w:rsidR="00BF174B" w:rsidTr="00BF174B">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61" w:type="pct"/>
            <w:noWrap/>
          </w:tcPr>
          <w:p w:rsidR="00BF174B" w:rsidRDefault="00B062BA">
            <w:pPr>
              <w:keepNext/>
              <w:spacing w:before="0" w:beforeAutospacing="0" w:after="0" w:afterAutospacing="0"/>
              <w:jc w:val="both"/>
              <w:rPr>
                <w:rFonts w:cs="Arial"/>
                <w:b w:val="0"/>
                <w:noProof/>
                <w:color w:val="FFFFFF" w:themeColor="background1"/>
                <w:szCs w:val="16"/>
              </w:rPr>
            </w:pPr>
            <w:r>
              <w:rPr>
                <w:noProof/>
                <w:color w:val="FFFFFF" w:themeColor="background1"/>
              </w:rPr>
              <w:t xml:space="preserve">Skupaj </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11 985</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13 544</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20 838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28 332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26 660</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27 033</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23 901</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23 038</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20 722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22 752</w:t>
            </w:r>
          </w:p>
        </w:tc>
        <w:tc>
          <w:tcPr>
            <w:tcW w:w="309"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9 982</w:t>
            </w:r>
          </w:p>
        </w:tc>
        <w:tc>
          <w:tcPr>
            <w:tcW w:w="357" w:type="pct"/>
            <w:noWrap/>
          </w:tcPr>
          <w:p w:rsidR="00BF174B" w:rsidRDefault="00B062BA">
            <w:pPr>
              <w:keepNext/>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rPr>
                <w:rFonts w:cs="Arial"/>
                <w:b/>
                <w:noProof/>
                <w:szCs w:val="16"/>
              </w:rPr>
            </w:pPr>
            <w:r>
              <w:rPr>
                <w:b/>
                <w:noProof/>
              </w:rPr>
              <w:t>12 564</w:t>
            </w:r>
          </w:p>
        </w:tc>
      </w:tr>
    </w:tbl>
    <w:p w:rsidR="00BF174B" w:rsidRDefault="00B062BA">
      <w:pPr>
        <w:keepNext/>
        <w:jc w:val="both"/>
        <w:rPr>
          <w:rFonts w:ascii="Times New Roman" w:hAnsi="Times New Roman" w:cs="Times New Roman"/>
          <w:i/>
          <w:noProof/>
          <w:sz w:val="24"/>
        </w:rPr>
      </w:pPr>
      <w:r>
        <w:rPr>
          <w:rFonts w:ascii="Times New Roman" w:hAnsi="Times New Roman"/>
          <w:b/>
          <w:noProof/>
          <w:sz w:val="24"/>
        </w:rPr>
        <w:t>Preglednica 1</w:t>
      </w:r>
      <w:r>
        <w:rPr>
          <w:rFonts w:ascii="Times New Roman" w:hAnsi="Times New Roman"/>
          <w:noProof/>
          <w:sz w:val="24"/>
        </w:rPr>
        <w:t xml:space="preserve">: </w:t>
      </w:r>
      <w:r>
        <w:rPr>
          <w:rFonts w:ascii="Times New Roman" w:hAnsi="Times New Roman"/>
          <w:i/>
          <w:noProof/>
          <w:sz w:val="24"/>
        </w:rPr>
        <w:t xml:space="preserve">Dejanski in ocenjeni presežek in/ali primanjkljaj pri proizvodnji energije iz obnovljivih virov v državah članicah v primerjavi z okvirno usmeritvijo iz direktive </w:t>
      </w:r>
      <w:r>
        <w:rPr>
          <w:rFonts w:ascii="Times New Roman" w:hAnsi="Times New Roman"/>
          <w:i/>
          <w:noProof/>
          <w:sz w:val="24"/>
        </w:rPr>
        <w:t>RED (v ktoe). Vir: Navigant, 2019</w:t>
      </w:r>
      <w:r>
        <w:rPr>
          <w:rStyle w:val="FootnoteReference"/>
          <w:rFonts w:ascii="Times New Roman" w:hAnsi="Times New Roman"/>
          <w:i/>
          <w:noProof/>
          <w:sz w:val="24"/>
        </w:rPr>
        <w:footnoteReference w:id="27"/>
      </w:r>
      <w:r>
        <w:rPr>
          <w:rFonts w:ascii="Times New Roman" w:hAnsi="Times New Roman"/>
          <w:i/>
          <w:noProof/>
          <w:sz w:val="24"/>
        </w:rPr>
        <w:t>, poročila držav članic</w:t>
      </w:r>
      <w:r>
        <w:rPr>
          <w:rStyle w:val="FootnoteReference"/>
          <w:rFonts w:ascii="Times New Roman" w:hAnsi="Times New Roman"/>
          <w:i/>
          <w:noProof/>
          <w:sz w:val="24"/>
        </w:rPr>
        <w:footnoteReference w:id="28"/>
      </w:r>
      <w:r>
        <w:rPr>
          <w:rFonts w:ascii="Times New Roman" w:hAnsi="Times New Roman"/>
          <w:i/>
          <w:noProof/>
          <w:sz w:val="24"/>
        </w:rPr>
        <w:t>.</w:t>
      </w:r>
    </w:p>
    <w:p w:rsidR="00BF174B" w:rsidRDefault="00B062BA">
      <w:pPr>
        <w:pStyle w:val="Heading2"/>
        <w:spacing w:after="120"/>
        <w:ind w:left="714" w:hanging="357"/>
        <w:rPr>
          <w:noProof/>
        </w:rPr>
      </w:pPr>
      <w:bookmarkStart w:id="8" w:name="_Toc1149222"/>
      <w:r>
        <w:rPr>
          <w:noProof/>
        </w:rPr>
        <w:t>Napovedi</w:t>
      </w:r>
      <w:bookmarkEnd w:id="8"/>
      <w:r>
        <w:rPr>
          <w:noProof/>
        </w:rPr>
        <w:t xml:space="preserve"> </w:t>
      </w:r>
    </w:p>
    <w:p w:rsidR="00BF174B" w:rsidRDefault="00B062BA">
      <w:pPr>
        <w:jc w:val="both"/>
        <w:rPr>
          <w:rFonts w:ascii="Times New Roman" w:hAnsi="Times New Roman" w:cs="Times New Roman"/>
          <w:noProof/>
          <w:sz w:val="24"/>
          <w:szCs w:val="24"/>
        </w:rPr>
      </w:pPr>
      <w:r>
        <w:rPr>
          <w:rFonts w:ascii="Times New Roman" w:hAnsi="Times New Roman"/>
          <w:noProof/>
          <w:sz w:val="24"/>
        </w:rPr>
        <w:t>Za oceno izvedljivosti doseganja cilja za leto 2020 je Komisija oblikovala model</w:t>
      </w:r>
      <w:r>
        <w:rPr>
          <w:rStyle w:val="FootnoteReference"/>
          <w:rFonts w:ascii="Times New Roman" w:hAnsi="Times New Roman"/>
          <w:noProof/>
          <w:sz w:val="24"/>
        </w:rPr>
        <w:footnoteReference w:id="29"/>
      </w:r>
      <w:r>
        <w:rPr>
          <w:rFonts w:ascii="Times New Roman" w:hAnsi="Times New Roman"/>
          <w:noProof/>
          <w:sz w:val="24"/>
        </w:rPr>
        <w:t>. Analiza preučuje, do katere mere bi zdajšnje politične pobude na področju energije iz obnovljivih virov</w:t>
      </w:r>
      <w:r>
        <w:rPr>
          <w:rFonts w:ascii="Times New Roman" w:hAnsi="Times New Roman"/>
          <w:noProof/>
          <w:sz w:val="24"/>
        </w:rPr>
        <w:t xml:space="preserve"> (kot o tem poročajo države članice v svojih poročilih o napredku), ki jih dopolnjujejo načrtovane politične pobude, zadoščale za sprožitev ciljnega uvajanja energije iz obnovljivih virov do leta 2020 za vsako državo članico. Z modeliranjem je bilo ugotovl</w:t>
      </w:r>
      <w:r>
        <w:rPr>
          <w:rFonts w:ascii="Times New Roman" w:hAnsi="Times New Roman"/>
          <w:noProof/>
          <w:sz w:val="24"/>
        </w:rPr>
        <w:t>jeno, da se lahko za leto 2020 na ravni EU s trenutno izvajanimi in načrtovanimi političnimi pobudami na področju energije iz obnovljivih virov</w:t>
      </w:r>
      <w:r>
        <w:rPr>
          <w:rFonts w:ascii="Times New Roman" w:hAnsi="Times New Roman"/>
          <w:noProof/>
          <w:sz w:val="24"/>
          <w:vertAlign w:val="superscript"/>
        </w:rPr>
        <w:footnoteReference w:id="30"/>
      </w:r>
      <w:r>
        <w:rPr>
          <w:rFonts w:ascii="Times New Roman" w:hAnsi="Times New Roman"/>
          <w:noProof/>
          <w:sz w:val="24"/>
        </w:rPr>
        <w:t xml:space="preserve"> pričakuje od 18,1- do 20,7-odstotni delež energije iz obnovljivih virov. Pričakuje se, da se bodo v preostalih </w:t>
      </w:r>
      <w:r>
        <w:rPr>
          <w:rFonts w:ascii="Times New Roman" w:hAnsi="Times New Roman"/>
          <w:noProof/>
          <w:sz w:val="24"/>
        </w:rPr>
        <w:t xml:space="preserve">letih dobro odrezale številne države članice in bodo dosegle ravni uvajanja, ki bodo presegle njihove ciljne ravni. </w:t>
      </w:r>
    </w:p>
    <w:p w:rsidR="00BF174B" w:rsidRDefault="00B062BA">
      <w:pPr>
        <w:jc w:val="both"/>
        <w:rPr>
          <w:rFonts w:ascii="Times New Roman" w:hAnsi="Times New Roman" w:cs="Times New Roman"/>
          <w:noProof/>
          <w:sz w:val="24"/>
          <w:szCs w:val="24"/>
        </w:rPr>
      </w:pPr>
      <w:r>
        <w:rPr>
          <w:rFonts w:ascii="Times New Roman" w:hAnsi="Times New Roman"/>
          <w:noProof/>
          <w:sz w:val="24"/>
        </w:rPr>
        <w:t>Vendar se zdi, da trenutno izvajane in že načrtovane politične pobude na področju energije iz obnovljivih virov danes v 11 državah članicah</w:t>
      </w:r>
      <w:r>
        <w:rPr>
          <w:rFonts w:ascii="Times New Roman" w:hAnsi="Times New Roman"/>
          <w:noProof/>
          <w:sz w:val="24"/>
        </w:rPr>
        <w:t xml:space="preserve"> (Belgija, Ciper, Francija, Grčija, Irska, Luksemburg, Malta, Nizozemska, Poljska, Portugalska in Združeno kraljestvo) ne zadostujejo za doseganje zahtevanih količin energije iz obnovljivih virov samo na domačih trgih. </w:t>
      </w:r>
    </w:p>
    <w:p w:rsidR="00BF174B" w:rsidRDefault="00B062BA">
      <w:pPr>
        <w:jc w:val="both"/>
        <w:rPr>
          <w:rFonts w:ascii="Times New Roman" w:hAnsi="Times New Roman" w:cs="Times New Roman"/>
          <w:noProof/>
          <w:sz w:val="24"/>
          <w:szCs w:val="24"/>
        </w:rPr>
      </w:pPr>
      <w:r>
        <w:rPr>
          <w:rFonts w:ascii="Times New Roman" w:hAnsi="Times New Roman"/>
          <w:noProof/>
          <w:sz w:val="24"/>
        </w:rPr>
        <w:t>Poleg tega za sedem držav članic (Av</w:t>
      </w:r>
      <w:r>
        <w:rPr>
          <w:rFonts w:ascii="Times New Roman" w:hAnsi="Times New Roman"/>
          <w:noProof/>
          <w:sz w:val="24"/>
        </w:rPr>
        <w:t>strija, Nemčija, Latvija, Romunija, Slovenija, Slovaška in Španija) obstaja negotovost v zvezi z doseganjem cilja glede energije iz obnovljivih virov za leto 2020. Njihova sposobnost izpolnjevanja nacionalnih zavezujočih ciljev za leto 2020 bo v veliki mer</w:t>
      </w:r>
      <w:r>
        <w:rPr>
          <w:rFonts w:ascii="Times New Roman" w:hAnsi="Times New Roman"/>
          <w:noProof/>
          <w:sz w:val="24"/>
        </w:rPr>
        <w:t>i odvisna od ravni povpraševanja po energiji, če bi prišlo do velikega povečanja povpraševanja po energiji, s katerim se bo njihova poraba energije uskladila s prvotnim trendom iz najnovejšega referenčnega scenarija EU. Rezultati so ob upoštevanju dogovorj</w:t>
      </w:r>
      <w:r>
        <w:rPr>
          <w:rFonts w:ascii="Times New Roman" w:hAnsi="Times New Roman"/>
          <w:noProof/>
          <w:sz w:val="24"/>
        </w:rPr>
        <w:t xml:space="preserve">enih mehanizmov sodelovanja za Luksemburg, Estonijo in Litvo prikazani na sliki 4. </w:t>
      </w:r>
    </w:p>
    <w:p w:rsidR="00BF174B" w:rsidRDefault="00B062BA">
      <w:pPr>
        <w:jc w:val="both"/>
        <w:rPr>
          <w:rFonts w:ascii="Times New Roman" w:hAnsi="Times New Roman" w:cs="Times New Roman"/>
          <w:b/>
          <w:noProof/>
          <w:sz w:val="24"/>
          <w:szCs w:val="24"/>
        </w:rPr>
      </w:pPr>
      <w:r>
        <w:rPr>
          <w:rFonts w:ascii="Times New Roman" w:hAnsi="Times New Roman" w:cs="Times New Roman"/>
          <w:b/>
          <w:noProof/>
          <w:sz w:val="24"/>
          <w:szCs w:val="24"/>
          <w:lang w:val="fr-BE" w:eastAsia="fr-BE" w:bidi="ar-SA"/>
        </w:rPr>
        <w:drawing>
          <wp:inline distT="0" distB="0" distL="0" distR="0">
            <wp:extent cx="5731510" cy="2640906"/>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640906"/>
                    </a:xfrm>
                    <a:prstGeom prst="rect">
                      <a:avLst/>
                    </a:prstGeom>
                  </pic:spPr>
                </pic:pic>
              </a:graphicData>
            </a:graphic>
          </wp:inline>
        </w:drawing>
      </w:r>
    </w:p>
    <w:p w:rsidR="00BF174B" w:rsidRDefault="00B062BA">
      <w:pPr>
        <w:jc w:val="both"/>
        <w:rPr>
          <w:rFonts w:ascii="Times New Roman" w:hAnsi="Times New Roman" w:cs="Times New Roman"/>
          <w:i/>
          <w:noProof/>
          <w:sz w:val="24"/>
          <w:szCs w:val="24"/>
        </w:rPr>
      </w:pPr>
      <w:r>
        <w:rPr>
          <w:rFonts w:ascii="Times New Roman" w:hAnsi="Times New Roman"/>
          <w:b/>
          <w:noProof/>
          <w:sz w:val="24"/>
        </w:rPr>
        <w:t>Slika 3</w:t>
      </w:r>
      <w:r>
        <w:rPr>
          <w:rFonts w:ascii="Times New Roman" w:hAnsi="Times New Roman"/>
          <w:noProof/>
          <w:sz w:val="24"/>
        </w:rPr>
        <w:t xml:space="preserve">: </w:t>
      </w:r>
      <w:r>
        <w:rPr>
          <w:rFonts w:ascii="Times New Roman" w:hAnsi="Times New Roman"/>
          <w:i/>
          <w:noProof/>
          <w:sz w:val="24"/>
        </w:rPr>
        <w:t>Pričakovani delež energije iz obnovljivih virov v letu 2020 v primerjavi s cilji direktive RED za leto 2020 in načrtovanimi cilji za leto 2020 (nacionalni akcijs</w:t>
      </w:r>
      <w:r>
        <w:rPr>
          <w:rFonts w:ascii="Times New Roman" w:hAnsi="Times New Roman"/>
          <w:i/>
          <w:noProof/>
          <w:sz w:val="24"/>
        </w:rPr>
        <w:t xml:space="preserve">ki načrti za obnovljive vire energije) (v %), </w:t>
      </w:r>
      <w:r>
        <w:rPr>
          <w:rFonts w:ascii="Times New Roman" w:hAnsi="Times New Roman"/>
          <w:i/>
          <w:noProof/>
          <w:sz w:val="24"/>
          <w:u w:val="single"/>
        </w:rPr>
        <w:t>brez sodelovanja</w:t>
      </w:r>
      <w:r>
        <w:rPr>
          <w:rFonts w:ascii="Times New Roman" w:hAnsi="Times New Roman"/>
          <w:i/>
          <w:noProof/>
          <w:sz w:val="24"/>
        </w:rPr>
        <w:t xml:space="preserve"> (Navigant, 2019</w:t>
      </w:r>
      <w:r>
        <w:rPr>
          <w:rStyle w:val="FootnoteReference"/>
          <w:rFonts w:ascii="Times New Roman" w:hAnsi="Times New Roman"/>
          <w:i/>
          <w:noProof/>
          <w:sz w:val="24"/>
        </w:rPr>
        <w:footnoteReference w:id="31"/>
      </w:r>
      <w:r>
        <w:rPr>
          <w:rFonts w:ascii="Times New Roman" w:hAnsi="Times New Roman"/>
          <w:i/>
          <w:noProof/>
          <w:sz w:val="24"/>
        </w:rPr>
        <w:t>).</w:t>
      </w:r>
    </w:p>
    <w:p w:rsidR="00BF174B" w:rsidRDefault="00B062BA">
      <w:pPr>
        <w:jc w:val="both"/>
        <w:rPr>
          <w:rFonts w:ascii="Times New Roman" w:hAnsi="Times New Roman" w:cs="Times New Roman"/>
          <w:bCs/>
          <w:noProof/>
          <w:sz w:val="24"/>
          <w:szCs w:val="24"/>
        </w:rPr>
      </w:pPr>
      <w:r>
        <w:rPr>
          <w:rFonts w:ascii="Times New Roman" w:hAnsi="Times New Roman" w:cs="Times New Roman"/>
          <w:bCs/>
          <w:noProof/>
          <w:sz w:val="24"/>
          <w:szCs w:val="24"/>
          <w:lang w:val="fr-BE" w:eastAsia="fr-BE" w:bidi="ar-SA"/>
        </w:rPr>
        <w:drawing>
          <wp:inline distT="0" distB="0" distL="0" distR="0">
            <wp:extent cx="5731510" cy="2640906"/>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2640906"/>
                    </a:xfrm>
                    <a:prstGeom prst="rect">
                      <a:avLst/>
                    </a:prstGeom>
                  </pic:spPr>
                </pic:pic>
              </a:graphicData>
            </a:graphic>
          </wp:inline>
        </w:drawing>
      </w:r>
    </w:p>
    <w:p w:rsidR="00BF174B" w:rsidRDefault="00B062BA">
      <w:pPr>
        <w:jc w:val="both"/>
        <w:rPr>
          <w:rFonts w:ascii="Times New Roman" w:hAnsi="Times New Roman" w:cs="Times New Roman"/>
          <w:i/>
          <w:noProof/>
          <w:sz w:val="24"/>
          <w:szCs w:val="24"/>
        </w:rPr>
      </w:pPr>
      <w:bookmarkStart w:id="9" w:name="_Ref527045038"/>
      <w:r>
        <w:rPr>
          <w:rFonts w:ascii="Times New Roman" w:hAnsi="Times New Roman"/>
          <w:b/>
          <w:noProof/>
          <w:sz w:val="24"/>
        </w:rPr>
        <w:t xml:space="preserve">Slika </w:t>
      </w:r>
      <w:bookmarkEnd w:id="9"/>
      <w:r>
        <w:rPr>
          <w:rFonts w:ascii="Times New Roman" w:hAnsi="Times New Roman"/>
          <w:b/>
          <w:noProof/>
          <w:sz w:val="24"/>
        </w:rPr>
        <w:t>4</w:t>
      </w:r>
      <w:r>
        <w:rPr>
          <w:rFonts w:ascii="Times New Roman" w:hAnsi="Times New Roman"/>
          <w:noProof/>
          <w:sz w:val="24"/>
        </w:rPr>
        <w:t xml:space="preserve">: </w:t>
      </w:r>
      <w:r>
        <w:rPr>
          <w:rFonts w:ascii="Times New Roman" w:hAnsi="Times New Roman"/>
          <w:i/>
          <w:noProof/>
          <w:sz w:val="24"/>
        </w:rPr>
        <w:t xml:space="preserve">Pričakovani delež energije iz obnovljivih virov v letu 2020 v primerjavi s cilji direktive RED za leto 2020 in načrtovanimi cilji za leto 2020 (nacionalni akcijski načrti za obnovljive vire energije) (po državah članicah, %), </w:t>
      </w:r>
      <w:r>
        <w:rPr>
          <w:rFonts w:ascii="Times New Roman" w:hAnsi="Times New Roman"/>
          <w:i/>
          <w:noProof/>
          <w:sz w:val="24"/>
          <w:u w:val="single"/>
        </w:rPr>
        <w:t>vključno z mehanizmi sodelovan</w:t>
      </w:r>
      <w:r>
        <w:rPr>
          <w:rFonts w:ascii="Times New Roman" w:hAnsi="Times New Roman"/>
          <w:i/>
          <w:noProof/>
          <w:sz w:val="24"/>
          <w:u w:val="single"/>
        </w:rPr>
        <w:t>ja</w:t>
      </w:r>
      <w:r>
        <w:rPr>
          <w:rFonts w:ascii="Times New Roman" w:hAnsi="Times New Roman"/>
          <w:i/>
          <w:noProof/>
          <w:sz w:val="24"/>
        </w:rPr>
        <w:t>. Vir: Navigant, 2019.</w:t>
      </w:r>
    </w:p>
    <w:p w:rsidR="00BF174B" w:rsidRDefault="00B062BA">
      <w:pPr>
        <w:jc w:val="both"/>
        <w:rPr>
          <w:rFonts w:ascii="Times New Roman" w:hAnsi="Times New Roman" w:cs="Times New Roman"/>
          <w:noProof/>
          <w:sz w:val="24"/>
          <w:szCs w:val="24"/>
        </w:rPr>
      </w:pPr>
      <w:r>
        <w:rPr>
          <w:rFonts w:ascii="Times New Roman" w:hAnsi="Times New Roman"/>
          <w:noProof/>
          <w:sz w:val="24"/>
        </w:rPr>
        <w:t>Zaradi razmeroma majhne skupne porabe energije v Luksemburgu prenosi iz Estonije in Litve znatno vplivajo na sposobnost Luksemburga glede doseganja cilja: po najbolj optimističnih scenarijih se pričakuje, da bo Luksemburg svoj cilj</w:t>
      </w:r>
      <w:r>
        <w:rPr>
          <w:rFonts w:ascii="Times New Roman" w:hAnsi="Times New Roman"/>
          <w:noProof/>
          <w:sz w:val="24"/>
        </w:rPr>
        <w:t xml:space="preserve"> 11 % dosegel do leta 2020. Ti isti prenosi imajo omejen učinek na delež energije iz obnovljivih virov tako pri Estoniji kot tudi Litvi; ta se bo v najslabšem primeru za Estonijo zmanjšal le za 0,7 %, za Litvo pa za 0,9 %.</w:t>
      </w:r>
    </w:p>
    <w:p w:rsidR="00BF174B" w:rsidRDefault="00B062BA">
      <w:pPr>
        <w:jc w:val="both"/>
        <w:rPr>
          <w:rFonts w:ascii="Times New Roman" w:hAnsi="Times New Roman" w:cs="Times New Roman"/>
          <w:noProof/>
          <w:sz w:val="24"/>
          <w:szCs w:val="24"/>
        </w:rPr>
      </w:pPr>
      <w:bookmarkStart w:id="10" w:name="_Toc1149223"/>
      <w:r>
        <w:rPr>
          <w:rFonts w:ascii="Times New Roman" w:hAnsi="Times New Roman"/>
          <w:noProof/>
          <w:sz w:val="24"/>
        </w:rPr>
        <w:t>V skladu z osnutki nacionalnih en</w:t>
      </w:r>
      <w:r>
        <w:rPr>
          <w:rFonts w:ascii="Times New Roman" w:hAnsi="Times New Roman"/>
          <w:noProof/>
          <w:sz w:val="24"/>
        </w:rPr>
        <w:t>ergetskih in podnebnih načrtov za leto 2030</w:t>
      </w:r>
      <w:r>
        <w:rPr>
          <w:rStyle w:val="FootnoteReference"/>
          <w:rFonts w:ascii="Times New Roman" w:hAnsi="Times New Roman"/>
          <w:noProof/>
          <w:sz w:val="24"/>
        </w:rPr>
        <w:footnoteReference w:id="32"/>
      </w:r>
      <w:r>
        <w:rPr>
          <w:rFonts w:ascii="Times New Roman" w:hAnsi="Times New Roman"/>
          <w:noProof/>
          <w:sz w:val="24"/>
        </w:rPr>
        <w:t xml:space="preserve"> so vse države članice že predložile nacionalne prispevke k zavezujočemu cilju EU glede vsaj 32-odstotnega deleža, s čimer bi obnovljivi viri energije postali hrbtenica energetskega sistema Unije. Komisija bo do </w:t>
      </w:r>
      <w:r>
        <w:rPr>
          <w:rFonts w:ascii="Times New Roman" w:hAnsi="Times New Roman"/>
          <w:noProof/>
          <w:sz w:val="24"/>
        </w:rPr>
        <w:t>junija 2019 ocenila, ali so ti nacionalni prispevki ter s tem povezani politike in ukrepi v skladu z ambicijami EU, in bo po potrebi državam članicam izdala priporočila.</w:t>
      </w:r>
    </w:p>
    <w:p w:rsidR="00BF174B" w:rsidRDefault="00B062BA">
      <w:pPr>
        <w:pStyle w:val="Heading2"/>
        <w:spacing w:after="120"/>
        <w:ind w:left="714" w:hanging="357"/>
        <w:rPr>
          <w:noProof/>
        </w:rPr>
      </w:pPr>
      <w:r>
        <w:rPr>
          <w:noProof/>
        </w:rPr>
        <w:t>Upravne ovire</w:t>
      </w:r>
      <w:bookmarkEnd w:id="10"/>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Države članice v svojih 4. nacionalnih poročilih o napredku na področju </w:t>
      </w:r>
      <w:r>
        <w:rPr>
          <w:rFonts w:ascii="Times New Roman" w:hAnsi="Times New Roman"/>
          <w:noProof/>
          <w:sz w:val="24"/>
        </w:rPr>
        <w:t>energije iz obnovljivih virov poročajo o ukrepih za poenostavitev upravnih postopkov za projekte s področja energije iz obnovljivih virov (v skladu s členom 13 direktive RED I). V skladu z zunanjo analizo</w:t>
      </w:r>
      <w:r>
        <w:rPr>
          <w:rFonts w:ascii="Times New Roman" w:hAnsi="Times New Roman"/>
          <w:noProof/>
          <w:sz w:val="24"/>
          <w:vertAlign w:val="superscript"/>
        </w:rPr>
        <w:footnoteReference w:id="33"/>
      </w:r>
      <w:r>
        <w:rPr>
          <w:rFonts w:ascii="Times New Roman" w:hAnsi="Times New Roman"/>
          <w:noProof/>
          <w:sz w:val="24"/>
        </w:rPr>
        <w:t xml:space="preserve"> je bil velik del ustreznih ukrepov iz direktive RE</w:t>
      </w:r>
      <w:r>
        <w:rPr>
          <w:rFonts w:ascii="Times New Roman" w:hAnsi="Times New Roman"/>
          <w:noProof/>
          <w:sz w:val="24"/>
        </w:rPr>
        <w:t>D I v državah članicah na splošno uspešno izveden. Ti ukrepi med drugim vključujejo: poenostavljene postopke za manjše projekte, zahteve za operaterje sistema, da zagotovijo ocene stroškov in druge potrebne informacije, zahteve o razdelitvi stroškov za raz</w:t>
      </w:r>
      <w:r>
        <w:rPr>
          <w:rFonts w:ascii="Times New Roman" w:hAnsi="Times New Roman"/>
          <w:noProof/>
          <w:sz w:val="24"/>
        </w:rPr>
        <w:t>voj omrežja in priključitev energije iz obnovljivih virov na omrežje, upoštevanje energije iz obnovljivih virov v sektorju za električno energijo v nacionalnem načrtu za razvoj omrežja ter obstoj programov podpore, ki spodbujajo uporabo energije iz obnovlj</w:t>
      </w:r>
      <w:r>
        <w:rPr>
          <w:rFonts w:ascii="Times New Roman" w:hAnsi="Times New Roman"/>
          <w:noProof/>
          <w:sz w:val="24"/>
        </w:rPr>
        <w:t>ivih virov.</w:t>
      </w:r>
    </w:p>
    <w:p w:rsidR="00BF174B" w:rsidRDefault="00B062BA">
      <w:pPr>
        <w:jc w:val="both"/>
        <w:rPr>
          <w:rFonts w:ascii="Times New Roman" w:hAnsi="Times New Roman" w:cs="Times New Roman"/>
          <w:noProof/>
          <w:sz w:val="24"/>
          <w:szCs w:val="24"/>
        </w:rPr>
      </w:pPr>
      <w:r>
        <w:rPr>
          <w:rFonts w:ascii="Times New Roman" w:hAnsi="Times New Roman"/>
          <w:noProof/>
          <w:sz w:val="24"/>
        </w:rPr>
        <w:t>Vendar so se v zadnjih letih povečale ovire, povezane z gradbenimi postopki in postopki načrtovanja. Za sektor električne energije so se pojavile določene ovire v okviru razvoja, usmerjenega k večjim projektom, saj tovrstni projekti vključujejo</w:t>
      </w:r>
      <w:r>
        <w:rPr>
          <w:rFonts w:ascii="Times New Roman" w:hAnsi="Times New Roman"/>
          <w:noProof/>
          <w:sz w:val="24"/>
        </w:rPr>
        <w:t xml:space="preserve"> dodatne zahteve v zvezi s prostorskim in okoljskim načrtovanjem. Za sektor ogrevanja in hlajenja so ovire predvsem posledica pomanjkljivosti v zvezi z zmogljivostmi omrežij za daljinsko ogrevanje, medtem ko se prometni sektor pretežno sooča z ovirami, ki </w:t>
      </w:r>
      <w:r>
        <w:rPr>
          <w:rFonts w:ascii="Times New Roman" w:hAnsi="Times New Roman"/>
          <w:noProof/>
          <w:sz w:val="24"/>
        </w:rPr>
        <w:t>izhajajo iz pomanjkanja ustrezne infrastrukture za biogoriva in električna vozila. Vključitev vse večjih zmogljivosti za proizvodnjo energije iz obnovljivih virov v omrežje je tudi nenehen izziv za večino držav članic. Ovire izhajajo predvsem iz visokih st</w:t>
      </w:r>
      <w:r>
        <w:rPr>
          <w:rFonts w:ascii="Times New Roman" w:hAnsi="Times New Roman"/>
          <w:noProof/>
          <w:sz w:val="24"/>
        </w:rPr>
        <w:t xml:space="preserve">roškov priključitve na omrežje ter pomanjkanja predvidljivosti in preglednosti postopkov priključitve na omrežje. </w:t>
      </w:r>
    </w:p>
    <w:p w:rsidR="00BF174B" w:rsidRDefault="00B062BA">
      <w:pPr>
        <w:pStyle w:val="Heading1"/>
        <w:rPr>
          <w:noProof/>
        </w:rPr>
      </w:pPr>
      <w:bookmarkStart w:id="11" w:name="_Toc1149224"/>
      <w:r>
        <w:rPr>
          <w:noProof/>
        </w:rPr>
        <w:t>4. OCENA TRAJNOSTI BIOGORIV</w:t>
      </w:r>
      <w:bookmarkEnd w:id="11"/>
      <w:r>
        <w:rPr>
          <w:noProof/>
          <w:vertAlign w:val="superscript"/>
        </w:rPr>
        <w:footnoteReference w:id="34"/>
      </w:r>
      <w:r>
        <w:rPr>
          <w:noProof/>
        </w:rPr>
        <w:t xml:space="preserve"> </w:t>
      </w:r>
    </w:p>
    <w:p w:rsidR="00BF174B" w:rsidRDefault="00B062BA">
      <w:pPr>
        <w:pStyle w:val="Heading2"/>
        <w:numPr>
          <w:ilvl w:val="0"/>
          <w:numId w:val="28"/>
        </w:numPr>
        <w:spacing w:after="120"/>
        <w:rPr>
          <w:noProof/>
        </w:rPr>
      </w:pPr>
      <w:r>
        <w:rPr>
          <w:noProof/>
        </w:rPr>
        <w:t>Pregled porabe biogoriv v EU</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Leta 2016 je poraba trajnostnih biogoriv v EU znašala 13 840 ktoe. Od tega je bilo</w:t>
      </w:r>
      <w:r>
        <w:rPr>
          <w:rFonts w:ascii="Times New Roman" w:hAnsi="Times New Roman"/>
          <w:noProof/>
          <w:sz w:val="24"/>
        </w:rPr>
        <w:t xml:space="preserve"> 11 083 ktoe (80 %) biodizla, 2 620 ktoe (19 %) pa bioetanola. Večina (64 %) biodizla, porabljenega v EU v letu 2016, je bila proizvedena iz surovin iz EU, večinoma iz oljne ogrščice (~38 %), rabljenega olja za kuhanje (13 %), živalske maščobe (8 %) in tal</w:t>
      </w:r>
      <w:r>
        <w:rPr>
          <w:rFonts w:ascii="Times New Roman" w:hAnsi="Times New Roman"/>
          <w:noProof/>
          <w:sz w:val="24"/>
        </w:rPr>
        <w:t>ovega olja (2,5 %). Preostalih 36 % biodizla, porabljenega v EU, predstavlja 19,6 % palmovega olja iz Indonezije (13,3 %) in Malezije (6,3 %), 6,1 % oljne ogrščice, ki izhaja pretežno iz Avstralije (2,6 %), Ukrajine (1,8 %) in Kanade (1,2 %), 4,8 % rabljen</w:t>
      </w:r>
      <w:r>
        <w:rPr>
          <w:rFonts w:ascii="Times New Roman" w:hAnsi="Times New Roman"/>
          <w:noProof/>
          <w:sz w:val="24"/>
        </w:rPr>
        <w:t>ega olja za kuhanje iz različnih držav zunaj EU, 4,3 % pa je bilo proizvedenega iz soje, predvsem iz Združenih držav Amerike (1,5 %) in Brazilije (1,5 %).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Etanol, porabljen v EU, je tudi proizveden pretežno iz surovin EU (65 %), vključno s pšenico (~25 %),</w:t>
      </w:r>
      <w:r>
        <w:rPr>
          <w:rFonts w:ascii="Times New Roman" w:hAnsi="Times New Roman"/>
          <w:noProof/>
          <w:sz w:val="24"/>
        </w:rPr>
        <w:t xml:space="preserve"> koruzo (~22 %) in sladkorno peso (17 %), majhna količina (~1 %) pa ga je proizvedenega iz celuloznega etanola. Surovine na osnovi etanola iz držav zunaj EU vključujejo koruzo (16,4 %), pšenico (2,9 %) in sladkorni trs (2,9 %) iz različnih delov. Glavne tr</w:t>
      </w:r>
      <w:r>
        <w:rPr>
          <w:rFonts w:ascii="Times New Roman" w:hAnsi="Times New Roman"/>
          <w:noProof/>
          <w:sz w:val="24"/>
        </w:rPr>
        <w:t xml:space="preserve">etje države, ki proizvajajo surovine za bioetanol, ki se uporablja v EU, so Ukrajina (9,8 %), Rusija (2,1 %), Brazilija (1,8 %), ZDA (1,7 %) in Kanada (1,6 %). </w:t>
      </w:r>
    </w:p>
    <w:p w:rsidR="00BF174B" w:rsidRDefault="00B062BA">
      <w:pPr>
        <w:jc w:val="both"/>
        <w:rPr>
          <w:rFonts w:ascii="Times New Roman" w:hAnsi="Times New Roman" w:cs="Times New Roman"/>
          <w:i/>
          <w:noProof/>
          <w:sz w:val="24"/>
          <w:szCs w:val="24"/>
        </w:rPr>
      </w:pPr>
      <w:r>
        <w:rPr>
          <w:rFonts w:ascii="Times New Roman" w:hAnsi="Times New Roman"/>
          <w:noProof/>
          <w:sz w:val="24"/>
        </w:rPr>
        <w:t>Ocenjuje se, da je skoraj ves bioplin, ki se je v EU porabil leta 2016, pridobljen iz domačih s</w:t>
      </w:r>
      <w:r>
        <w:rPr>
          <w:rFonts w:ascii="Times New Roman" w:hAnsi="Times New Roman"/>
          <w:noProof/>
          <w:sz w:val="24"/>
        </w:rPr>
        <w:t>urovin, predvsem iz poljščin in kmetijskih ter živilskopredelovalnih odpadkov (vključno z gnojem) (75 %), sledita pa mu deponijski plin (16 %) in plin, pridobljen z napravami za čiščenje odplak (9 %). Poreklo tekočih biogoriv, ki so v letu 2016 predstavlja</w:t>
      </w:r>
      <w:r>
        <w:rPr>
          <w:rFonts w:ascii="Times New Roman" w:hAnsi="Times New Roman"/>
          <w:noProof/>
          <w:sz w:val="24"/>
        </w:rPr>
        <w:t xml:space="preserve">la manj kot 1 % vse porabe energije iz biomase v EU, je težko določiti, saj države članice ne ločujejo surovin, ki se uporabljajo za biogoriva in druga tekoča biogoriva. </w:t>
      </w:r>
    </w:p>
    <w:tbl>
      <w:tblPr>
        <w:tblStyle w:val="Tablestylegreen"/>
        <w:tblW w:w="0" w:type="auto"/>
        <w:tblLayout w:type="fixed"/>
        <w:tblLook w:val="04A0" w:firstRow="1" w:lastRow="0" w:firstColumn="1" w:lastColumn="0" w:noHBand="0" w:noVBand="1"/>
      </w:tblPr>
      <w:tblGrid>
        <w:gridCol w:w="1879"/>
        <w:gridCol w:w="709"/>
        <w:gridCol w:w="850"/>
        <w:gridCol w:w="914"/>
        <w:gridCol w:w="1071"/>
        <w:gridCol w:w="850"/>
        <w:gridCol w:w="851"/>
        <w:gridCol w:w="1134"/>
      </w:tblGrid>
      <w:tr w:rsidR="00BF174B" w:rsidTr="00BF174B">
        <w:trPr>
          <w:cnfStyle w:val="100000000000" w:firstRow="1" w:lastRow="0" w:firstColumn="0" w:lastColumn="0" w:oddVBand="0" w:evenVBand="0" w:oddHBand="0" w:evenHBand="0" w:firstRowFirstColumn="0" w:firstRowLastColumn="0" w:lastRowFirstColumn="0" w:lastRowLastColumn="0"/>
          <w:cantSplit/>
          <w:trHeight w:val="1357"/>
        </w:trPr>
        <w:tc>
          <w:tcPr>
            <w:cnfStyle w:val="001000000100" w:firstRow="0" w:lastRow="0" w:firstColumn="1" w:lastColumn="0" w:oddVBand="0" w:evenVBand="0" w:oddHBand="0" w:evenHBand="0" w:firstRowFirstColumn="1" w:firstRowLastColumn="0" w:lastRowFirstColumn="0" w:lastRowLastColumn="0"/>
            <w:tcW w:w="1879" w:type="dxa"/>
            <w:noWrap/>
            <w:vAlign w:val="top"/>
          </w:tcPr>
          <w:p w:rsidR="00BF174B" w:rsidRDefault="00BF174B">
            <w:pPr>
              <w:keepNext/>
              <w:keepLines/>
              <w:tabs>
                <w:tab w:val="left" w:pos="1446"/>
              </w:tabs>
              <w:spacing w:after="200" w:line="276" w:lineRule="auto"/>
              <w:contextualSpacing w:val="0"/>
              <w:rPr>
                <w:rFonts w:ascii="Times New Roman" w:eastAsiaTheme="minorHAnsi" w:hAnsi="Times New Roman" w:cstheme="minorBidi"/>
                <w:noProof/>
                <w:sz w:val="22"/>
                <w:szCs w:val="22"/>
              </w:rPr>
            </w:pPr>
          </w:p>
        </w:tc>
        <w:tc>
          <w:tcPr>
            <w:tcW w:w="709" w:type="dxa"/>
            <w:noWrap/>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Bioplin</w:t>
            </w:r>
          </w:p>
        </w:tc>
        <w:tc>
          <w:tcPr>
            <w:tcW w:w="850" w:type="dxa"/>
            <w:noWrap/>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Biobencin</w:t>
            </w:r>
          </w:p>
        </w:tc>
        <w:tc>
          <w:tcPr>
            <w:tcW w:w="914" w:type="dxa"/>
            <w:noWrap/>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Biodizel</w:t>
            </w:r>
          </w:p>
        </w:tc>
        <w:tc>
          <w:tcPr>
            <w:tcW w:w="1071" w:type="dxa"/>
            <w:noWrap/>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Druga tekoča biogoriva</w:t>
            </w:r>
          </w:p>
        </w:tc>
        <w:tc>
          <w:tcPr>
            <w:tcW w:w="850" w:type="dxa"/>
            <w:noWrap/>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Biokerozin za reaktivne motorje</w:t>
            </w:r>
          </w:p>
        </w:tc>
        <w:tc>
          <w:tcPr>
            <w:tcW w:w="851" w:type="dxa"/>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Te</w:t>
            </w:r>
            <w:r>
              <w:rPr>
                <w:rFonts w:ascii="Times New Roman" w:eastAsiaTheme="minorHAnsi" w:hAnsi="Times New Roman" w:cstheme="minorBidi"/>
                <w:noProof/>
                <w:sz w:val="22"/>
              </w:rPr>
              <w:t>koča biogoriva skupaj</w:t>
            </w:r>
          </w:p>
        </w:tc>
        <w:tc>
          <w:tcPr>
            <w:tcW w:w="1134" w:type="dxa"/>
            <w:textDirection w:val="btLr"/>
          </w:tcPr>
          <w:p w:rsidR="00BF174B" w:rsidRDefault="00B062BA">
            <w:pPr>
              <w:keepNext/>
              <w:keepLines/>
              <w:spacing w:after="200"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Skupaj</w:t>
            </w:r>
          </w:p>
        </w:tc>
      </w:tr>
      <w:tr w:rsidR="00BF174B" w:rsidTr="00BF17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Cestni promet</w:t>
            </w:r>
          </w:p>
        </w:tc>
        <w:tc>
          <w:tcPr>
            <w:tcW w:w="709"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131</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2 619</w:t>
            </w:r>
          </w:p>
        </w:tc>
        <w:tc>
          <w:tcPr>
            <w:tcW w:w="914"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11 041</w:t>
            </w:r>
          </w:p>
        </w:tc>
        <w:tc>
          <w:tcPr>
            <w:tcW w:w="1071"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4,5</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13 664</w:t>
            </w:r>
          </w:p>
        </w:tc>
        <w:tc>
          <w:tcPr>
            <w:tcW w:w="1134"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13 796</w:t>
            </w:r>
          </w:p>
        </w:tc>
      </w:tr>
      <w:tr w:rsidR="00BF174B" w:rsidTr="00BF174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Železniški promet</w:t>
            </w:r>
          </w:p>
        </w:tc>
        <w:tc>
          <w:tcPr>
            <w:tcW w:w="709"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BF174B" w:rsidRDefault="00BF174B">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p>
        </w:tc>
        <w:tc>
          <w:tcPr>
            <w:tcW w:w="914"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32,9</w:t>
            </w:r>
          </w:p>
        </w:tc>
        <w:tc>
          <w:tcPr>
            <w:tcW w:w="1071"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32,9</w:t>
            </w:r>
          </w:p>
        </w:tc>
        <w:tc>
          <w:tcPr>
            <w:tcW w:w="1134"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33,1</w:t>
            </w:r>
          </w:p>
        </w:tc>
      </w:tr>
      <w:tr w:rsidR="00BF174B" w:rsidTr="00BF17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Mednarodno letalstvo</w:t>
            </w:r>
          </w:p>
        </w:tc>
        <w:tc>
          <w:tcPr>
            <w:tcW w:w="709"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BF174B" w:rsidTr="00BF174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Notranje letalstvo</w:t>
            </w:r>
          </w:p>
        </w:tc>
        <w:tc>
          <w:tcPr>
            <w:tcW w:w="709"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w:t>
            </w:r>
          </w:p>
        </w:tc>
        <w:tc>
          <w:tcPr>
            <w:tcW w:w="850"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1071"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1134"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0</w:t>
            </w:r>
          </w:p>
        </w:tc>
      </w:tr>
      <w:tr w:rsidR="00BF174B" w:rsidTr="00BF17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Notranja plovba</w:t>
            </w:r>
          </w:p>
        </w:tc>
        <w:tc>
          <w:tcPr>
            <w:tcW w:w="709"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1,4</w:t>
            </w:r>
          </w:p>
        </w:tc>
        <w:tc>
          <w:tcPr>
            <w:tcW w:w="914"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3,5</w:t>
            </w:r>
          </w:p>
        </w:tc>
        <w:tc>
          <w:tcPr>
            <w:tcW w:w="1071"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w:t>
            </w:r>
          </w:p>
        </w:tc>
        <w:tc>
          <w:tcPr>
            <w:tcW w:w="851"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5,0</w:t>
            </w:r>
          </w:p>
        </w:tc>
        <w:tc>
          <w:tcPr>
            <w:tcW w:w="1134"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5,0</w:t>
            </w:r>
          </w:p>
        </w:tc>
      </w:tr>
      <w:tr w:rsidR="00BF174B" w:rsidTr="00BF174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noProof/>
                <w:sz w:val="22"/>
                <w:szCs w:val="22"/>
              </w:rPr>
            </w:pPr>
            <w:r>
              <w:rPr>
                <w:rFonts w:ascii="Times New Roman" w:eastAsiaTheme="minorHAnsi" w:hAnsi="Times New Roman" w:cstheme="minorBidi"/>
                <w:noProof/>
                <w:sz w:val="22"/>
              </w:rPr>
              <w:t>Neopredeljen promet</w:t>
            </w:r>
          </w:p>
        </w:tc>
        <w:tc>
          <w:tcPr>
            <w:tcW w:w="709"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0,5</w:t>
            </w:r>
          </w:p>
        </w:tc>
        <w:tc>
          <w:tcPr>
            <w:tcW w:w="850"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914"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6,2</w:t>
            </w:r>
          </w:p>
        </w:tc>
        <w:tc>
          <w:tcPr>
            <w:tcW w:w="1071"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0" w:type="dxa"/>
            <w:noWrap/>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i/>
                <w:noProof/>
                <w:sz w:val="22"/>
                <w:szCs w:val="22"/>
              </w:rPr>
            </w:pPr>
            <w:r>
              <w:rPr>
                <w:rFonts w:ascii="Times New Roman" w:eastAsiaTheme="minorHAnsi" w:hAnsi="Times New Roman" w:cstheme="minorBidi"/>
                <w:i/>
                <w:noProof/>
                <w:sz w:val="22"/>
              </w:rPr>
              <w:t>0,0</w:t>
            </w:r>
          </w:p>
        </w:tc>
        <w:tc>
          <w:tcPr>
            <w:tcW w:w="851"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noProof/>
                <w:sz w:val="22"/>
                <w:szCs w:val="22"/>
              </w:rPr>
            </w:pPr>
            <w:r>
              <w:rPr>
                <w:rFonts w:ascii="Times New Roman" w:eastAsiaTheme="minorHAnsi" w:hAnsi="Times New Roman" w:cstheme="minorBidi"/>
                <w:noProof/>
                <w:sz w:val="22"/>
              </w:rPr>
              <w:t>6,2</w:t>
            </w:r>
          </w:p>
        </w:tc>
        <w:tc>
          <w:tcPr>
            <w:tcW w:w="1134" w:type="dxa"/>
            <w:vAlign w:val="top"/>
          </w:tcPr>
          <w:p w:rsidR="00BF174B" w:rsidRDefault="00B062BA">
            <w:pPr>
              <w:keepNext/>
              <w:keepLines/>
              <w:tabs>
                <w:tab w:val="decimal" w:pos="493"/>
              </w:tabs>
              <w:spacing w:after="200" w:line="276" w:lineRule="auto"/>
              <w:contextualSpacing w:val="0"/>
              <w:jc w:val="right"/>
              <w:cnfStyle w:val="000000010000" w:firstRow="0" w:lastRow="0" w:firstColumn="0" w:lastColumn="0" w:oddVBand="0" w:evenVBand="0" w:oddHBand="0" w:evenHBand="1"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6,7</w:t>
            </w:r>
          </w:p>
        </w:tc>
      </w:tr>
      <w:tr w:rsidR="00BF174B" w:rsidTr="00BF174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79" w:type="dxa"/>
            <w:noWrap/>
          </w:tcPr>
          <w:p w:rsidR="00BF174B" w:rsidRDefault="00B062BA">
            <w:pPr>
              <w:keepNext/>
              <w:keepLines/>
              <w:spacing w:after="200" w:line="276" w:lineRule="auto"/>
              <w:contextualSpacing w:val="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Skupaj</w:t>
            </w:r>
          </w:p>
        </w:tc>
        <w:tc>
          <w:tcPr>
            <w:tcW w:w="709"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132</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2 620</w:t>
            </w:r>
          </w:p>
        </w:tc>
        <w:tc>
          <w:tcPr>
            <w:tcW w:w="914"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11 083</w:t>
            </w:r>
          </w:p>
        </w:tc>
        <w:tc>
          <w:tcPr>
            <w:tcW w:w="1071"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4,5</w:t>
            </w:r>
          </w:p>
        </w:tc>
        <w:tc>
          <w:tcPr>
            <w:tcW w:w="850" w:type="dxa"/>
            <w:noWrap/>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i/>
                <w:noProof/>
                <w:sz w:val="22"/>
                <w:szCs w:val="22"/>
              </w:rPr>
            </w:pPr>
            <w:r>
              <w:rPr>
                <w:rFonts w:ascii="Times New Roman" w:eastAsiaTheme="minorHAnsi" w:hAnsi="Times New Roman" w:cstheme="minorBidi"/>
                <w:b/>
                <w:i/>
                <w:noProof/>
                <w:sz w:val="22"/>
              </w:rPr>
              <w:t>0,0</w:t>
            </w:r>
          </w:p>
        </w:tc>
        <w:tc>
          <w:tcPr>
            <w:tcW w:w="851"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13 708</w:t>
            </w:r>
          </w:p>
        </w:tc>
        <w:tc>
          <w:tcPr>
            <w:tcW w:w="1134" w:type="dxa"/>
            <w:vAlign w:val="top"/>
          </w:tcPr>
          <w:p w:rsidR="00BF174B" w:rsidRDefault="00B062BA">
            <w:pPr>
              <w:keepNext/>
              <w:keepLines/>
              <w:tabs>
                <w:tab w:val="decimal" w:pos="493"/>
              </w:tabs>
              <w:spacing w:after="200" w:line="276" w:lineRule="auto"/>
              <w:contextualSpacing w:val="0"/>
              <w:jc w:val="right"/>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heme="minorBidi"/>
                <w:b/>
                <w:noProof/>
                <w:sz w:val="22"/>
                <w:szCs w:val="22"/>
              </w:rPr>
            </w:pPr>
            <w:r>
              <w:rPr>
                <w:rFonts w:ascii="Times New Roman" w:eastAsiaTheme="minorHAnsi" w:hAnsi="Times New Roman" w:cstheme="minorBidi"/>
                <w:b/>
                <w:noProof/>
                <w:sz w:val="22"/>
              </w:rPr>
              <w:t>13 840</w:t>
            </w:r>
          </w:p>
        </w:tc>
      </w:tr>
    </w:tbl>
    <w:p w:rsidR="00BF174B" w:rsidRDefault="00B062BA">
      <w:pPr>
        <w:jc w:val="both"/>
        <w:rPr>
          <w:rFonts w:ascii="Times New Roman" w:hAnsi="Times New Roman" w:cs="Times New Roman"/>
          <w:i/>
          <w:noProof/>
          <w:sz w:val="24"/>
          <w:szCs w:val="24"/>
        </w:rPr>
      </w:pPr>
      <w:r>
        <w:rPr>
          <w:rFonts w:ascii="Times New Roman" w:hAnsi="Times New Roman"/>
          <w:b/>
          <w:noProof/>
          <w:sz w:val="24"/>
        </w:rPr>
        <w:t>Preglednica 2</w:t>
      </w:r>
      <w:r>
        <w:rPr>
          <w:rFonts w:ascii="Times New Roman" w:hAnsi="Times New Roman"/>
          <w:noProof/>
          <w:sz w:val="24"/>
        </w:rPr>
        <w:t xml:space="preserve">: </w:t>
      </w:r>
      <w:r>
        <w:rPr>
          <w:rFonts w:ascii="Times New Roman" w:hAnsi="Times New Roman"/>
          <w:i/>
          <w:noProof/>
          <w:sz w:val="24"/>
        </w:rPr>
        <w:t>Končna poraba bioenergije v prometu EU (2016, ktoe). Vir: Eurostat.</w:t>
      </w:r>
    </w:p>
    <w:p w:rsidR="00BF174B" w:rsidRDefault="00B062BA">
      <w:pPr>
        <w:pStyle w:val="Heading2"/>
        <w:numPr>
          <w:ilvl w:val="0"/>
          <w:numId w:val="28"/>
        </w:numPr>
        <w:spacing w:after="120"/>
        <w:rPr>
          <w:noProof/>
        </w:rPr>
      </w:pPr>
      <w:r>
        <w:rPr>
          <w:noProof/>
        </w:rPr>
        <w:t xml:space="preserve">Vplivi biogoriv, porabljenih v EU </w:t>
      </w:r>
    </w:p>
    <w:p w:rsidR="00BF174B" w:rsidRDefault="00B062BA">
      <w:pPr>
        <w:spacing w:before="240"/>
        <w:jc w:val="both"/>
        <w:rPr>
          <w:rFonts w:ascii="Times New Roman" w:eastAsia="Calibri" w:hAnsi="Times New Roman" w:cs="Times New Roman"/>
          <w:noProof/>
          <w:sz w:val="24"/>
          <w:szCs w:val="24"/>
        </w:rPr>
      </w:pPr>
      <w:r>
        <w:rPr>
          <w:rFonts w:ascii="Times New Roman" w:hAnsi="Times New Roman"/>
          <w:noProof/>
          <w:sz w:val="24"/>
        </w:rPr>
        <w:t xml:space="preserve">Na podlagi analize izvora surovin za </w:t>
      </w:r>
      <w:r>
        <w:rPr>
          <w:rFonts w:ascii="Times New Roman" w:hAnsi="Times New Roman"/>
          <w:noProof/>
          <w:sz w:val="24"/>
        </w:rPr>
        <w:t>biogoriva se ocenjuje, da je bilo v letu 2016 za proizvodnjo poljščin za biogoriva v EU potrebnih 4,9 megahektara zemljišč</w:t>
      </w:r>
      <w:r>
        <w:rPr>
          <w:rFonts w:ascii="Times New Roman" w:hAnsi="Times New Roman"/>
          <w:noProof/>
          <w:sz w:val="24"/>
          <w:vertAlign w:val="superscript"/>
        </w:rPr>
        <w:footnoteReference w:id="35"/>
      </w:r>
      <w:r>
        <w:rPr>
          <w:rFonts w:ascii="Times New Roman" w:hAnsi="Times New Roman"/>
          <w:noProof/>
          <w:sz w:val="24"/>
        </w:rPr>
        <w:t>. Od tega je 3,6 megahektara (73 %) v EU, preostalih 1,3 megahektara (26 %) pa v tretjih državah. Glede na skupno količino kmetijskih</w:t>
      </w:r>
      <w:r>
        <w:rPr>
          <w:rFonts w:ascii="Times New Roman" w:hAnsi="Times New Roman"/>
          <w:noProof/>
          <w:sz w:val="24"/>
        </w:rPr>
        <w:t xml:space="preserve"> zemljišč, namenjenih proizvodnji biogoriv, je ta v EU znašala 3,1 % (na podlagi ocene skupnih kmetijskih zemljišč v EU v velikosti 115 megahektarov), pri čemer je oljna ogrščica predstavljala 56-odstotni delež celotne površine, ki se uporablja za proizvod</w:t>
      </w:r>
      <w:r>
        <w:rPr>
          <w:rFonts w:ascii="Times New Roman" w:hAnsi="Times New Roman"/>
          <w:noProof/>
          <w:sz w:val="24"/>
        </w:rPr>
        <w:t xml:space="preserve">njo biogoriv. V štirih glavnih državah zunaj EU, ki zagotavljajo poljščine za proizvodnjo biogoriv, ki se uporabljajo v EU (Ukrajina, Brazilija, Indonezija in Malezija), je bilo za to uporabo dodeljenih manj kot 0,5 % vseh njihovih kmetijskih zemljišč.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Po</w:t>
      </w:r>
      <w:r>
        <w:rPr>
          <w:rFonts w:ascii="Times New Roman" w:hAnsi="Times New Roman"/>
          <w:noProof/>
          <w:sz w:val="24"/>
        </w:rPr>
        <w:t xml:space="preserve"> informacijah, ki so jih sporočile države članice, je v letu 2016 skupni prihranek emisij zaradi uporabe biogoriv v prometu v EU znašal 33,2 Mtone ekvivalenta CO</w:t>
      </w:r>
      <w:r>
        <w:rPr>
          <w:rFonts w:ascii="Times New Roman" w:hAnsi="Times New Roman"/>
          <w:noProof/>
          <w:sz w:val="24"/>
          <w:vertAlign w:val="subscript"/>
        </w:rPr>
        <w:t>2</w:t>
      </w:r>
      <w:r>
        <w:rPr>
          <w:rFonts w:ascii="Times New Roman" w:hAnsi="Times New Roman"/>
          <w:noProof/>
          <w:sz w:val="24"/>
        </w:rPr>
        <w:t>. Ob upoštevanju emisij zaradi posredne spremembe rabe zemljišč, ki so bile ocenjene z uporabo</w:t>
      </w:r>
      <w:r>
        <w:rPr>
          <w:rFonts w:ascii="Times New Roman" w:hAnsi="Times New Roman"/>
          <w:noProof/>
          <w:sz w:val="24"/>
        </w:rPr>
        <w:t xml:space="preserve"> količin surovin, ki jih predstavljajo poljščine, iz leta 2016, pomnoženih z ustreznimi povprečnimi vrednostmi posredne spremembe rabe zemljišč iz direktive o posrednih spremembah rabe zemljišč, so se skupni prihranki emisij zaradi uporabe biogoriv v prome</w:t>
      </w:r>
      <w:r>
        <w:rPr>
          <w:rFonts w:ascii="Times New Roman" w:hAnsi="Times New Roman"/>
          <w:noProof/>
          <w:sz w:val="24"/>
        </w:rPr>
        <w:t>tu v EU zmanjšali na 11,8 Mtone ekvivalenta CO</w:t>
      </w:r>
      <w:r>
        <w:rPr>
          <w:rFonts w:ascii="Times New Roman" w:hAnsi="Times New Roman"/>
          <w:noProof/>
          <w:sz w:val="24"/>
          <w:vertAlign w:val="subscript"/>
        </w:rPr>
        <w:t>2</w:t>
      </w:r>
      <w:r>
        <w:rPr>
          <w:rFonts w:ascii="Times New Roman" w:hAnsi="Times New Roman"/>
          <w:noProof/>
          <w:sz w:val="24"/>
        </w:rPr>
        <w:t xml:space="preserve"> (z razponom od 7,4 do 20,4 Mtone prihrankov ekvivalenta CO</w:t>
      </w:r>
      <w:r>
        <w:rPr>
          <w:rFonts w:ascii="Times New Roman" w:hAnsi="Times New Roman"/>
          <w:noProof/>
          <w:sz w:val="24"/>
          <w:vertAlign w:val="subscript"/>
        </w:rPr>
        <w:t>2</w:t>
      </w:r>
      <w:r>
        <w:rPr>
          <w:rFonts w:ascii="Times New Roman" w:hAnsi="Times New Roman"/>
          <w:noProof/>
          <w:sz w:val="24"/>
        </w:rPr>
        <w:t>)</w:t>
      </w:r>
      <w:r>
        <w:rPr>
          <w:rFonts w:ascii="Times New Roman" w:hAnsi="Times New Roman"/>
          <w:noProof/>
          <w:sz w:val="24"/>
          <w:vertAlign w:val="superscript"/>
        </w:rPr>
        <w:footnoteReference w:id="36"/>
      </w:r>
      <w:r>
        <w:rPr>
          <w:rFonts w:ascii="Times New Roman" w:hAnsi="Times New Roman"/>
          <w:noProof/>
          <w:sz w:val="24"/>
        </w:rPr>
        <w:t xml:space="preserve">.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Nedavni celovit pregled</w:t>
      </w:r>
      <w:r>
        <w:rPr>
          <w:rFonts w:ascii="Times New Roman" w:hAnsi="Times New Roman"/>
          <w:noProof/>
          <w:sz w:val="24"/>
          <w:vertAlign w:val="superscript"/>
        </w:rPr>
        <w:footnoteReference w:id="37"/>
      </w:r>
      <w:r>
        <w:rPr>
          <w:rFonts w:ascii="Times New Roman" w:hAnsi="Times New Roman"/>
          <w:noProof/>
          <w:sz w:val="24"/>
        </w:rPr>
        <w:t xml:space="preserve"> najnovejše razpoložljive znanstvene literature, ki je bil opravljen za Komisijo, kaže, da je biodizel povezan z največj</w:t>
      </w:r>
      <w:r>
        <w:rPr>
          <w:rFonts w:ascii="Times New Roman" w:hAnsi="Times New Roman"/>
          <w:noProof/>
          <w:sz w:val="24"/>
        </w:rPr>
        <w:t xml:space="preserve">imi učinki zaradi posredne spremembe rabe zemljišč (s povprečno ravnjo emisij zaradi posredne spremembe rabe zemljišč v višini 52 g ekv. CO2/MJ), pri čemer so najvišje ocene v tej kategoriji za biodizel iz palmovega olja, pri katerem so med rezultati tudi </w:t>
      </w:r>
      <w:r>
        <w:rPr>
          <w:rFonts w:ascii="Times New Roman" w:hAnsi="Times New Roman"/>
          <w:noProof/>
          <w:sz w:val="24"/>
        </w:rPr>
        <w:t xml:space="preserve">največje razlike. Etanol na osnovi živil in krme ima povprečno raven emisij zaradi posredne spremembe rabe zemljišč 21 g ekv. CO2/MJ.  </w:t>
      </w:r>
      <w:r>
        <w:rPr>
          <w:rFonts w:ascii="Times New Roman" w:hAnsi="Times New Roman"/>
          <w:noProof/>
          <w:color w:val="000000"/>
          <w:sz w:val="24"/>
        </w:rPr>
        <w:t>Za primerjavo: okvirne ocenjene emisije zaradi posredne spremembe rabe zemljišč, navedene v Prilogi VIII k prenovljeni di</w:t>
      </w:r>
      <w:r>
        <w:rPr>
          <w:rFonts w:ascii="Times New Roman" w:hAnsi="Times New Roman"/>
          <w:noProof/>
          <w:color w:val="000000"/>
          <w:sz w:val="24"/>
        </w:rPr>
        <w:t>rektivi o spodbujanju uporabe energije iz obnovljivih virov, znašajo 55 g ekv. CO2/MJ za oljnice, 12 g ekv. CO2/MJ za žitarice in druge poljščine z visoko vsebnostjo škroba ter 13 g ekv. CO2/MJ za rastline za pridelavo sladkorja. Navedeni pregled vključuje</w:t>
      </w:r>
      <w:r>
        <w:rPr>
          <w:rFonts w:ascii="Times New Roman" w:hAnsi="Times New Roman"/>
          <w:noProof/>
          <w:color w:val="000000"/>
          <w:sz w:val="24"/>
        </w:rPr>
        <w:t xml:space="preserve"> tudi nadaljnje informacije o posrednih učinkih biogoriv.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Gojenje surovin za proizvodnjo biogoriv, porabljenih v EU, lahko potencialno povzroči negativne vplive na okolje, ki so odvisni od lokacije in kmetijskih praks, ki se uporabljajo</w:t>
      </w:r>
      <w:r>
        <w:rPr>
          <w:rStyle w:val="FootnoteReference"/>
          <w:rFonts w:ascii="Times New Roman" w:hAnsi="Times New Roman"/>
          <w:noProof/>
          <w:sz w:val="24"/>
        </w:rPr>
        <w:footnoteReference w:id="38"/>
      </w:r>
      <w:r>
        <w:rPr>
          <w:rFonts w:ascii="Times New Roman" w:hAnsi="Times New Roman"/>
          <w:noProof/>
          <w:sz w:val="24"/>
        </w:rPr>
        <w:t>. Večina držav čla</w:t>
      </w:r>
      <w:r>
        <w:rPr>
          <w:rFonts w:ascii="Times New Roman" w:hAnsi="Times New Roman"/>
          <w:noProof/>
          <w:sz w:val="24"/>
        </w:rPr>
        <w:t xml:space="preserve">nic v svojih poročilih o napredku opozarja na omejeno gojenje surovin, ki se uporabljajo v proizvodnji biogoriv, v primerjavi s skupnimi kmetijskimi dejavnostmi in zato meni, da so povezani vplivi na okolje zanemarljivi. Več držav članic poudarja, da je z </w:t>
      </w:r>
      <w:r>
        <w:rPr>
          <w:rFonts w:ascii="Times New Roman" w:hAnsi="Times New Roman"/>
          <w:noProof/>
          <w:sz w:val="24"/>
        </w:rPr>
        <w:t>vidika vplivov na okolje celotna kmetijska proizvodnja urejena, zato meni, da od pridelave poljščin za biogoriva ne bi smeli pričakovati večjih učinkov kot pri pridelavi drugih poljščin</w:t>
      </w:r>
      <w:r>
        <w:rPr>
          <w:rStyle w:val="FootnoteReference"/>
          <w:rFonts w:ascii="Times New Roman" w:hAnsi="Times New Roman"/>
          <w:noProof/>
          <w:sz w:val="24"/>
        </w:rPr>
        <w:footnoteReference w:id="39"/>
      </w:r>
      <w:r>
        <w:rPr>
          <w:rFonts w:ascii="Times New Roman" w:hAnsi="Times New Roman"/>
          <w:noProof/>
          <w:sz w:val="24"/>
        </w:rPr>
        <w:t>. Podrobna ocena okoljskih učinkov proizvodnje biogoriv, porabljenih v</w:t>
      </w:r>
      <w:r>
        <w:rPr>
          <w:rFonts w:ascii="Times New Roman" w:hAnsi="Times New Roman"/>
          <w:noProof/>
          <w:sz w:val="24"/>
        </w:rPr>
        <w:t xml:space="preserve"> EU, je na voljo v zunanji študiji</w:t>
      </w:r>
      <w:r>
        <w:rPr>
          <w:rStyle w:val="FootnoteReference"/>
          <w:rFonts w:ascii="Times New Roman" w:hAnsi="Times New Roman"/>
          <w:noProof/>
          <w:sz w:val="24"/>
        </w:rPr>
        <w:footnoteReference w:id="40"/>
      </w:r>
      <w:r>
        <w:rPr>
          <w:rFonts w:ascii="Times New Roman" w:hAnsi="Times New Roman"/>
          <w:noProof/>
          <w:sz w:val="24"/>
        </w:rPr>
        <w:t>. Prav tako je Komisija nedavno objavila celovito poročilo z najnovejšimi podatki in oceno v zvezi s stanjem svetovne širitve proizvodnje poljščin, ki se uporabljajo za živila in krmo</w:t>
      </w:r>
      <w:r>
        <w:rPr>
          <w:rStyle w:val="FootnoteReference"/>
          <w:rFonts w:ascii="Times New Roman" w:hAnsi="Times New Roman"/>
          <w:noProof/>
          <w:sz w:val="24"/>
        </w:rPr>
        <w:footnoteReference w:id="41"/>
      </w:r>
      <w:r>
        <w:rPr>
          <w:rFonts w:ascii="Times New Roman" w:hAnsi="Times New Roman"/>
          <w:noProof/>
          <w:sz w:val="24"/>
        </w:rPr>
        <w:t>.</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 xml:space="preserve">Okvir EU za trajnost energije iz </w:t>
      </w:r>
      <w:r>
        <w:rPr>
          <w:rFonts w:ascii="Times New Roman" w:hAnsi="Times New Roman"/>
          <w:noProof/>
          <w:sz w:val="24"/>
        </w:rPr>
        <w:t>biomase je bil okrepljen v okviru prenovljene direktive o spodbujanju uporabe energije iz obnovljivih virov. V direktivi so določene nacionalne omejitve, ki se bodo do leta 2030 postopoma zmanjšale na nič za pogonska biogoriva z velikim vplivom na posredno</w:t>
      </w:r>
      <w:r>
        <w:rPr>
          <w:rFonts w:ascii="Times New Roman" w:hAnsi="Times New Roman"/>
          <w:noProof/>
          <w:sz w:val="24"/>
        </w:rPr>
        <w:t xml:space="preserve"> spremembo rabe zemljišč, druga tekoča biogoriva in biomasna goriva, proizvedena iz poljščin, ki se uporabljajo za živila in krmo, za katere se ugotavlja znatna razširitev proizvodnje na zemljišča z visoko zalogo ogljika. Te omejitve bodo vplivale na količ</w:t>
      </w:r>
      <w:r>
        <w:rPr>
          <w:rFonts w:ascii="Times New Roman" w:hAnsi="Times New Roman"/>
          <w:noProof/>
          <w:sz w:val="24"/>
        </w:rPr>
        <w:t>ino teh goriv, ki se lahko upošteva pri izračunu skupnega nacionalnega deleža obnovljivih virov energije in deleža obnovljivih virov energije v prometu. Direktiva pa omogoča, da se iz nacionalnih omejitev izvzamejo pogonska biogoriva, druga tekoča biogoriv</w:t>
      </w:r>
      <w:r>
        <w:rPr>
          <w:rFonts w:ascii="Times New Roman" w:hAnsi="Times New Roman"/>
          <w:noProof/>
          <w:sz w:val="24"/>
        </w:rPr>
        <w:t>a in biomasna goriva, ki so certificirana kot goriva z nizkim tveganjem za posredno spremembo rabe zemljišč</w:t>
      </w:r>
      <w:r>
        <w:rPr>
          <w:noProof/>
        </w:rPr>
        <w:t>.</w:t>
      </w:r>
      <w:r>
        <w:rPr>
          <w:rFonts w:ascii="Times New Roman" w:hAnsi="Times New Roman"/>
          <w:noProof/>
          <w:sz w:val="24"/>
        </w:rPr>
        <w:t xml:space="preserve">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Komisija je za izvajanje tega pristopa 13. marca 2019 sprejela delegirani akt o pogonskih biogorivih z visokim in nizkim tveganjem za posredno spr</w:t>
      </w:r>
      <w:r>
        <w:rPr>
          <w:rFonts w:ascii="Times New Roman" w:hAnsi="Times New Roman"/>
          <w:noProof/>
          <w:sz w:val="24"/>
        </w:rPr>
        <w:t>emembo rabe zemljišč</w:t>
      </w:r>
      <w:r>
        <w:rPr>
          <w:rStyle w:val="FootnoteReference"/>
          <w:rFonts w:ascii="Times New Roman" w:hAnsi="Times New Roman"/>
          <w:noProof/>
          <w:sz w:val="24"/>
        </w:rPr>
        <w:footnoteReference w:id="42"/>
      </w:r>
      <w:r>
        <w:rPr>
          <w:rFonts w:ascii="Times New Roman" w:hAnsi="Times New Roman"/>
          <w:noProof/>
          <w:sz w:val="24"/>
        </w:rPr>
        <w:t xml:space="preserve">, ki ga zdaj pregledujeta Svet in Evropski parlament. Na splošno se je EU odločila, da se bo v prihodnosti osredotočila na spodbujanje naprednih pogonskih biogoriv in drugih goriv z nizko vsebnostjo ogljika, kot so električna energija </w:t>
      </w:r>
      <w:r>
        <w:rPr>
          <w:rFonts w:ascii="Times New Roman" w:hAnsi="Times New Roman"/>
          <w:noProof/>
          <w:sz w:val="24"/>
        </w:rPr>
        <w:t>iz obnovljivih virov ter tekoča in plinasta goriva iz obnovljivih virov nebiološkega izvora, namenjena uporabi v prometu. Napredna pogonska biogoriva imajo danes le zelo majhen tržni delež, vendar pa za povečanje proizvodnje obstaja velik potencial. Komisi</w:t>
      </w:r>
      <w:r>
        <w:rPr>
          <w:rFonts w:ascii="Times New Roman" w:hAnsi="Times New Roman"/>
          <w:noProof/>
          <w:sz w:val="24"/>
        </w:rPr>
        <w:t>ja bo še naprej spodbujala razvoj naprednih biogoriv, tudi z iskanjem virov za morebitne nove surovine. Čeprav na tej stopnji ni na voljo dovolj znanstvenih dokazov, ki bi upravičili razširitev osnove surovin za napredna biogoriva iz Priloge IX k direktivi</w:t>
      </w:r>
      <w:r>
        <w:rPr>
          <w:rFonts w:ascii="Times New Roman" w:hAnsi="Times New Roman"/>
          <w:noProof/>
          <w:sz w:val="24"/>
        </w:rPr>
        <w:t xml:space="preserve"> RED II, bo Komisija še naprej ocenjevala, ali bi se lahko v prihodnosti za proizvodnjo naprednih biogoriv uporabile dodatne surovine</w:t>
      </w:r>
      <w:r>
        <w:rPr>
          <w:rStyle w:val="FootnoteReference"/>
          <w:rFonts w:ascii="Times New Roman" w:hAnsi="Times New Roman"/>
          <w:noProof/>
          <w:sz w:val="24"/>
        </w:rPr>
        <w:footnoteReference w:id="43"/>
      </w:r>
      <w:r>
        <w:rPr>
          <w:rFonts w:ascii="Times New Roman" w:hAnsi="Times New Roman"/>
          <w:noProof/>
          <w:sz w:val="24"/>
        </w:rPr>
        <w:t>.</w:t>
      </w:r>
    </w:p>
    <w:p w:rsidR="00BF174B" w:rsidRDefault="00B062BA">
      <w:pPr>
        <w:pStyle w:val="Heading2"/>
        <w:numPr>
          <w:ilvl w:val="0"/>
          <w:numId w:val="28"/>
        </w:numPr>
        <w:spacing w:after="120"/>
        <w:rPr>
          <w:noProof/>
        </w:rPr>
      </w:pPr>
      <w:r>
        <w:rPr>
          <w:noProof/>
        </w:rPr>
        <w:t xml:space="preserve">Delovanje prostovoljnih sistemov, ki jih priznava Komisija </w:t>
      </w:r>
    </w:p>
    <w:p w:rsidR="00BF174B" w:rsidRDefault="00B062BA">
      <w:pPr>
        <w:spacing w:before="240"/>
        <w:jc w:val="both"/>
        <w:rPr>
          <w:rFonts w:ascii="Times New Roman" w:eastAsia="Calibri" w:hAnsi="Times New Roman" w:cs="Times New Roman"/>
          <w:noProof/>
          <w:sz w:val="24"/>
          <w:szCs w:val="24"/>
        </w:rPr>
      </w:pPr>
      <w:r>
        <w:rPr>
          <w:rFonts w:ascii="Times New Roman" w:hAnsi="Times New Roman"/>
          <w:noProof/>
          <w:sz w:val="24"/>
        </w:rPr>
        <w:t>V skladu z direktivo RED I je Komisija pooblaščena, da prizn</w:t>
      </w:r>
      <w:r>
        <w:rPr>
          <w:rFonts w:ascii="Times New Roman" w:hAnsi="Times New Roman"/>
          <w:noProof/>
          <w:sz w:val="24"/>
        </w:rPr>
        <w:t>a mednarodne ali nacionalne sisteme certificiranja, imenovane prostovoljni sistemi, ki jih operaterji lahko uporabijo za dokazovanje skladnosti s trajnostnimi merili in merili za prihranek emisij toplogrednih plinov iz Direktive za pogonska biogoriva in dr</w:t>
      </w:r>
      <w:r>
        <w:rPr>
          <w:rFonts w:ascii="Times New Roman" w:hAnsi="Times New Roman"/>
          <w:noProof/>
          <w:sz w:val="24"/>
        </w:rPr>
        <w:t>uga tekoča biogoriva. Trenutno je v ta namen priznanih 14 prostovoljnih sistemov</w:t>
      </w:r>
      <w:r>
        <w:rPr>
          <w:noProof/>
          <w:vertAlign w:val="superscript"/>
        </w:rPr>
        <w:footnoteReference w:id="44"/>
      </w:r>
      <w:r>
        <w:rPr>
          <w:rFonts w:ascii="Times New Roman" w:hAnsi="Times New Roman"/>
          <w:noProof/>
          <w:sz w:val="24"/>
        </w:rPr>
        <w:t xml:space="preserve">. Države članice morajo sprejeti dokazila o trajnostnih merilih, ki so jih pridobili operaterji, ki sodelujejo v teh sistemih. Ta določba močno olajšuje izvajanje trajnostnih </w:t>
      </w:r>
      <w:r>
        <w:rPr>
          <w:rFonts w:ascii="Times New Roman" w:hAnsi="Times New Roman"/>
          <w:noProof/>
          <w:sz w:val="24"/>
        </w:rPr>
        <w:t>meril, saj operaterjem omogoča, da zagotovijo zahtevane dokaze po enotnem upravnem postopku v vseh državah članicah EU</w:t>
      </w:r>
      <w:r>
        <w:rPr>
          <w:noProof/>
          <w:vertAlign w:val="superscript"/>
        </w:rPr>
        <w:footnoteReference w:id="45"/>
      </w:r>
      <w:r>
        <w:rPr>
          <w:rFonts w:ascii="Times New Roman" w:hAnsi="Times New Roman"/>
          <w:noProof/>
          <w:sz w:val="24"/>
        </w:rPr>
        <w:t>. Za vsak prostovoljni sistem, v zvezi s katerim je bila sprejeta odločitev in ki se je uporabljal v zadnjih dvanajstih mesecih, je treba</w:t>
      </w:r>
      <w:r>
        <w:rPr>
          <w:rFonts w:ascii="Times New Roman" w:hAnsi="Times New Roman"/>
          <w:noProof/>
          <w:sz w:val="24"/>
        </w:rPr>
        <w:t xml:space="preserve"> Komisiji vsako leto predložiti poročilo</w:t>
      </w:r>
      <w:r>
        <w:rPr>
          <w:rStyle w:val="FootnoteReference"/>
          <w:rFonts w:ascii="Times New Roman" w:hAnsi="Times New Roman"/>
          <w:noProof/>
          <w:sz w:val="24"/>
        </w:rPr>
        <w:footnoteReference w:id="46"/>
      </w:r>
      <w:r>
        <w:rPr>
          <w:rFonts w:ascii="Times New Roman" w:hAnsi="Times New Roman"/>
          <w:noProof/>
          <w:sz w:val="24"/>
        </w:rPr>
        <w:t xml:space="preserve">.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 xml:space="preserve">V zadnjih nekaj letih so prostovoljni sistemi postali glavno orodje za dokazovanje skladnosti s trajnostnimi merili EU za biogoriva. V koledarskem letu 2017 je bilo potrjeno, da je 21 429 kt tekočih biogoriv </w:t>
      </w:r>
      <w:r>
        <w:rPr>
          <w:rFonts w:ascii="Times New Roman" w:hAnsi="Times New Roman"/>
          <w:noProof/>
          <w:sz w:val="24"/>
        </w:rPr>
        <w:t>(vključno s čistim rastlinskim oljem), 140 045 tisoč m</w:t>
      </w:r>
      <w:r>
        <w:rPr>
          <w:rFonts w:ascii="Times New Roman" w:hAnsi="Times New Roman"/>
          <w:noProof/>
          <w:sz w:val="24"/>
          <w:vertAlign w:val="superscript"/>
        </w:rPr>
        <w:t>3</w:t>
      </w:r>
      <w:r>
        <w:rPr>
          <w:rFonts w:ascii="Times New Roman" w:hAnsi="Times New Roman"/>
          <w:noProof/>
          <w:sz w:val="24"/>
        </w:rPr>
        <w:t xml:space="preserve"> biometana (kar ustreza približno 100,8 kt) in 119 119 kt surovin skladnih s trajnostnimi merili EU iz člena 17(2) do (5) direktive o spodbujanju uporabe energije iz obnovljivih virov. Če pogledamo pod</w:t>
      </w:r>
      <w:r>
        <w:rPr>
          <w:rFonts w:ascii="Times New Roman" w:hAnsi="Times New Roman"/>
          <w:noProof/>
          <w:sz w:val="24"/>
        </w:rPr>
        <w:t>robne podatke o certificiranih tekočih biogorivih, je bilo 12 198 kt (57 % celotne količine goriv) biodizla in 6 224 kt (29 %) bioetanola. Preostanek sestavljajo biogoriva iz rastlinskega olja, obdelanega z vodikom (1 784 kt, 8 %), čisto rastlinsko olje (1</w:t>
      </w:r>
      <w:r>
        <w:rPr>
          <w:rFonts w:ascii="Times New Roman" w:hAnsi="Times New Roman"/>
          <w:noProof/>
          <w:sz w:val="24"/>
        </w:rPr>
        <w:t xml:space="preserve"> 053 kt, 5 %) in druga goriva. Največje količine certificiranih surovin, ki se uporabljajo za biogoriva, predstavljajo oljna ogrščica (27 %), palmovo olje (16 %), rabljeno olje za kuhanje (13 %) in koruza (12 %). </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Komisija priznava izključno tiste sisteme,</w:t>
      </w:r>
      <w:r>
        <w:rPr>
          <w:rFonts w:ascii="Times New Roman" w:hAnsi="Times New Roman"/>
          <w:noProof/>
          <w:sz w:val="24"/>
        </w:rPr>
        <w:t xml:space="preserve"> ki izpolnjujejo ustrezne standarde glede zanesljivosti, preglednosti in neodvisne revizije. V ta namen Komisija temeljito oceni prostovoljne sisteme, ki zaprosijo za priznavanje</w:t>
      </w:r>
      <w:r>
        <w:rPr>
          <w:rStyle w:val="FootnoteReference"/>
          <w:rFonts w:ascii="Times New Roman" w:hAnsi="Times New Roman"/>
          <w:noProof/>
          <w:sz w:val="24"/>
        </w:rPr>
        <w:footnoteReference w:id="47"/>
      </w:r>
      <w:r>
        <w:rPr>
          <w:rFonts w:ascii="Times New Roman" w:hAnsi="Times New Roman"/>
          <w:noProof/>
          <w:sz w:val="24"/>
        </w:rPr>
        <w:t>. To med drugim zagotavlja, da proizvajalci surovin izpolnjujejo trajnostna m</w:t>
      </w:r>
      <w:r>
        <w:rPr>
          <w:rFonts w:ascii="Times New Roman" w:hAnsi="Times New Roman"/>
          <w:noProof/>
          <w:sz w:val="24"/>
        </w:rPr>
        <w:t>erila iz direktive RED I, poleg tega pa še sledljivost informacij o trajnostnih značilnostih do izvora surovin, revizijo družb pred začetkom sodelovanja v sistemu in redno izvajanje retroaktivnih revizij s strani zunanjih in neodvisnih revizorjev.</w:t>
      </w:r>
    </w:p>
    <w:p w:rsidR="00BF174B" w:rsidRDefault="00B062BA">
      <w:pPr>
        <w:jc w:val="both"/>
        <w:rPr>
          <w:rFonts w:ascii="Times New Roman" w:eastAsia="Calibri" w:hAnsi="Times New Roman" w:cs="Times New Roman"/>
          <w:noProof/>
          <w:sz w:val="24"/>
          <w:szCs w:val="24"/>
        </w:rPr>
      </w:pPr>
      <w:r>
        <w:rPr>
          <w:rFonts w:ascii="Times New Roman" w:hAnsi="Times New Roman"/>
          <w:noProof/>
          <w:sz w:val="24"/>
        </w:rPr>
        <w:t>V zadnji</w:t>
      </w:r>
      <w:r>
        <w:rPr>
          <w:rFonts w:ascii="Times New Roman" w:hAnsi="Times New Roman"/>
          <w:noProof/>
          <w:sz w:val="24"/>
        </w:rPr>
        <w:t>h letih se je povečal javni nadzor nad upravljanjem prostovoljnih sistemov</w:t>
      </w:r>
      <w:r>
        <w:rPr>
          <w:rStyle w:val="FootnoteReference"/>
          <w:rFonts w:ascii="Times New Roman" w:hAnsi="Times New Roman"/>
          <w:noProof/>
          <w:sz w:val="24"/>
        </w:rPr>
        <w:footnoteReference w:id="48"/>
      </w:r>
      <w:r>
        <w:rPr>
          <w:rFonts w:ascii="Times New Roman" w:hAnsi="Times New Roman"/>
          <w:noProof/>
          <w:sz w:val="24"/>
        </w:rPr>
        <w:t>. Da bi odpravili tovrstne pomisleke in zagotovili zanesljivo izvajanje, člen 30 direktive RED II vključuje strožja pravila za preverjanje izpolnjevanja trajnostnih meril energije i</w:t>
      </w:r>
      <w:r>
        <w:rPr>
          <w:rFonts w:ascii="Times New Roman" w:hAnsi="Times New Roman"/>
          <w:noProof/>
          <w:sz w:val="24"/>
        </w:rPr>
        <w:t>z biomase, vključno s strožjim nadzorom prostovoljnih sistemov na nacionalni ravni in ravni EU ter revizijami, ki jih izvedejo tretje strani. Poleg tega mora Komisija sprejeti podrobna izvedbena pravila o ustreznih standardih glede zanesljivosti, pregledno</w:t>
      </w:r>
      <w:r>
        <w:rPr>
          <w:rFonts w:ascii="Times New Roman" w:hAnsi="Times New Roman"/>
          <w:noProof/>
          <w:sz w:val="24"/>
        </w:rPr>
        <w:t xml:space="preserve">sti in neodvisne revizije ter zahtevati, da jih uporabljajo vsi priznani prostovoljni sistemi. Komisija bo vzpostavila tudi evropsko podatkovno zbirko, da bi izboljšala sledenje trajnostnih biogoriv. </w:t>
      </w:r>
    </w:p>
    <w:p w:rsidR="00BF174B" w:rsidRDefault="00BF174B">
      <w:pPr>
        <w:jc w:val="both"/>
        <w:rPr>
          <w:rFonts w:ascii="Times New Roman" w:eastAsia="Calibri" w:hAnsi="Times New Roman" w:cs="Times New Roman"/>
          <w:noProof/>
          <w:sz w:val="24"/>
          <w:szCs w:val="24"/>
        </w:rPr>
      </w:pPr>
    </w:p>
    <w:tbl>
      <w:tblPr>
        <w:tblStyle w:val="TableGrid"/>
        <w:tblW w:w="0" w:type="auto"/>
        <w:tblLook w:val="04A0" w:firstRow="1" w:lastRow="0" w:firstColumn="1" w:lastColumn="0" w:noHBand="0" w:noVBand="1"/>
      </w:tblPr>
      <w:tblGrid>
        <w:gridCol w:w="2660"/>
        <w:gridCol w:w="2126"/>
        <w:gridCol w:w="1843"/>
        <w:gridCol w:w="2613"/>
      </w:tblGrid>
      <w:tr w:rsidR="00BF174B">
        <w:trPr>
          <w:trHeight w:val="435"/>
        </w:trPr>
        <w:tc>
          <w:tcPr>
            <w:tcW w:w="2660" w:type="dxa"/>
          </w:tcPr>
          <w:p w:rsidR="00BF174B" w:rsidRDefault="00B062BA">
            <w:pPr>
              <w:keepNext/>
              <w:jc w:val="center"/>
              <w:rPr>
                <w:rFonts w:ascii="Times New Roman" w:eastAsia="Calibri" w:hAnsi="Times New Roman" w:cs="Times New Roman"/>
                <w:b/>
                <w:bCs/>
                <w:noProof/>
                <w:sz w:val="20"/>
                <w:szCs w:val="20"/>
              </w:rPr>
            </w:pPr>
            <w:bookmarkStart w:id="12" w:name="RANGE!B1:E16"/>
            <w:r>
              <w:rPr>
                <w:rFonts w:ascii="Times New Roman" w:hAnsi="Times New Roman"/>
                <w:b/>
                <w:noProof/>
                <w:sz w:val="20"/>
              </w:rPr>
              <w:t>Prostovoljni sistem</w:t>
            </w:r>
            <w:bookmarkEnd w:id="12"/>
          </w:p>
        </w:tc>
        <w:tc>
          <w:tcPr>
            <w:tcW w:w="6582" w:type="dxa"/>
            <w:gridSpan w:val="3"/>
          </w:tcPr>
          <w:p w:rsidR="00BF174B" w:rsidRDefault="00B062BA">
            <w:pPr>
              <w:keepNext/>
              <w:jc w:val="center"/>
              <w:rPr>
                <w:rFonts w:ascii="Times New Roman" w:eastAsia="Calibri" w:hAnsi="Times New Roman" w:cs="Times New Roman"/>
                <w:b/>
                <w:bCs/>
                <w:noProof/>
                <w:sz w:val="20"/>
                <w:szCs w:val="20"/>
              </w:rPr>
            </w:pPr>
            <w:r>
              <w:rPr>
                <w:rFonts w:ascii="Times New Roman" w:hAnsi="Times New Roman"/>
                <w:b/>
                <w:noProof/>
                <w:sz w:val="20"/>
              </w:rPr>
              <w:t>Področje uporabe</w:t>
            </w:r>
          </w:p>
        </w:tc>
      </w:tr>
      <w:tr w:rsidR="00BF174B">
        <w:trPr>
          <w:trHeight w:val="265"/>
        </w:trPr>
        <w:tc>
          <w:tcPr>
            <w:tcW w:w="2660" w:type="dxa"/>
          </w:tcPr>
          <w:p w:rsidR="00BF174B" w:rsidRDefault="00B062BA">
            <w:pPr>
              <w:keepNext/>
              <w:jc w:val="center"/>
              <w:rPr>
                <w:rFonts w:ascii="Times New Roman" w:eastAsia="Calibri" w:hAnsi="Times New Roman"/>
                <w:i/>
                <w:noProof/>
                <w:sz w:val="20"/>
              </w:rPr>
            </w:pPr>
            <w:r>
              <w:rPr>
                <w:rFonts w:ascii="Times New Roman" w:hAnsi="Times New Roman"/>
                <w:i/>
                <w:noProof/>
                <w:sz w:val="20"/>
              </w:rPr>
              <w:t>Ime</w:t>
            </w:r>
          </w:p>
        </w:tc>
        <w:tc>
          <w:tcPr>
            <w:tcW w:w="2126" w:type="dxa"/>
          </w:tcPr>
          <w:p w:rsidR="00BF174B" w:rsidRDefault="00B062BA">
            <w:pPr>
              <w:keepNext/>
              <w:jc w:val="center"/>
              <w:rPr>
                <w:rFonts w:ascii="Times New Roman" w:eastAsia="Calibri" w:hAnsi="Times New Roman"/>
                <w:i/>
                <w:noProof/>
                <w:sz w:val="20"/>
              </w:rPr>
            </w:pPr>
            <w:r>
              <w:rPr>
                <w:rFonts w:ascii="Times New Roman" w:hAnsi="Times New Roman"/>
                <w:i/>
                <w:noProof/>
                <w:sz w:val="20"/>
              </w:rPr>
              <w:t>Vrsta surovi</w:t>
            </w:r>
            <w:r>
              <w:rPr>
                <w:rFonts w:ascii="Times New Roman" w:hAnsi="Times New Roman"/>
                <w:i/>
                <w:noProof/>
                <w:sz w:val="20"/>
              </w:rPr>
              <w:t>ne</w:t>
            </w:r>
          </w:p>
        </w:tc>
        <w:tc>
          <w:tcPr>
            <w:tcW w:w="1843" w:type="dxa"/>
          </w:tcPr>
          <w:p w:rsidR="00BF174B" w:rsidRDefault="00B062BA">
            <w:pPr>
              <w:keepNext/>
              <w:jc w:val="center"/>
              <w:rPr>
                <w:rFonts w:ascii="Times New Roman" w:eastAsia="Calibri" w:hAnsi="Times New Roman"/>
                <w:i/>
                <w:noProof/>
                <w:sz w:val="20"/>
              </w:rPr>
            </w:pPr>
            <w:r>
              <w:rPr>
                <w:rFonts w:ascii="Times New Roman" w:hAnsi="Times New Roman"/>
                <w:i/>
                <w:noProof/>
                <w:sz w:val="20"/>
              </w:rPr>
              <w:t>Izvor surovine</w:t>
            </w:r>
          </w:p>
        </w:tc>
        <w:tc>
          <w:tcPr>
            <w:tcW w:w="2613" w:type="dxa"/>
          </w:tcPr>
          <w:p w:rsidR="00BF174B" w:rsidRDefault="00B062BA">
            <w:pPr>
              <w:keepNext/>
              <w:jc w:val="center"/>
              <w:rPr>
                <w:rFonts w:ascii="Times New Roman" w:eastAsia="Calibri" w:hAnsi="Times New Roman"/>
                <w:i/>
                <w:noProof/>
                <w:sz w:val="20"/>
              </w:rPr>
            </w:pPr>
            <w:r>
              <w:rPr>
                <w:rFonts w:ascii="Times New Roman" w:hAnsi="Times New Roman"/>
                <w:i/>
                <w:noProof/>
                <w:sz w:val="20"/>
              </w:rPr>
              <w:t>Zajeta dobavna veriga</w:t>
            </w:r>
          </w:p>
        </w:tc>
      </w:tr>
      <w:tr w:rsidR="00BF174B">
        <w:trPr>
          <w:trHeight w:val="555"/>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International Sustainability and Carbon Certification (ISCC)</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Bonsucro EU</w:t>
            </w:r>
          </w:p>
        </w:tc>
        <w:tc>
          <w:tcPr>
            <w:tcW w:w="2126" w:type="dxa"/>
            <w:noWrap/>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Sladkorni trs</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555"/>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Roundtable on Sustainable Biomaterial EU</w:t>
            </w:r>
            <w:r>
              <w:rPr>
                <w:rFonts w:ascii="Times New Roman" w:hAnsi="Times New Roman"/>
                <w:noProof/>
                <w:sz w:val="20"/>
              </w:rPr>
              <w:t xml:space="preserve"> RED (RSB EU RED)</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RTRS EU RED</w:t>
            </w:r>
          </w:p>
        </w:tc>
        <w:tc>
          <w:tcPr>
            <w:tcW w:w="2126" w:type="dxa"/>
            <w:noWrap/>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Soja</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72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U.S. Soybean Sustainability Assurance Protocol (SSAP)</w:t>
            </w:r>
          </w:p>
        </w:tc>
        <w:tc>
          <w:tcPr>
            <w:tcW w:w="2126" w:type="dxa"/>
            <w:noWrap/>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 xml:space="preserve">Soja </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ZDA</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Od pridelave do izvoza</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Biomass Biofuels voluntary scheme (2BSvs)</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noWrap/>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69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Scottish Quality Farm Assured Combinable Crops Limited (SQC)</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Vse žitarice in oljnice</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Sever Velike Britanije</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Do prve točke dostave surovin</w:t>
            </w:r>
          </w:p>
        </w:tc>
      </w:tr>
      <w:tr w:rsidR="00BF174B">
        <w:trPr>
          <w:trHeight w:val="555"/>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 xml:space="preserve">Red Tractor Farm Assurance Combinable Crops &amp; Sugar Beet (Red </w:t>
            </w:r>
            <w:r>
              <w:rPr>
                <w:rFonts w:ascii="Times New Roman" w:hAnsi="Times New Roman"/>
                <w:noProof/>
                <w:sz w:val="20"/>
              </w:rPr>
              <w:t>Tractor)</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Žitarice, oljnice, sladkorna pesa</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Združeno kraljestvo</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Do prve točke dostave surovin</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REDcert</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Evropa</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Better Biomass</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538"/>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Gafta Trade Assurance Scheme</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 xml:space="preserve">Širok spekter surovin </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Svetovni</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Nadzorna veriga od kmetije do prvega predelovalca</w:t>
            </w:r>
          </w:p>
        </w:tc>
      </w:tr>
      <w:tr w:rsidR="00BF174B">
        <w:trPr>
          <w:trHeight w:val="360"/>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KZR INiG System</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Širok spekter surovin</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Evropa</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Celotna dobavna veriga</w:t>
            </w:r>
          </w:p>
        </w:tc>
      </w:tr>
      <w:tr w:rsidR="00BF174B">
        <w:trPr>
          <w:trHeight w:val="766"/>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Trade Assurance Scheme for Combinable Crops (TASC)</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 xml:space="preserve">Združljive poljščine, kot so žitarice, oljnice in </w:t>
            </w:r>
            <w:r>
              <w:rPr>
                <w:rFonts w:ascii="Times New Roman" w:hAnsi="Times New Roman"/>
                <w:noProof/>
                <w:sz w:val="18"/>
              </w:rPr>
              <w:t>sladkorna pesa</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Združeno kraljestvo</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Nadzorna veriga od kmetije do prvega predelovalca</w:t>
            </w:r>
          </w:p>
        </w:tc>
      </w:tr>
      <w:tr w:rsidR="00BF174B">
        <w:trPr>
          <w:trHeight w:val="738"/>
        </w:trPr>
        <w:tc>
          <w:tcPr>
            <w:tcW w:w="2660"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Universal Feed Assurance Scheme (UFAS)</w:t>
            </w:r>
          </w:p>
        </w:tc>
        <w:tc>
          <w:tcPr>
            <w:tcW w:w="2126" w:type="dxa"/>
          </w:tcPr>
          <w:p w:rsidR="00BF174B" w:rsidRDefault="00B062BA">
            <w:pPr>
              <w:keepNext/>
              <w:rPr>
                <w:rFonts w:ascii="Times New Roman" w:eastAsia="Calibri" w:hAnsi="Times New Roman" w:cs="Times New Roman"/>
                <w:noProof/>
                <w:sz w:val="18"/>
                <w:szCs w:val="20"/>
              </w:rPr>
            </w:pPr>
            <w:r>
              <w:rPr>
                <w:rFonts w:ascii="Times New Roman" w:hAnsi="Times New Roman"/>
                <w:noProof/>
                <w:sz w:val="18"/>
              </w:rPr>
              <w:t>Sestavine krme in krmne mešanice ter združljive poljščine</w:t>
            </w:r>
          </w:p>
        </w:tc>
        <w:tc>
          <w:tcPr>
            <w:tcW w:w="184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Združeno kraljestvo</w:t>
            </w:r>
          </w:p>
        </w:tc>
        <w:tc>
          <w:tcPr>
            <w:tcW w:w="2613" w:type="dxa"/>
          </w:tcPr>
          <w:p w:rsidR="00BF174B" w:rsidRDefault="00B062BA">
            <w:pPr>
              <w:keepNext/>
              <w:rPr>
                <w:rFonts w:ascii="Times New Roman" w:eastAsia="Calibri" w:hAnsi="Times New Roman" w:cs="Times New Roman"/>
                <w:noProof/>
                <w:sz w:val="20"/>
                <w:szCs w:val="20"/>
              </w:rPr>
            </w:pPr>
            <w:r>
              <w:rPr>
                <w:rFonts w:ascii="Times New Roman" w:hAnsi="Times New Roman"/>
                <w:noProof/>
                <w:sz w:val="20"/>
              </w:rPr>
              <w:t>Nadzorna veriga od kmetije do prvega predelovalca</w:t>
            </w:r>
          </w:p>
        </w:tc>
      </w:tr>
    </w:tbl>
    <w:p w:rsidR="00BF174B" w:rsidRDefault="00B062BA">
      <w:pPr>
        <w:keepNext/>
        <w:jc w:val="both"/>
        <w:rPr>
          <w:rFonts w:ascii="Times New Roman" w:eastAsia="Calibri" w:hAnsi="Times New Roman" w:cs="Times New Roman"/>
          <w:i/>
          <w:noProof/>
          <w:sz w:val="24"/>
          <w:szCs w:val="24"/>
        </w:rPr>
      </w:pPr>
      <w:r>
        <w:rPr>
          <w:rFonts w:ascii="Times New Roman" w:hAnsi="Times New Roman"/>
          <w:b/>
          <w:i/>
          <w:noProof/>
          <w:sz w:val="24"/>
        </w:rPr>
        <w:t>Preglednica 3</w:t>
      </w:r>
      <w:r>
        <w:rPr>
          <w:rFonts w:ascii="Times New Roman" w:hAnsi="Times New Roman"/>
          <w:i/>
          <w:noProof/>
          <w:sz w:val="24"/>
        </w:rPr>
        <w:t>: Prostovoljni sistemi, ki jih trenutno priznava Komisija</w:t>
      </w:r>
    </w:p>
    <w:p w:rsidR="00BF174B" w:rsidRDefault="00B062BA">
      <w:pPr>
        <w:rPr>
          <w:rFonts w:ascii="Times New Roman" w:eastAsia="Calibri" w:hAnsi="Times New Roman" w:cs="Times New Roman"/>
          <w:b/>
          <w:noProof/>
          <w:sz w:val="24"/>
          <w:szCs w:val="24"/>
        </w:rPr>
      </w:pPr>
      <w:r>
        <w:rPr>
          <w:noProof/>
        </w:rPr>
        <w:br w:type="page"/>
      </w:r>
    </w:p>
    <w:p w:rsidR="00BF174B" w:rsidRDefault="00B062BA">
      <w:pPr>
        <w:pStyle w:val="Heading1"/>
        <w:rPr>
          <w:noProof/>
          <w:sz w:val="22"/>
        </w:rPr>
      </w:pPr>
      <w:bookmarkStart w:id="13" w:name="_Toc1149228"/>
      <w:r>
        <w:rPr>
          <w:noProof/>
        </w:rPr>
        <w:t>5. SKLEPNE UGOTOVITVE</w:t>
      </w:r>
      <w:bookmarkEnd w:id="13"/>
    </w:p>
    <w:p w:rsidR="00BF174B" w:rsidRDefault="00B062BA">
      <w:pPr>
        <w:spacing w:after="120"/>
        <w:jc w:val="both"/>
        <w:rPr>
          <w:rFonts w:ascii="Times New Roman" w:hAnsi="Times New Roman" w:cs="Times New Roman"/>
          <w:noProof/>
          <w:sz w:val="24"/>
          <w:szCs w:val="24"/>
        </w:rPr>
      </w:pPr>
      <w:r>
        <w:rPr>
          <w:rFonts w:ascii="Times New Roman" w:hAnsi="Times New Roman"/>
          <w:noProof/>
          <w:sz w:val="24"/>
        </w:rPr>
        <w:t xml:space="preserve">EU je na dobri poti, da do leta 2020 doseže svoj cilj glede obnovljivih virov energije. Leta 2017 je delež energije iz obnovljivih virov v mešanici energijskih </w:t>
      </w:r>
      <w:r>
        <w:rPr>
          <w:rFonts w:ascii="Times New Roman" w:hAnsi="Times New Roman"/>
          <w:noProof/>
          <w:sz w:val="24"/>
        </w:rPr>
        <w:t>virov EU dosegel 17,52 %. Naložbe v energijo iz obnovljivih virov vse bolj usmerja trg, delež javnih subvencij pa upada. To je posledica znatnega zmanjšanja stroškov tehnologij za proizvodnjo energije iz obnovljivih virov in zmanjšanja subvencij zaradi bol</w:t>
      </w:r>
      <w:r>
        <w:rPr>
          <w:rFonts w:ascii="Times New Roman" w:hAnsi="Times New Roman"/>
          <w:noProof/>
          <w:sz w:val="24"/>
        </w:rPr>
        <w:t>j konkurenčnih programov podpore, kot so pokazali številni rezultati dražb z ničelno ali nizko ceno v več evropskih državah.</w:t>
      </w:r>
    </w:p>
    <w:p w:rsidR="00BF174B" w:rsidRDefault="00B062BA">
      <w:pPr>
        <w:spacing w:after="120"/>
        <w:jc w:val="both"/>
        <w:rPr>
          <w:rFonts w:ascii="Times New Roman" w:hAnsi="Times New Roman" w:cs="Times New Roman"/>
          <w:noProof/>
          <w:sz w:val="24"/>
          <w:szCs w:val="24"/>
        </w:rPr>
      </w:pPr>
      <w:r>
        <w:rPr>
          <w:rFonts w:ascii="Times New Roman" w:hAnsi="Times New Roman"/>
          <w:noProof/>
          <w:sz w:val="24"/>
        </w:rPr>
        <w:t>Kljub temu se je hitrost povečevanja deleža energije iz obnovljivih virov od leta 2014 upočasnila. Čeprav je EU še vedno na dobri p</w:t>
      </w:r>
      <w:r>
        <w:rPr>
          <w:rFonts w:ascii="Times New Roman" w:hAnsi="Times New Roman"/>
          <w:noProof/>
          <w:sz w:val="24"/>
        </w:rPr>
        <w:t xml:space="preserve">oti, da do leta 2020 izpolni svoje cilje glede energije iz obnovljivih virov, bi bilo treba ta prizadevanja v preostalem obdobju do leta 2020 še okrepiti, da bi uresničila svoj cilj, tudi v povezavi s pričakovano večjo prihodnjo porabo energije. Leta 2017 </w:t>
      </w:r>
      <w:r>
        <w:rPr>
          <w:rFonts w:ascii="Times New Roman" w:hAnsi="Times New Roman"/>
          <w:noProof/>
          <w:sz w:val="24"/>
        </w:rPr>
        <w:t>je 11 držav članic že preseglo svoje cilje glede deleža energije iz obnovljivih virov za leto 2020. Deset drugih držav članic je v dvoletnem obdobju 2017–2018 doseglo ali preseglo okvirno usmeritev iz direktive o spodbujanju uporabe energije iz obnovljivih</w:t>
      </w:r>
      <w:r>
        <w:rPr>
          <w:rFonts w:ascii="Times New Roman" w:hAnsi="Times New Roman"/>
          <w:noProof/>
          <w:sz w:val="24"/>
        </w:rPr>
        <w:t xml:space="preserve"> virov. Kljub temu pa bi si sedem držav članic (Belgija, Francija, Irska, Luksemburg, Nizozemska, Poljska in Slovenija) moralo dodatno prizadevati, da bodo do leta 2020 dosegle povprečno okvirno usmeritev iz obdobja 2017–2018. </w:t>
      </w:r>
    </w:p>
    <w:p w:rsidR="00BF174B" w:rsidRDefault="00B062BA">
      <w:pPr>
        <w:jc w:val="both"/>
        <w:rPr>
          <w:rFonts w:ascii="Times New Roman" w:hAnsi="Times New Roman" w:cs="Times New Roman"/>
          <w:noProof/>
          <w:sz w:val="24"/>
          <w:szCs w:val="24"/>
        </w:rPr>
      </w:pPr>
      <w:r>
        <w:rPr>
          <w:rFonts w:ascii="Times New Roman" w:hAnsi="Times New Roman"/>
          <w:noProof/>
          <w:sz w:val="24"/>
        </w:rPr>
        <w:t xml:space="preserve">Da bi izpolnili cilje glede </w:t>
      </w:r>
      <w:r>
        <w:rPr>
          <w:rFonts w:ascii="Times New Roman" w:hAnsi="Times New Roman"/>
          <w:noProof/>
          <w:sz w:val="24"/>
        </w:rPr>
        <w:t xml:space="preserve">energije iz obnovljivih virov za leto 2020 in ohranili te ravni kot osnovo od leta 2021 dalje, se večino držav članic spodbuja, da še naprej krepijo prizadevanja za uvajanje obnovljivih virov energije v vseh treh sektorjih, hkrati pa tudi zmanjšajo porabo </w:t>
      </w:r>
      <w:r>
        <w:rPr>
          <w:rFonts w:ascii="Times New Roman" w:hAnsi="Times New Roman"/>
          <w:noProof/>
          <w:sz w:val="24"/>
        </w:rPr>
        <w:t>energije. Nedavno oblikovanje modelov je pokazalo, da trenutno izvajanje politik na področju energije iz obnovljivih virov in že načrtovane politične pobude na področju energije iz obnovljivih virov v številnih državah članicah morda ne bodo zadostovale za</w:t>
      </w:r>
      <w:r>
        <w:rPr>
          <w:rFonts w:ascii="Times New Roman" w:hAnsi="Times New Roman"/>
          <w:noProof/>
          <w:sz w:val="24"/>
        </w:rPr>
        <w:t xml:space="preserve"> pravočasno doseganje nacionalnih zavezujočih ciljev, če upoštevamo samo domačo dobavo brez mehanizmov sodelovanja. Države članice bi morale razmisliti tudi o možnosti uporabe statističnih prenosov, kot je predvideno v direktivi o spodbujanju uporabe energ</w:t>
      </w:r>
      <w:r>
        <w:rPr>
          <w:rFonts w:ascii="Times New Roman" w:hAnsi="Times New Roman"/>
          <w:noProof/>
          <w:sz w:val="24"/>
        </w:rPr>
        <w:t>ije iz obnovljivih virov, bodisi kot način za zagotavljanje doseganja ciljev, ko gre za primanjkljaj, bodisi za prodajo svojih morebitnih presežkov v druge države članice. Komisija je pripravljena dejavno podpirati države članice na tem področju in olajšat</w:t>
      </w:r>
      <w:r>
        <w:rPr>
          <w:rFonts w:ascii="Times New Roman" w:hAnsi="Times New Roman"/>
          <w:noProof/>
          <w:sz w:val="24"/>
        </w:rPr>
        <w:t xml:space="preserve">i potrebno sodelovanje. </w:t>
      </w:r>
    </w:p>
    <w:p w:rsidR="00BF174B" w:rsidRDefault="00B062BA">
      <w:pPr>
        <w:spacing w:after="120"/>
        <w:jc w:val="both"/>
        <w:rPr>
          <w:rFonts w:ascii="Times New Roman" w:hAnsi="Times New Roman" w:cs="Times New Roman"/>
          <w:noProof/>
          <w:sz w:val="24"/>
          <w:szCs w:val="24"/>
        </w:rPr>
      </w:pPr>
      <w:r>
        <w:rPr>
          <w:rFonts w:ascii="Times New Roman" w:hAnsi="Times New Roman"/>
          <w:noProof/>
          <w:sz w:val="24"/>
        </w:rPr>
        <w:t xml:space="preserve">V tem okviru poteka nova mobilizacija prizadevanj na vseh ravneh in v Evropski uniji. Ta med drugim poteka prek posebne projektne skupine za energetsko učinkovitost, ki jo je oblikovala Komisija, skupaj z novimi dražbami energije </w:t>
      </w:r>
      <w:r>
        <w:rPr>
          <w:rFonts w:ascii="Times New Roman" w:hAnsi="Times New Roman"/>
          <w:noProof/>
          <w:sz w:val="24"/>
        </w:rPr>
        <w:t>iz obnovljivih virov, ki so že napovedane v več državah članicah, na primer v Franciji, na Nizozemskem in Portugalskem, ali širšo uporabo sporazumov med podjetji o nakupu električne energije, s katerimi so evropska podjetja leta 2018 kupila rekordno količi</w:t>
      </w:r>
      <w:r>
        <w:rPr>
          <w:rFonts w:ascii="Times New Roman" w:hAnsi="Times New Roman"/>
          <w:noProof/>
          <w:sz w:val="24"/>
        </w:rPr>
        <w:t>no vetrne energije. Ti ukrepi naj bi prinesli rezultate v prihodnjih letih.</w:t>
      </w:r>
    </w:p>
    <w:p w:rsidR="00BF174B" w:rsidRDefault="00B062BA">
      <w:pPr>
        <w:jc w:val="both"/>
        <w:rPr>
          <w:rFonts w:ascii="Times New Roman" w:hAnsi="Times New Roman" w:cs="Times New Roman"/>
          <w:noProof/>
          <w:sz w:val="24"/>
          <w:szCs w:val="24"/>
        </w:rPr>
      </w:pPr>
      <w:r>
        <w:rPr>
          <w:rFonts w:ascii="Times New Roman" w:hAnsi="Times New Roman"/>
          <w:noProof/>
          <w:sz w:val="24"/>
        </w:rPr>
        <w:t>Biogoriva, porabljena v EU, so še naprej večinoma proizvedena iz domačih surovin. Trajnostna merila EU so uspešno zmanjšala tveganja večjih neposrednih vplivov na okolje, povezanih</w:t>
      </w:r>
      <w:r>
        <w:rPr>
          <w:rFonts w:ascii="Times New Roman" w:hAnsi="Times New Roman"/>
          <w:noProof/>
          <w:sz w:val="24"/>
        </w:rPr>
        <w:t xml:space="preserve"> z biogorivi, ne glede na to, ali so ta proizvedena na domačem trgu ali uvožena iz tretjih držav, V zadnjih nekaj letih so prostovoljni sistemi, ki jih je priznala Evropska komisija, postali glavno orodje za dokazovanje skladnosti s trajnostnimi merili EU </w:t>
      </w:r>
      <w:r>
        <w:rPr>
          <w:rFonts w:ascii="Times New Roman" w:hAnsi="Times New Roman"/>
          <w:noProof/>
          <w:sz w:val="24"/>
        </w:rPr>
        <w:t>za biogoriva, zato so bili predmet okrepljenega javnega nadzora. Poleg tega je v direktivo RED II vključen okrepljen trajnostni okvir za vse vrste uporabe energije iz biomase (ni omejeno na biogoriva, ampak zajema tudi uporabo biomase in bioplina v proizvo</w:t>
      </w:r>
      <w:r>
        <w:rPr>
          <w:rFonts w:ascii="Times New Roman" w:hAnsi="Times New Roman"/>
          <w:noProof/>
          <w:sz w:val="24"/>
        </w:rPr>
        <w:t>dnji toplote in električne energije), vključno z novim pristopom, ki omejuje vlogo biogoriv z visokim tveganjem za posredno spremembo rabe zemljišč. Upravljanje prostovoljnih sistemov se je okrepilo, vključno z zanesljivostjo revizij, ki jih opravijo tretj</w:t>
      </w:r>
      <w:r>
        <w:rPr>
          <w:rFonts w:ascii="Times New Roman" w:hAnsi="Times New Roman"/>
          <w:noProof/>
          <w:sz w:val="24"/>
        </w:rPr>
        <w:t>e strani.</w:t>
      </w:r>
    </w:p>
    <w:sectPr w:rsidR="00BF174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4B" w:rsidRDefault="00B062BA">
      <w:pPr>
        <w:spacing w:after="0" w:line="240" w:lineRule="auto"/>
      </w:pPr>
      <w:r>
        <w:separator/>
      </w:r>
    </w:p>
  </w:endnote>
  <w:endnote w:type="continuationSeparator" w:id="0">
    <w:p w:rsidR="00BF174B" w:rsidRDefault="00B062BA">
      <w:pPr>
        <w:spacing w:after="0" w:line="240" w:lineRule="auto"/>
      </w:pPr>
      <w:r>
        <w:continuationSeparator/>
      </w:r>
    </w:p>
  </w:endnote>
  <w:endnote w:type="continuationNotice" w:id="1">
    <w:p w:rsidR="00BF174B" w:rsidRDefault="00BF1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062BA">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8997"/>
      <w:docPartObj>
        <w:docPartGallery w:val="Page Numbers (Bottom of Page)"/>
        <w:docPartUnique/>
      </w:docPartObj>
    </w:sdtPr>
    <w:sdtEndPr>
      <w:rPr>
        <w:noProof/>
      </w:rPr>
    </w:sdtEndPr>
    <w:sdtContent>
      <w:p w:rsidR="00BF174B" w:rsidRDefault="00B062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174B" w:rsidRDefault="00BF174B">
    <w:pPr>
      <w:pStyle w:val="Footer"/>
      <w:tabs>
        <w:tab w:val="center" w:pos="4638"/>
      </w:tabs>
      <w:rPr>
        <w:rFonts w:cs="Arial"/>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4B" w:rsidRDefault="00B062BA">
      <w:pPr>
        <w:spacing w:after="0" w:line="240" w:lineRule="auto"/>
      </w:pPr>
      <w:r>
        <w:separator/>
      </w:r>
    </w:p>
  </w:footnote>
  <w:footnote w:type="continuationSeparator" w:id="0">
    <w:p w:rsidR="00BF174B" w:rsidRDefault="00B062BA">
      <w:pPr>
        <w:spacing w:after="0" w:line="240" w:lineRule="auto"/>
      </w:pPr>
      <w:r>
        <w:continuationSeparator/>
      </w:r>
    </w:p>
  </w:footnote>
  <w:footnote w:type="continuationNotice" w:id="1">
    <w:p w:rsidR="00BF174B" w:rsidRDefault="00BF174B">
      <w:pPr>
        <w:spacing w:after="0" w:line="240" w:lineRule="auto"/>
      </w:pPr>
    </w:p>
  </w:footnote>
  <w:footnote w:id="2">
    <w:p w:rsidR="00BF174B" w:rsidRDefault="00B062BA">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1">
        <w:r>
          <w:rPr>
            <w:rStyle w:val="Hyperlink"/>
          </w:rPr>
          <w:t>https://ec.europa.eu/energy/en/topics/energy-strategy-and-energy-union/clean-energy-all-europeans</w:t>
        </w:r>
      </w:hyperlink>
      <w:r>
        <w:rPr>
          <w:rFonts w:ascii="Times New Roman" w:hAnsi="Times New Roman"/>
        </w:rPr>
        <w:t xml:space="preserve"> </w:t>
      </w:r>
    </w:p>
  </w:footnote>
  <w:footnote w:id="3">
    <w:p w:rsidR="00BF174B" w:rsidRDefault="00B062BA">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Direktiva 2009/28/ES Evropskega parlamenta in Sveta z dne 23. aprila 2009 o spodbujanju uporabe energije iz obnovljivih virov (UL L 140, str. 16). </w:t>
      </w:r>
    </w:p>
  </w:footnote>
  <w:footnote w:id="4">
    <w:p w:rsidR="00BF174B" w:rsidRDefault="00B062BA">
      <w:pPr>
        <w:pStyle w:val="FootnoteText"/>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https://www.eea.europa.eu/publications/renewable-energy-in-europe-2018</w:t>
        </w:r>
      </w:hyperlink>
      <w:r>
        <w:rPr>
          <w:rFonts w:ascii="Times New Roman" w:hAnsi="Times New Roman"/>
        </w:rPr>
        <w:t xml:space="preserve"> </w:t>
      </w:r>
    </w:p>
  </w:footnote>
  <w:footnote w:id="5">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773 final: Čist planet za vse. Evropska strateška dolgoročna vizija za uspešno, sodobno</w:t>
      </w:r>
      <w:r>
        <w:rPr>
          <w:rFonts w:ascii="Times New Roman" w:hAnsi="Times New Roman"/>
        </w:rPr>
        <w:t>, konkurenčno in podnebno nevtralno gospodarstvo.</w:t>
      </w:r>
    </w:p>
  </w:footnote>
  <w:footnote w:id="6">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w:t>
      </w:r>
    </w:p>
  </w:footnote>
  <w:footnote w:id="7">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za javnost na spletni strani energinet.dk z dne 31. avgusta 2018.</w:t>
      </w:r>
    </w:p>
  </w:footnote>
  <w:footnote w:id="8">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w:t>
      </w:r>
      <w:hyperlink r:id="rId3">
        <w:r>
          <w:rPr>
            <w:rStyle w:val="Hyperlink"/>
            <w:rFonts w:ascii="Times New Roman" w:hAnsi="Times New Roman"/>
            <w:color w:val="000000" w:themeColor="text1"/>
          </w:rPr>
          <w:t>https://www.eea.europa.</w:t>
        </w:r>
        <w:r>
          <w:rPr>
            <w:rStyle w:val="Hyperlink"/>
            <w:rFonts w:ascii="Times New Roman" w:hAnsi="Times New Roman"/>
            <w:color w:val="000000" w:themeColor="text1"/>
          </w:rPr>
          <w:t>eu/publications/renewable-energy-in-europe-2018/</w:t>
        </w:r>
      </w:hyperlink>
      <w:r>
        <w:rPr>
          <w:rFonts w:ascii="Times New Roman" w:hAnsi="Times New Roman"/>
          <w:color w:val="000000" w:themeColor="text1"/>
        </w:rPr>
        <w:t xml:space="preserve"> </w:t>
      </w:r>
    </w:p>
  </w:footnote>
  <w:footnote w:id="9">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Evropska agencija za okolje, ocene za leto 2017.</w:t>
      </w:r>
    </w:p>
  </w:footnote>
  <w:footnote w:id="10">
    <w:p w:rsidR="00BF174B" w:rsidRDefault="00B062BA">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 Monitoring R&amp;I in Low-Carbon Energy Technologies (Spremljanje raziskav in inovacij na področju nizkoogljičnih energetskih tehnologij), </w:t>
      </w:r>
      <w:hyperlink r:id="rId4">
        <w:r>
          <w:rPr>
            <w:rStyle w:val="Hyperlink"/>
            <w:rFonts w:ascii="Times New Roman" w:hAnsi="Times New Roman"/>
            <w:color w:val="auto"/>
          </w:rPr>
          <w:t>http://publications.jrc.ec.europa.eu/repository/handle/JRC105642</w:t>
        </w:r>
      </w:hyperlink>
      <w:r>
        <w:t>.</w:t>
      </w:r>
      <w:r>
        <w:rPr>
          <w:rFonts w:ascii="Times New Roman" w:hAnsi="Times New Roman"/>
        </w:rPr>
        <w:t xml:space="preserve">   </w:t>
      </w:r>
    </w:p>
  </w:footnote>
  <w:footnote w:id="11">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Združene države Amerike, Japonska, Južna Koreja, Kitajska.</w:t>
      </w:r>
    </w:p>
  </w:footnote>
  <w:footnote w:id="12">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IRENA (2019), poročilo </w:t>
      </w:r>
      <w:hyperlink r:id="rId5">
        <w:r>
          <w:rPr>
            <w:rStyle w:val="Hyperlink"/>
            <w:rFonts w:ascii="Times New Roman" w:hAnsi="Times New Roman"/>
            <w:color w:val="auto"/>
            <w:u w:val="none"/>
          </w:rPr>
          <w:t>Innovation landscape for a renewable-powered future: Solutions to integrate variable renewables (področje inovacij za prihodnost, ki jo poganjajo obnovljivi viri: rešit</w:t>
        </w:r>
        <w:r>
          <w:rPr>
            <w:rStyle w:val="Hyperlink"/>
            <w:rFonts w:ascii="Times New Roman" w:hAnsi="Times New Roman"/>
            <w:color w:val="auto"/>
            <w:u w:val="none"/>
          </w:rPr>
          <w:t>ve za vključitev nestalnih obnovljivih virov energije)</w:t>
        </w:r>
      </w:hyperlink>
      <w:r>
        <w:rPr>
          <w:rStyle w:val="Emphasis"/>
          <w:rFonts w:ascii="Times New Roman" w:hAnsi="Times New Roman"/>
          <w:i w:val="0"/>
        </w:rPr>
        <w:t>, izdano v Bruslju 19. februarja 2019</w:t>
      </w:r>
      <w:r>
        <w:t>.</w:t>
      </w:r>
    </w:p>
  </w:footnote>
  <w:footnote w:id="13">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JRC (2017) Supply chain of renewable energy technologies in Europe (Dobavna veriga tehnologij za energijo iz obnovljivih virov v Evropi).</w:t>
      </w:r>
    </w:p>
  </w:footnote>
  <w:footnote w:id="14">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Hoogland O., Van der Lijn, N., Rademaekers, K., Gentili, P., Colozza, P., Morichi, C., 2017, Assessment of Photovoltaics (PV) Task F Strategies to rebuild the European PV sector (Ocena fotovoltaičnih strategij za obnovitev evropskega fotovoltaičnega sekto</w:t>
      </w:r>
      <w:r>
        <w:rPr>
          <w:rFonts w:ascii="Times New Roman" w:hAnsi="Times New Roman"/>
          <w:color w:val="000000" w:themeColor="text1"/>
        </w:rPr>
        <w:t>rja), Trinomics.</w:t>
      </w:r>
    </w:p>
  </w:footnote>
  <w:footnote w:id="15">
    <w:p w:rsidR="00BF174B" w:rsidRDefault="00B062BA">
      <w:pPr>
        <w:pStyle w:val="FootnoteText"/>
      </w:pPr>
      <w:r>
        <w:rPr>
          <w:rStyle w:val="FootnoteReference"/>
        </w:rPr>
        <w:footnoteRef/>
      </w:r>
      <w:r>
        <w:t xml:space="preserve"> </w:t>
      </w:r>
      <w:hyperlink r:id="rId6">
        <w:r>
          <w:rPr>
            <w:rStyle w:val="Hyperlink"/>
            <w:rFonts w:ascii="Times New Roman" w:hAnsi="Times New Roman"/>
          </w:rPr>
          <w:t>https://ec.europa.eu/energy/en/topics/technology-and-innovation/strategic-energy-technology-plan</w:t>
        </w:r>
      </w:hyperlink>
      <w:r>
        <w:t xml:space="preserve"> </w:t>
      </w:r>
    </w:p>
  </w:footnote>
  <w:footnote w:id="16">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Barometer Eurobserv’E</w:t>
      </w:r>
      <w:r>
        <w:rPr>
          <w:rFonts w:ascii="Times New Roman" w:hAnsi="Times New Roman"/>
          <w:color w:val="000000" w:themeColor="text1"/>
        </w:rPr>
        <w:t>R (2019) 2018. https://www.eurobserv-er.org/18th-annual-overview-barometer/.</w:t>
      </w:r>
    </w:p>
  </w:footnote>
  <w:footnote w:id="17">
    <w:p w:rsidR="00BF174B" w:rsidRDefault="00B062BA">
      <w:pPr>
        <w:pStyle w:val="FootnoteText"/>
        <w:rPr>
          <w:rFonts w:ascii="Times New Roman" w:hAnsi="Times New Roman" w:cs="Times New Roman"/>
          <w:color w:val="000000" w:themeColor="text1"/>
        </w:rPr>
      </w:pPr>
      <w:r>
        <w:rPr>
          <w:rStyle w:val="FootnoteReference"/>
          <w:rFonts w:ascii="Times New Roman" w:hAnsi="Times New Roman"/>
          <w:color w:val="000000" w:themeColor="text1"/>
        </w:rPr>
        <w:footnoteRef/>
      </w:r>
      <w:r>
        <w:rPr>
          <w:rFonts w:ascii="Times New Roman" w:hAnsi="Times New Roman"/>
          <w:color w:val="000000" w:themeColor="text1"/>
        </w:rPr>
        <w:t xml:space="preserve"> https://ec.europa.eu/energy/en/data-analysis/energy-prices-and-costs</w:t>
      </w:r>
    </w:p>
  </w:footnote>
  <w:footnote w:id="18">
    <w:p w:rsidR="00BF174B" w:rsidRDefault="00B062BA">
      <w:pPr>
        <w:pStyle w:val="FootnoteText"/>
        <w:rPr>
          <w:lang w:val="en-US"/>
        </w:rPr>
      </w:pPr>
      <w:r>
        <w:rPr>
          <w:rStyle w:val="FootnoteReference"/>
          <w:rFonts w:ascii="Times New Roman" w:hAnsi="Times New Roman"/>
        </w:rPr>
        <w:footnoteRef/>
      </w:r>
      <w:r>
        <w:rPr>
          <w:rFonts w:ascii="Times New Roman" w:hAnsi="Times New Roman"/>
        </w:rPr>
        <w:t xml:space="preserve"> IRENA (2019). </w:t>
      </w:r>
      <w:r>
        <w:rPr>
          <w:rFonts w:ascii="Times New Roman" w:hAnsi="Times New Roman"/>
          <w:color w:val="333333"/>
        </w:rPr>
        <w:t xml:space="preserve">A New World: the geopolitics of the energy transformation (Nov svet: geopolitika energetske </w:t>
      </w:r>
      <w:r>
        <w:rPr>
          <w:rFonts w:ascii="Times New Roman" w:hAnsi="Times New Roman"/>
          <w:color w:val="333333"/>
        </w:rPr>
        <w:t>preobrazbe).</w:t>
      </w:r>
    </w:p>
  </w:footnote>
  <w:footnote w:id="19">
    <w:p w:rsidR="00BF174B" w:rsidRDefault="00B062BA">
      <w:pPr>
        <w:autoSpaceDE w:val="0"/>
        <w:autoSpaceDN w:val="0"/>
        <w:adjustRightInd w:val="0"/>
        <w:spacing w:after="0" w:line="240" w:lineRule="auto"/>
        <w:rPr>
          <w:rFonts w:ascii="Times New Roman" w:hAnsi="Times New Roman" w:cs="Times New Roman"/>
        </w:rPr>
      </w:pPr>
      <w:r>
        <w:rPr>
          <w:rStyle w:val="FootnoteReference"/>
          <w:rFonts w:ascii="Times New Roman" w:hAnsi="Times New Roman"/>
          <w:color w:val="000000" w:themeColor="text1"/>
          <w:sz w:val="20"/>
        </w:rPr>
        <w:footnoteRef/>
      </w:r>
      <w:r>
        <w:rPr>
          <w:rFonts w:ascii="Times New Roman" w:hAnsi="Times New Roman"/>
          <w:color w:val="000000" w:themeColor="text1"/>
          <w:sz w:val="20"/>
        </w:rPr>
        <w:t xml:space="preserve"> IRENA (2018), Off-grid Renewable Energy Solutions: Global and Regional Status and Trends (Rešitve za obnovljive vire energije, ločene od omrežja: globalni statusi in trendi).</w:t>
      </w:r>
    </w:p>
  </w:footnote>
  <w:footnote w:id="20">
    <w:p w:rsidR="00BF174B" w:rsidRDefault="00B062BA">
      <w:pPr>
        <w:pStyle w:val="FootnoteText"/>
        <w:rPr>
          <w:rFonts w:ascii="Times New Roman" w:hAnsi="Times New Roman" w:cs="Times New Roman"/>
        </w:rPr>
      </w:pPr>
      <w:r>
        <w:rPr>
          <w:rStyle w:val="FootnoteReference"/>
          <w:rFonts w:ascii="Times New Roman" w:hAnsi="Times New Roman"/>
          <w:color w:val="000000" w:themeColor="text1"/>
        </w:rPr>
        <w:footnoteRef/>
      </w:r>
      <w:r>
        <w:rPr>
          <w:rFonts w:ascii="Times New Roman" w:hAnsi="Times New Roman"/>
          <w:color w:val="000000" w:themeColor="text1"/>
        </w:rPr>
        <w:t xml:space="preserve"> IEA (2017) WEO-2017 Special Report: Energy Access Outlook (poseb</w:t>
      </w:r>
      <w:r>
        <w:rPr>
          <w:rFonts w:ascii="Times New Roman" w:hAnsi="Times New Roman"/>
          <w:color w:val="000000" w:themeColor="text1"/>
        </w:rPr>
        <w:t>no poročilo WEO-2017: Perspektive dostopa do električne energije).</w:t>
      </w:r>
    </w:p>
  </w:footnote>
  <w:footnote w:id="21">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Direktiva (EU) 2015/1513.</w:t>
      </w:r>
    </w:p>
  </w:footnote>
  <w:footnote w:id="22">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7">
        <w:r>
          <w:rPr>
            <w:rStyle w:val="Hyperlink"/>
            <w:rFonts w:ascii="Times New Roman" w:hAnsi="Times New Roman"/>
          </w:rPr>
          <w:t>https://ec.europa.eu/energy/en/topics/renewable-energy/progress-repo</w:t>
        </w:r>
        <w:r>
          <w:rPr>
            <w:rStyle w:val="Hyperlink"/>
            <w:rFonts w:ascii="Times New Roman" w:hAnsi="Times New Roman"/>
          </w:rPr>
          <w:t>rts</w:t>
        </w:r>
      </w:hyperlink>
      <w:r>
        <w:rPr>
          <w:rFonts w:ascii="Times New Roman" w:hAnsi="Times New Roman"/>
        </w:rPr>
        <w:t xml:space="preserve"> </w:t>
      </w:r>
    </w:p>
  </w:footnote>
  <w:footnote w:id="23">
    <w:p w:rsidR="00BF174B" w:rsidRDefault="00B062BA">
      <w:pPr>
        <w:pStyle w:val="FootnoteText"/>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https://ec.europa.eu/energy/en/topics/renewable-energy/national-action-plans</w:t>
        </w:r>
      </w:hyperlink>
      <w:r>
        <w:rPr>
          <w:rFonts w:ascii="Times New Roman" w:hAnsi="Times New Roman"/>
        </w:rPr>
        <w:t xml:space="preserve">   </w:t>
      </w:r>
    </w:p>
  </w:footnote>
  <w:footnote w:id="24">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Eurostatovo orodje SHARES 2017. Uporaba multiplikatorjev iz direktive RED I.</w:t>
      </w:r>
    </w:p>
  </w:footnote>
  <w:footnote w:id="25">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Vključno z Norveško.</w:t>
      </w:r>
    </w:p>
  </w:footnote>
  <w:footnote w:id="26">
    <w:p w:rsidR="00BF174B" w:rsidRDefault="00B062BA">
      <w:pPr>
        <w:pStyle w:val="FootnoteText"/>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https://ec.europa.eu/energy/en/topics/renewable-energy/progres</w:t>
        </w:r>
        <w:r>
          <w:rPr>
            <w:rStyle w:val="Hyperlink"/>
            <w:rFonts w:ascii="Times New Roman" w:hAnsi="Times New Roman"/>
          </w:rPr>
          <w:t>s-reports</w:t>
        </w:r>
      </w:hyperlink>
      <w:r>
        <w:rPr>
          <w:rFonts w:ascii="Times New Roman" w:hAnsi="Times New Roman"/>
        </w:rPr>
        <w:t xml:space="preserve"> </w:t>
      </w:r>
    </w:p>
  </w:footnote>
  <w:footnote w:id="27">
    <w:p w:rsidR="00BF174B" w:rsidRDefault="00B062BA">
      <w:pPr>
        <w:pStyle w:val="FootnoteText"/>
        <w:rPr>
          <w:rFonts w:ascii="Times New Roman" w:hAnsi="Times New Roman" w:cs="Times New Roman"/>
        </w:rPr>
      </w:pPr>
      <w:r>
        <w:rPr>
          <w:rStyle w:val="FootnoteReference"/>
        </w:rPr>
        <w:footnoteRef/>
      </w:r>
      <w:r>
        <w:t xml:space="preserve"> </w:t>
      </w:r>
      <w:r>
        <w:rPr>
          <w:rFonts w:ascii="Times New Roman" w:hAnsi="Times New Roman"/>
        </w:rPr>
        <w:t xml:space="preserve">Navigant, 2019: </w:t>
      </w:r>
      <w:hyperlink r:id="rId10">
        <w:r>
          <w:rPr>
            <w:rStyle w:val="Hyperlink"/>
            <w:rFonts w:ascii="Times New Roman" w:hAnsi="Times New Roman"/>
          </w:rPr>
          <w:t>Technical assistance in realisation of t</w:t>
        </w:r>
        <w:r>
          <w:rPr>
            <w:rStyle w:val="Hyperlink"/>
            <w:rFonts w:ascii="Times New Roman" w:hAnsi="Times New Roman"/>
          </w:rPr>
          <w:t>he 4th report on progress of renewable energy in the EU, final report (Tehnična pomoč pri uresničevanju četrtega poročila o napredku na področju obnovljivih virov energije v EU, končno poročilo).</w:t>
        </w:r>
      </w:hyperlink>
      <w:r>
        <w:rPr>
          <w:rFonts w:ascii="Times New Roman" w:hAnsi="Times New Roman"/>
        </w:rPr>
        <w:t xml:space="preserve"> </w:t>
      </w:r>
    </w:p>
  </w:footnote>
  <w:footnote w:id="28">
    <w:p w:rsidR="00BF174B" w:rsidRDefault="00B062BA">
      <w:pPr>
        <w:pStyle w:val="FootnoteText"/>
      </w:pPr>
      <w:r>
        <w:rPr>
          <w:rStyle w:val="FootnoteReference"/>
        </w:rPr>
        <w:footnoteRef/>
      </w:r>
      <w:r>
        <w:t xml:space="preserve"> </w:t>
      </w:r>
      <w:r>
        <w:rPr>
          <w:rFonts w:ascii="Times New Roman" w:hAnsi="Times New Roman"/>
        </w:rPr>
        <w:t>Preglednica vključuje samo države članice, ki so te poseb</w:t>
      </w:r>
      <w:r>
        <w:rPr>
          <w:rFonts w:ascii="Times New Roman" w:hAnsi="Times New Roman"/>
        </w:rPr>
        <w:t>ne informacije navedle v svojem poročilu o napredku.</w:t>
      </w:r>
    </w:p>
  </w:footnote>
  <w:footnote w:id="29">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Izračun v scenariju je temeljil na uporabi modela Green-X, simulacijskega orodja za politične instrumente s področja energije iz obnovljivih virov v Evropi, </w:t>
      </w:r>
      <w:hyperlink r:id="rId11">
        <w:r>
          <w:rPr>
            <w:rStyle w:val="Hyperlink"/>
            <w:rFonts w:ascii="Times New Roman" w:hAnsi="Times New Roman"/>
          </w:rPr>
          <w:t>https</w:t>
        </w:r>
        <w:r>
          <w:rPr>
            <w:rStyle w:val="Hyperlink"/>
            <w:rFonts w:ascii="Times New Roman" w:hAnsi="Times New Roman"/>
          </w:rPr>
          <w:t>://green-x.at/</w:t>
        </w:r>
      </w:hyperlink>
      <w:r>
        <w:rPr>
          <w:rStyle w:val="Hyperlink"/>
          <w:rFonts w:ascii="Times New Roman" w:hAnsi="Times New Roman"/>
        </w:rPr>
        <w:t>.</w:t>
      </w:r>
    </w:p>
  </w:footnote>
  <w:footnote w:id="30">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Razpon kaže negotovost v zvezi s ključnim vhodnim parametrom za oceno prihodnjega napredka na področju energije iz obnovljivih virov, ki temelji na modelu. V zvezi s tem odločilno vlogo igrata prihodnje povpraševanje po energiji (rast) in</w:t>
      </w:r>
      <w:r>
        <w:rPr>
          <w:rFonts w:ascii="Times New Roman" w:hAnsi="Times New Roman"/>
        </w:rPr>
        <w:t xml:space="preserve"> izvajanje politik.</w:t>
      </w:r>
    </w:p>
  </w:footnote>
  <w:footnote w:id="31">
    <w:p w:rsidR="00BF174B" w:rsidRDefault="00B062BA">
      <w:pPr>
        <w:pStyle w:val="FootnoteText"/>
      </w:pPr>
      <w:r>
        <w:rPr>
          <w:rStyle w:val="FootnoteReference"/>
        </w:rPr>
        <w:footnoteRef/>
      </w:r>
      <w:r>
        <w:t xml:space="preserve"> </w:t>
      </w:r>
      <w:r>
        <w:rPr>
          <w:rFonts w:ascii="Times New Roman" w:hAnsi="Times New Roman"/>
        </w:rPr>
        <w:t xml:space="preserve">Navigant, 2019: </w:t>
      </w:r>
      <w:hyperlink r:id="rId12">
        <w:r>
          <w:rPr>
            <w:rStyle w:val="Hyperlink"/>
            <w:rFonts w:ascii="Times New Roman" w:hAnsi="Times New Roman"/>
          </w:rPr>
          <w:t>Technical assistance in realisa</w:t>
        </w:r>
        <w:r>
          <w:rPr>
            <w:rStyle w:val="Hyperlink"/>
            <w:rFonts w:ascii="Times New Roman" w:hAnsi="Times New Roman"/>
          </w:rPr>
          <w:t>tion of the 4th report on progress of renewable energy in the EU, final report (Tehnična pomoč pri uresničevanju četrtega poročila o napredku na področju obnovljivih virov energije v EU, končno poročilo).</w:t>
        </w:r>
      </w:hyperlink>
    </w:p>
  </w:footnote>
  <w:footnote w:id="32">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https://ec.europa.eu/energy/en/topics/energy-stra</w:t>
      </w:r>
      <w:r>
        <w:rPr>
          <w:rFonts w:ascii="Times New Roman" w:hAnsi="Times New Roman"/>
        </w:rPr>
        <w:t>tegy-and-energy-union/governance-energy-union/national-energy-climate-plans</w:t>
      </w:r>
    </w:p>
  </w:footnote>
  <w:footnote w:id="33">
    <w:p w:rsidR="00BF174B" w:rsidRDefault="00B062BA">
      <w:pPr>
        <w:pStyle w:val="FootnoteText"/>
      </w:pPr>
      <w:r>
        <w:rPr>
          <w:rStyle w:val="FootnoteReference"/>
          <w:rFonts w:ascii="Times New Roman" w:hAnsi="Times New Roman"/>
        </w:rPr>
        <w:footnoteRef/>
      </w:r>
      <w:r>
        <w:rPr>
          <w:rFonts w:ascii="Times New Roman" w:hAnsi="Times New Roman"/>
        </w:rPr>
        <w:t xml:space="preserve"> Navigant, 2019.</w:t>
      </w:r>
    </w:p>
  </w:footnote>
  <w:footnote w:id="34">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Poglavitni vir podatkov in ocene iz tega oddelka: Navigant, 2019: Technical assistance in realisation of the 2018 report on biomass sustainability (Tehnična pom</w:t>
      </w:r>
      <w:r>
        <w:rPr>
          <w:rFonts w:ascii="Times New Roman" w:hAnsi="Times New Roman"/>
        </w:rPr>
        <w:t>oč pri uresničevanju poročila o trajnosti biogoriv za leto 2018).</w:t>
      </w:r>
    </w:p>
  </w:footnote>
  <w:footnote w:id="35">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 analizi surovin za biogoriva so upoštevani mednarodna trgovina z biogorivi in surovinami zanje ter izkoristki pretvorb.</w:t>
      </w:r>
    </w:p>
  </w:footnote>
  <w:footnote w:id="36">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Izračunano na podlagi okvirnih ocenjenih emisij iz surovin za po</w:t>
      </w:r>
      <w:r>
        <w:rPr>
          <w:rFonts w:ascii="Times New Roman" w:hAnsi="Times New Roman"/>
        </w:rPr>
        <w:t>gonska biogoriva, druga tekoča biogoriva in biomasna goriva zaradi posredne spremembe rabe zemljišč (gCO</w:t>
      </w:r>
      <w:r>
        <w:rPr>
          <w:rFonts w:ascii="Times New Roman" w:hAnsi="Times New Roman"/>
          <w:vertAlign w:val="subscript"/>
        </w:rPr>
        <w:t>2</w:t>
      </w:r>
      <w:r>
        <w:rPr>
          <w:rFonts w:ascii="Times New Roman" w:hAnsi="Times New Roman"/>
        </w:rPr>
        <w:t>ekv/MJ) iz Priloge VIII k Direktivi (EU) 2018/2001. Za več podrobnosti glej dokument Navigant 2019.</w:t>
      </w:r>
    </w:p>
  </w:footnote>
  <w:footnote w:id="37">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Wageningen Research, nizozemska agencija za preso</w:t>
      </w:r>
      <w:r>
        <w:rPr>
          <w:rFonts w:ascii="Times New Roman" w:hAnsi="Times New Roman"/>
        </w:rPr>
        <w:t>jo vplivov na okolje in ustanova CENER, 2017, Študija o zahtevah za poročanje o biogorivih in drugih tekočih biogorivih na podlagi Direktive (EU) 2015/1513.</w:t>
      </w:r>
    </w:p>
  </w:footnote>
  <w:footnote w:id="38">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Vendar je treba opozoriti, da niso na voljo niti podatki za posamezne lokacije niti podatki, povez</w:t>
      </w:r>
      <w:r>
        <w:rPr>
          <w:rFonts w:ascii="Times New Roman" w:hAnsi="Times New Roman"/>
        </w:rPr>
        <w:t>ani z lokalnimi okoljskimi vplivi gojenja surovin za proizvodnjo biogoriva.</w:t>
      </w:r>
    </w:p>
  </w:footnote>
  <w:footnote w:id="39">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Upoštevati je treba, da zdajšnja skupna kmetijska politika (SKP) znatno prispeva k podpiranju biotske raznovrstnosti in spodbujanju trajnostnih sistemov kmetovanja z dopolnilnimi</w:t>
      </w:r>
      <w:r>
        <w:rPr>
          <w:rFonts w:ascii="Times New Roman" w:hAnsi="Times New Roman"/>
        </w:rPr>
        <w:t xml:space="preserve"> ukrepi vrste različnih instrumentov. Kar zadeva prihodnjo SKP po letu 2020, je eden od devetih posebnih ciljev SKP prispevati k varovanju biotske raznovrstnosti, izboljšati ekološke storitve ter ohraniti habitate in krajino. Cilj politike je povečati rave</w:t>
      </w:r>
      <w:r>
        <w:rPr>
          <w:rFonts w:ascii="Times New Roman" w:hAnsi="Times New Roman"/>
        </w:rPr>
        <w:t>n okoljskih in podnebnih ambicij.</w:t>
      </w:r>
    </w:p>
  </w:footnote>
  <w:footnote w:id="40">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Navigant, 2019.</w:t>
      </w:r>
    </w:p>
  </w:footnote>
  <w:footnote w:id="41">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EK, 2019, Poročilo o stanju svetovne širitve proizvodnje zadevnih poljščin, ki se uporabljajo za živila in krmo.</w:t>
      </w:r>
    </w:p>
  </w:footnote>
  <w:footnote w:id="42">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C(2019) 2055 final.</w:t>
      </w:r>
    </w:p>
  </w:footnote>
  <w:footnote w:id="43">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Do junija 2021 bo opravljen pregled seznama surovin iz delov A in B Priloge IX k Direktivi, da se dodajo surovine, ki izpolnjujejo sklop strogih meril.</w:t>
      </w:r>
    </w:p>
  </w:footnote>
  <w:footnote w:id="44">
    <w:p w:rsidR="00BF174B" w:rsidRDefault="00B062B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https://ec.europa.eu/energy/sites/ener/files/documents/voluntary_schemes_overview_february_2019.pdf.</w:t>
      </w:r>
    </w:p>
  </w:footnote>
  <w:footnote w:id="45">
    <w:p w:rsidR="00BF174B" w:rsidRDefault="00B062BA">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Sporočilo Komisije o prostovoljnih sistemih in privzetih vrednostih (2010/C 160/01) določa načela, v skladu s katerimi Komisija izvaja svoje pristojnosti, ki vodijo do takih odločitev. Navedeni dokument je bil dopolnjen s sporočilom o praktičnem izvajanj</w:t>
      </w:r>
      <w:r>
        <w:rPr>
          <w:rFonts w:ascii="Times New Roman" w:hAnsi="Times New Roman"/>
        </w:rPr>
        <w:t>u trajnostnega sistema EU za biogoriva in druga tekoča biogoriva (2010/C 160/02).</w:t>
      </w:r>
    </w:p>
  </w:footnote>
  <w:footnote w:id="46">
    <w:p w:rsidR="00BF174B" w:rsidRDefault="00B062BA">
      <w:pPr>
        <w:pStyle w:val="FootnoteText"/>
        <w:jc w:val="both"/>
      </w:pPr>
      <w:r>
        <w:rPr>
          <w:rStyle w:val="FootnoteReference"/>
          <w:rFonts w:ascii="Times New Roman" w:hAnsi="Times New Roman"/>
        </w:rPr>
        <w:footnoteRef/>
      </w:r>
      <w:r>
        <w:rPr>
          <w:rFonts w:ascii="Times New Roman" w:hAnsi="Times New Roman"/>
        </w:rPr>
        <w:t xml:space="preserve"> Navigant, 2019. Review of voluntary scheme annual reports.</w:t>
      </w:r>
    </w:p>
  </w:footnote>
  <w:footnote w:id="47">
    <w:p w:rsidR="00BF174B" w:rsidRDefault="00B062BA">
      <w:pPr>
        <w:pStyle w:val="FootnoteText"/>
      </w:pPr>
      <w:r>
        <w:rPr>
          <w:rStyle w:val="FootnoteReference"/>
        </w:rPr>
        <w:footnoteRef/>
      </w:r>
      <w:r>
        <w:t xml:space="preserve"> </w:t>
      </w:r>
      <w:r>
        <w:rPr>
          <w:rFonts w:ascii="Times New Roman" w:hAnsi="Times New Roman"/>
        </w:rPr>
        <w:t>Podrobnosti o postopku priznavanja prostovoljnih sistemov so na voljo na spletni strani Komisije:</w:t>
      </w:r>
      <w:r>
        <w:rPr>
          <w:rStyle w:val="Hyperlink"/>
          <w:rFonts w:ascii="Times New Roman" w:hAnsi="Times New Roman"/>
          <w:sz w:val="16"/>
        </w:rPr>
        <w:t xml:space="preserve"> </w:t>
      </w:r>
      <w:hyperlink r:id="rId13">
        <w:r>
          <w:rPr>
            <w:rStyle w:val="Hyperlink"/>
            <w:rFonts w:ascii="Times New Roman" w:hAnsi="Times New Roman"/>
          </w:rPr>
          <w:t>https://ec.europa.eu/energy/en/topics/renewable-energy/biofuels/voluntary-schemes</w:t>
        </w:r>
      </w:hyperlink>
      <w:r>
        <w:rPr>
          <w:rStyle w:val="Hyperlink"/>
          <w:rFonts w:ascii="Times New Roman" w:hAnsi="Times New Roman"/>
        </w:rPr>
        <w:t>.</w:t>
      </w:r>
    </w:p>
  </w:footnote>
  <w:footnote w:id="48">
    <w:p w:rsidR="00BF174B" w:rsidRDefault="00B062BA">
      <w:pPr>
        <w:pStyle w:val="FootnoteText"/>
        <w:jc w:val="both"/>
      </w:pPr>
      <w:r>
        <w:rPr>
          <w:rStyle w:val="FootnoteReference"/>
          <w:rFonts w:ascii="Times New Roman" w:hAnsi="Times New Roman"/>
        </w:rPr>
        <w:footnoteRef/>
      </w:r>
      <w:r>
        <w:rPr>
          <w:rFonts w:ascii="Times New Roman" w:hAnsi="Times New Roman"/>
        </w:rPr>
        <w:t xml:space="preserve"> Evropsko računsko sodišče, 2016, Posebno poročilo št. 18/2016: The EU system for th</w:t>
      </w:r>
      <w:r>
        <w:rPr>
          <w:rFonts w:ascii="Times New Roman" w:hAnsi="Times New Roman"/>
        </w:rPr>
        <w:t>e certification of sustainable biofuels (Sistem EU za certifikacijo trajnostnih biogoriv).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F17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062BA">
    <w:pPr>
      <w:pStyle w:val="Header"/>
    </w:pPr>
    <w:r>
      <w:rPr>
        <w:noProof/>
        <w:lang w:val="fr-BE" w:eastAsia="fr-BE" w:bidi="ar-SA"/>
      </w:rPr>
      <w:drawing>
        <wp:anchor distT="0" distB="0" distL="114300" distR="114300" simplePos="0" relativeHeight="251658242" behindDoc="0" locked="1" layoutInCell="1" allowOverlap="1">
          <wp:simplePos x="0" y="0"/>
          <wp:positionH relativeFrom="page">
            <wp:posOffset>3625850</wp:posOffset>
          </wp:positionH>
          <wp:positionV relativeFrom="page">
            <wp:posOffset>395605</wp:posOffset>
          </wp:positionV>
          <wp:extent cx="2520000" cy="576000"/>
          <wp:effectExtent l="0" t="0" r="0" b="0"/>
          <wp:wrapNone/>
          <wp:docPr id="3" name="Bild 109" descr="ECOFYS Logo WTTS Colou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COFYS Logo WTTS Colo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20000" cy="576000"/>
                  </a:xfrm>
                  <a:prstGeom prst="rect">
                    <a:avLst/>
                  </a:prstGeom>
                  <a:noFill/>
                  <a:ln>
                    <a:noFill/>
                  </a:ln>
                </pic:spPr>
              </pic:pic>
            </a:graphicData>
          </a:graphic>
        </wp:anchor>
      </w:drawing>
    </w:r>
    <w:r>
      <w:rPr>
        <w:noProof/>
        <w:lang w:val="fr-BE" w:eastAsia="fr-BE" w:bidi="ar-SA"/>
      </w:rPr>
      <w:drawing>
        <wp:anchor distT="0" distB="0" distL="114300" distR="114300" simplePos="0" relativeHeight="251658241" behindDoc="0" locked="1" layoutInCell="1" allowOverlap="1">
          <wp:simplePos x="0" y="0"/>
          <wp:positionH relativeFrom="page">
            <wp:posOffset>3625850</wp:posOffset>
          </wp:positionH>
          <wp:positionV relativeFrom="page">
            <wp:posOffset>395605</wp:posOffset>
          </wp:positionV>
          <wp:extent cx="2520000" cy="575122"/>
          <wp:effectExtent l="0" t="0" r="0" b="0"/>
          <wp:wrapNone/>
          <wp:docPr id="4" name="Bild 102" descr="ECOFYS Logo WTTS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FYS Logo WTTS b/w" hidden="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520000" cy="575122"/>
                  </a:xfrm>
                  <a:prstGeom prst="rect">
                    <a:avLst/>
                  </a:prstGeom>
                  <a:noFill/>
                  <a:ln>
                    <a:noFill/>
                  </a:ln>
                </pic:spPr>
              </pic:pic>
            </a:graphicData>
          </a:graphic>
        </wp:anchor>
      </w:drawing>
    </w:r>
    <w:r>
      <w:rPr>
        <w:noProof/>
        <w:lang w:val="fr-BE" w:eastAsia="fr-BE" w:bidi="ar-SA"/>
      </w:rPr>
      <w:drawing>
        <wp:anchor distT="0" distB="0" distL="114300" distR="114300" simplePos="0" relativeHeight="251658240" behindDoc="0" locked="1" layoutInCell="1" allowOverlap="1">
          <wp:simplePos x="0" y="0"/>
          <wp:positionH relativeFrom="page">
            <wp:posOffset>4086225</wp:posOffset>
          </wp:positionH>
          <wp:positionV relativeFrom="page">
            <wp:posOffset>450215</wp:posOffset>
          </wp:positionV>
          <wp:extent cx="1969200" cy="723600"/>
          <wp:effectExtent l="0" t="0" r="0" b="635"/>
          <wp:wrapNone/>
          <wp:docPr id="5" name="Bild 99"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FYS Logo b/w" hidden="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69200" cy="72360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4B" w:rsidRDefault="00B062BA">
    <w:pPr>
      <w:pStyle w:val="Header"/>
    </w:pPr>
    <w:r>
      <w:rPr>
        <w:noProof/>
        <w:lang w:val="fr-BE" w:eastAsia="fr-BE" w:bidi="ar-SA"/>
      </w:rPr>
      <w:drawing>
        <wp:anchor distT="0" distB="0" distL="114300" distR="114300" simplePos="0" relativeHeight="251658244" behindDoc="0" locked="1" layoutInCell="1" allowOverlap="1">
          <wp:simplePos x="0" y="0"/>
          <wp:positionH relativeFrom="page">
            <wp:posOffset>4087495</wp:posOffset>
          </wp:positionH>
          <wp:positionV relativeFrom="page">
            <wp:posOffset>450215</wp:posOffset>
          </wp:positionV>
          <wp:extent cx="2514600" cy="723900"/>
          <wp:effectExtent l="0" t="0" r="0" b="0"/>
          <wp:wrapNone/>
          <wp:docPr id="6" name="Bild 80" descr="ECOFYS Logo b/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COFYS Logo b/w" hidden="1"/>
                  <pic:cNvPicPr>
                    <a:picLocks noChangeAspect="1" noChangeArrowheads="1"/>
                  </pic:cNvPicPr>
                </pic:nvPicPr>
                <pic:blipFill>
                  <a:blip r:embed="rId1">
                    <a:extLst>
                      <a:ext uri="{28A0092B-C50C-407E-A947-70E740481C1C}">
                        <a14:useLocalDpi xmlns:a14="http://schemas.microsoft.com/office/drawing/2010/main" val="0"/>
                      </a:ext>
                    </a:extLst>
                  </a:blip>
                  <a:srcRect l="1335" t="4370" r="1335" b="4370"/>
                  <a:stretch>
                    <a:fillRect/>
                  </a:stretch>
                </pic:blipFill>
                <pic:spPr bwMode="auto">
                  <a:xfrm>
                    <a:off x="0" y="0"/>
                    <a:ext cx="2514600" cy="723900"/>
                  </a:xfrm>
                  <a:prstGeom prst="rect">
                    <a:avLst/>
                  </a:prstGeom>
                  <a:noFill/>
                  <a:ln>
                    <a:noFill/>
                  </a:ln>
                </pic:spPr>
              </pic:pic>
            </a:graphicData>
          </a:graphic>
        </wp:anchor>
      </w:drawing>
    </w:r>
    <w:r>
      <w:rPr>
        <w:noProof/>
        <w:lang w:val="fr-BE" w:eastAsia="fr-BE" w:bidi="ar-SA"/>
      </w:rPr>
      <w:drawing>
        <wp:anchor distT="0" distB="0" distL="114300" distR="114300" simplePos="0" relativeHeight="251658243" behindDoc="0" locked="1" layoutInCell="1" allowOverlap="1">
          <wp:simplePos x="0" y="0"/>
          <wp:positionH relativeFrom="page">
            <wp:posOffset>4086225</wp:posOffset>
          </wp:positionH>
          <wp:positionV relativeFrom="page">
            <wp:posOffset>450215</wp:posOffset>
          </wp:positionV>
          <wp:extent cx="2516505" cy="717550"/>
          <wp:effectExtent l="0" t="0" r="0" b="6350"/>
          <wp:wrapNone/>
          <wp:docPr id="7" name="Bild 79" descr="ECOFYS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COFYS Logo Colour" hidden="1"/>
                  <pic:cNvPicPr>
                    <a:picLocks noChangeAspect="1" noChangeArrowheads="1"/>
                  </pic:cNvPicPr>
                </pic:nvPicPr>
                <pic:blipFill>
                  <a:blip r:embed="rId2">
                    <a:extLst>
                      <a:ext uri="{28A0092B-C50C-407E-A947-70E740481C1C}">
                        <a14:useLocalDpi xmlns:a14="http://schemas.microsoft.com/office/drawing/2010/main" val="0"/>
                      </a:ext>
                    </a:extLst>
                  </a:blip>
                  <a:srcRect l="1335" t="4370" r="1335" b="4370"/>
                  <a:stretch>
                    <a:fillRect/>
                  </a:stretch>
                </pic:blipFill>
                <pic:spPr bwMode="auto">
                  <a:xfrm>
                    <a:off x="0" y="0"/>
                    <a:ext cx="251650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AF"/>
    <w:multiLevelType w:val="hybridMultilevel"/>
    <w:tmpl w:val="B464EC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D9715E"/>
    <w:multiLevelType w:val="hybridMultilevel"/>
    <w:tmpl w:val="980221A2"/>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6C21EE"/>
    <w:multiLevelType w:val="hybridMultilevel"/>
    <w:tmpl w:val="C760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33CB"/>
    <w:multiLevelType w:val="hybridMultilevel"/>
    <w:tmpl w:val="6CC41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B41578"/>
    <w:multiLevelType w:val="hybridMultilevel"/>
    <w:tmpl w:val="AB90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A39"/>
    <w:multiLevelType w:val="hybridMultilevel"/>
    <w:tmpl w:val="A6FC826A"/>
    <w:lvl w:ilvl="0" w:tplc="D8642F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13306"/>
    <w:multiLevelType w:val="hybridMultilevel"/>
    <w:tmpl w:val="5064789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30E6AF9"/>
    <w:multiLevelType w:val="hybridMultilevel"/>
    <w:tmpl w:val="5D76CBDE"/>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94BAA"/>
    <w:multiLevelType w:val="hybridMultilevel"/>
    <w:tmpl w:val="115667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967031"/>
    <w:multiLevelType w:val="hybridMultilevel"/>
    <w:tmpl w:val="D4C4DE1A"/>
    <w:lvl w:ilvl="0" w:tplc="04090001">
      <w:start w:val="1"/>
      <w:numFmt w:val="bullet"/>
      <w:lvlText w:val=""/>
      <w:lvlJc w:val="left"/>
      <w:pPr>
        <w:ind w:left="720" w:hanging="360"/>
      </w:pPr>
      <w:rPr>
        <w:rFonts w:ascii="Symbol" w:hAnsi="Symbol" w:hint="default"/>
        <w:lang w:val="en-US"/>
      </w:rPr>
    </w:lvl>
    <w:lvl w:ilvl="1" w:tplc="4EDA8508">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66EAB"/>
    <w:multiLevelType w:val="hybridMultilevel"/>
    <w:tmpl w:val="E30840D4"/>
    <w:lvl w:ilvl="0" w:tplc="8EC0EF94">
      <w:start w:val="1"/>
      <w:numFmt w:val="bullet"/>
      <w:lvlText w:val=""/>
      <w:lvlJc w:val="left"/>
      <w:pPr>
        <w:tabs>
          <w:tab w:val="num" w:pos="720"/>
        </w:tabs>
        <w:ind w:left="720" w:hanging="360"/>
      </w:pPr>
      <w:rPr>
        <w:rFonts w:ascii="Wingdings" w:hAnsi="Wingdings" w:hint="default"/>
      </w:rPr>
    </w:lvl>
    <w:lvl w:ilvl="1" w:tplc="81A05D08">
      <w:start w:val="244"/>
      <w:numFmt w:val="bullet"/>
      <w:lvlText w:val="•"/>
      <w:lvlJc w:val="left"/>
      <w:pPr>
        <w:tabs>
          <w:tab w:val="num" w:pos="1440"/>
        </w:tabs>
        <w:ind w:left="1440" w:hanging="360"/>
      </w:pPr>
      <w:rPr>
        <w:rFonts w:ascii="Arial" w:hAnsi="Arial" w:hint="default"/>
      </w:rPr>
    </w:lvl>
    <w:lvl w:ilvl="2" w:tplc="6CFA2202" w:tentative="1">
      <w:start w:val="1"/>
      <w:numFmt w:val="bullet"/>
      <w:lvlText w:val=""/>
      <w:lvlJc w:val="left"/>
      <w:pPr>
        <w:tabs>
          <w:tab w:val="num" w:pos="2160"/>
        </w:tabs>
        <w:ind w:left="2160" w:hanging="360"/>
      </w:pPr>
      <w:rPr>
        <w:rFonts w:ascii="Wingdings" w:hAnsi="Wingdings" w:hint="default"/>
      </w:rPr>
    </w:lvl>
    <w:lvl w:ilvl="3" w:tplc="0E0091D2" w:tentative="1">
      <w:start w:val="1"/>
      <w:numFmt w:val="bullet"/>
      <w:lvlText w:val=""/>
      <w:lvlJc w:val="left"/>
      <w:pPr>
        <w:tabs>
          <w:tab w:val="num" w:pos="2880"/>
        </w:tabs>
        <w:ind w:left="2880" w:hanging="360"/>
      </w:pPr>
      <w:rPr>
        <w:rFonts w:ascii="Wingdings" w:hAnsi="Wingdings" w:hint="default"/>
      </w:rPr>
    </w:lvl>
    <w:lvl w:ilvl="4" w:tplc="CED67C7A" w:tentative="1">
      <w:start w:val="1"/>
      <w:numFmt w:val="bullet"/>
      <w:lvlText w:val=""/>
      <w:lvlJc w:val="left"/>
      <w:pPr>
        <w:tabs>
          <w:tab w:val="num" w:pos="3600"/>
        </w:tabs>
        <w:ind w:left="3600" w:hanging="360"/>
      </w:pPr>
      <w:rPr>
        <w:rFonts w:ascii="Wingdings" w:hAnsi="Wingdings" w:hint="default"/>
      </w:rPr>
    </w:lvl>
    <w:lvl w:ilvl="5" w:tplc="DCFA0DDE" w:tentative="1">
      <w:start w:val="1"/>
      <w:numFmt w:val="bullet"/>
      <w:lvlText w:val=""/>
      <w:lvlJc w:val="left"/>
      <w:pPr>
        <w:tabs>
          <w:tab w:val="num" w:pos="4320"/>
        </w:tabs>
        <w:ind w:left="4320" w:hanging="360"/>
      </w:pPr>
      <w:rPr>
        <w:rFonts w:ascii="Wingdings" w:hAnsi="Wingdings" w:hint="default"/>
      </w:rPr>
    </w:lvl>
    <w:lvl w:ilvl="6" w:tplc="6E66DE3E" w:tentative="1">
      <w:start w:val="1"/>
      <w:numFmt w:val="bullet"/>
      <w:lvlText w:val=""/>
      <w:lvlJc w:val="left"/>
      <w:pPr>
        <w:tabs>
          <w:tab w:val="num" w:pos="5040"/>
        </w:tabs>
        <w:ind w:left="5040" w:hanging="360"/>
      </w:pPr>
      <w:rPr>
        <w:rFonts w:ascii="Wingdings" w:hAnsi="Wingdings" w:hint="default"/>
      </w:rPr>
    </w:lvl>
    <w:lvl w:ilvl="7" w:tplc="82D6BF40" w:tentative="1">
      <w:start w:val="1"/>
      <w:numFmt w:val="bullet"/>
      <w:lvlText w:val=""/>
      <w:lvlJc w:val="left"/>
      <w:pPr>
        <w:tabs>
          <w:tab w:val="num" w:pos="5760"/>
        </w:tabs>
        <w:ind w:left="5760" w:hanging="360"/>
      </w:pPr>
      <w:rPr>
        <w:rFonts w:ascii="Wingdings" w:hAnsi="Wingdings" w:hint="default"/>
      </w:rPr>
    </w:lvl>
    <w:lvl w:ilvl="8" w:tplc="819810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C4C9A"/>
    <w:multiLevelType w:val="hybridMultilevel"/>
    <w:tmpl w:val="8EEA27E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33260FC"/>
    <w:multiLevelType w:val="hybridMultilevel"/>
    <w:tmpl w:val="E3086BCC"/>
    <w:lvl w:ilvl="0" w:tplc="08090017">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B3F5C66"/>
    <w:multiLevelType w:val="hybridMultilevel"/>
    <w:tmpl w:val="212856A8"/>
    <w:lvl w:ilvl="0" w:tplc="0809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C31C9"/>
    <w:multiLevelType w:val="hybridMultilevel"/>
    <w:tmpl w:val="4B5451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7E016EB"/>
    <w:multiLevelType w:val="hybridMultilevel"/>
    <w:tmpl w:val="D4D6AEFE"/>
    <w:lvl w:ilvl="0" w:tplc="EE12E508">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1C7667"/>
    <w:multiLevelType w:val="hybridMultilevel"/>
    <w:tmpl w:val="4F086370"/>
    <w:lvl w:ilvl="0" w:tplc="0809000F">
      <w:start w:val="1"/>
      <w:numFmt w:val="decimal"/>
      <w:lvlText w:val="%1."/>
      <w:lvlJc w:val="left"/>
      <w:pPr>
        <w:ind w:left="720" w:hanging="360"/>
      </w:pPr>
      <w:rPr>
        <w:rFonts w:hint="default"/>
      </w:rPr>
    </w:lvl>
    <w:lvl w:ilvl="1" w:tplc="E9421FA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E29AA"/>
    <w:multiLevelType w:val="hybridMultilevel"/>
    <w:tmpl w:val="275EC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15"/>
  </w:num>
  <w:num w:numId="6">
    <w:abstractNumId w:val="15"/>
  </w:num>
  <w:num w:numId="7">
    <w:abstractNumId w:val="15"/>
  </w:num>
  <w:num w:numId="8">
    <w:abstractNumId w:val="15"/>
  </w:num>
  <w:num w:numId="9">
    <w:abstractNumId w:val="15"/>
    <w:lvlOverride w:ilvl="0">
      <w:startOverride w:val="1"/>
    </w:lvlOverride>
  </w:num>
  <w:num w:numId="10">
    <w:abstractNumId w:val="0"/>
  </w:num>
  <w:num w:numId="11">
    <w:abstractNumId w:val="4"/>
  </w:num>
  <w:num w:numId="12">
    <w:abstractNumId w:val="13"/>
  </w:num>
  <w:num w:numId="13">
    <w:abstractNumId w:val="12"/>
  </w:num>
  <w:num w:numId="14">
    <w:abstractNumId w:val="10"/>
  </w:num>
  <w:num w:numId="15">
    <w:abstractNumId w:val="16"/>
  </w:num>
  <w:num w:numId="16">
    <w:abstractNumId w:val="17"/>
  </w:num>
  <w:num w:numId="17">
    <w:abstractNumId w:val="8"/>
  </w:num>
  <w:num w:numId="18">
    <w:abstractNumId w:val="6"/>
  </w:num>
  <w:num w:numId="19">
    <w:abstractNumId w:val="3"/>
  </w:num>
  <w:num w:numId="20">
    <w:abstractNumId w:val="2"/>
  </w:num>
  <w:num w:numId="21">
    <w:abstractNumId w:val="15"/>
  </w:num>
  <w:num w:numId="22">
    <w:abstractNumId w:val="15"/>
  </w:num>
  <w:num w:numId="23">
    <w:abstractNumId w:val="15"/>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5"/>
    <w:lvlOverride w:ilvl="0">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32F104E-7162-420E-8C96-8715730F8024"/>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selj, "/>
    <w:docVar w:name="LW_EMISSION_SUFFIX" w:val=" "/>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2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ro\u269?ilo o napredku na podro\u269?ju energije iz obnovljivih virov"/>
    <w:docVar w:name="LW_TYPE.DOC.CP" w:val="PORO\u268?ILO KOMISIJE EVROPSKEMU PARLAMENTU, SVETU, EVROPSKEMU EKONOMSKO-SOCIALNEMU ODBORU IN ODBORU REGIJ"/>
  </w:docVars>
  <w:rsids>
    <w:rsidRoot w:val="00BF174B"/>
    <w:rsid w:val="00B062BA"/>
    <w:rsid w:val="00BF1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FD8AA53-210F-467A-A607-7C1F3947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jc w:val="both"/>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numPr>
        <w:numId w:val="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Fußnote,Fotnotstext1,Footnote text,Footnote Text Char2,Footnote Text Char1 Char,Footnote Text Char Char Char,Footnote Text Char Char1,Footnote Text Char1 Char1,Footnote Text Char Char"/>
    <w:basedOn w:val="Normal"/>
    <w:link w:val="FootnoteTextChar"/>
    <w:unhideWhenUsed/>
    <w:qFormat/>
    <w:pPr>
      <w:spacing w:after="0" w:line="240" w:lineRule="auto"/>
    </w:pPr>
    <w:rPr>
      <w:sz w:val="20"/>
      <w:szCs w:val="20"/>
    </w:rPr>
  </w:style>
  <w:style w:type="character" w:customStyle="1" w:styleId="FootnoteTextChar">
    <w:name w:val="Footnote Text Char"/>
    <w:aliases w:val="Schriftart: 9 pt Char,Schriftart: 10 pt Char,Schriftart: 8 pt Char,fn Char,Fußnote Char,Fotnotstext1 Char,Footnote text Char,Footnote Text Char2 Char,Footnote Text Char1 Char Char,Footnote Text Char Char Char Char"/>
    <w:basedOn w:val="DefaultParagraphFont"/>
    <w:link w:val="FootnoteText"/>
    <w:rPr>
      <w:sz w:val="20"/>
      <w:szCs w:val="20"/>
    </w:rPr>
  </w:style>
  <w:style w:type="character" w:styleId="FootnoteReference">
    <w:name w:val="footnote reference"/>
    <w:aliases w:val="number,SUPERS,Footnote Reference Superscript,stylish,Footnote symbol,Footnote Reference Number,Footnote reference number,note TESI,-E Fußnotenzeichen,ftref,EN Footnote Reference,(Diplomarbeit FZ),(Diplomarbeit FZ)1,(Diplomarbeit FZ)2"/>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Bullet 1"/>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table" w:customStyle="1" w:styleId="Tablestylegreen2">
    <w:name w:val="Tablestyle_green2"/>
    <w:basedOn w:val="TableNormal"/>
    <w:pPr>
      <w:spacing w:before="100" w:beforeAutospacing="1" w:after="100" w:afterAutospacing="1" w:line="240" w:lineRule="auto"/>
      <w:contextualSpacing/>
    </w:pPr>
    <w:rPr>
      <w:rFonts w:ascii="Arial" w:eastAsia="Times New Roman" w:hAnsi="Arial" w:cs="Times New Roman"/>
      <w:color w:val="000000"/>
      <w:sz w:val="16"/>
      <w:szCs w:val="18"/>
    </w:rPr>
    <w:tblPr>
      <w:tblStyleRowBandSize w:val="1"/>
      <w:tblStyleColBandSize w:val="1"/>
      <w:tblInd w:w="108" w:type="dxa"/>
      <w:tblBorders>
        <w:bottom w:val="single" w:sz="18" w:space="0" w:color="648C1A"/>
      </w:tblBorders>
    </w:tblPr>
    <w:tcPr>
      <w:vAlign w:val="center"/>
    </w:tcPr>
    <w:tblStylePr w:type="firstRow">
      <w:rPr>
        <w:rFonts w:ascii="Arial" w:hAnsi="Arial"/>
        <w:b w:val="0"/>
        <w:color w:val="000000"/>
        <w:sz w:val="16"/>
      </w:rPr>
      <w:tblPr/>
      <w:tcPr>
        <w:tcBorders>
          <w:top w:val="single" w:sz="4" w:space="0" w:color="8B8D8E"/>
          <w:left w:val="single" w:sz="4" w:space="0" w:color="8B8D8E"/>
          <w:bottom w:val="single" w:sz="4" w:space="0" w:color="8B8D8E"/>
          <w:right w:val="single" w:sz="4" w:space="0" w:color="8B8D8E"/>
          <w:insideH w:val="single" w:sz="4" w:space="0" w:color="8B8D8E"/>
          <w:insideV w:val="single" w:sz="4" w:space="0" w:color="8B8D8E"/>
          <w:tl2br w:val="nil"/>
          <w:tr2bl w:val="nil"/>
        </w:tcBorders>
      </w:tcPr>
    </w:tblStylePr>
    <w:tblStylePr w:type="lastRow">
      <w:rPr>
        <w:rFonts w:ascii="Arial" w:hAnsi="Arial"/>
        <w:sz w:val="16"/>
      </w:rPr>
      <w:tblPr/>
      <w:tcPr>
        <w:tcBorders>
          <w:top w:val="nil"/>
          <w:left w:val="single" w:sz="4" w:space="0" w:color="8B8D8E"/>
          <w:bottom w:val="single" w:sz="18" w:space="0" w:color="648C1A"/>
          <w:right w:val="single" w:sz="4" w:space="0" w:color="8B8D8E"/>
          <w:insideH w:val="nil"/>
          <w:insideV w:val="single" w:sz="4" w:space="0" w:color="8B8D8E"/>
          <w:tl2br w:val="nil"/>
          <w:tr2bl w:val="nil"/>
        </w:tcBorders>
      </w:tcPr>
    </w:tblStylePr>
    <w:tblStylePr w:type="firstCol">
      <w:rPr>
        <w:rFonts w:ascii="Arial" w:hAnsi="Arial"/>
        <w:b/>
        <w:i w:val="0"/>
        <w:color w:val="FFFFFF"/>
        <w:sz w:val="16"/>
      </w:rPr>
      <w:tblPr/>
      <w:tcPr>
        <w:tcBorders>
          <w:bottom w:val="nil"/>
          <w:insideH w:val="single" w:sz="4" w:space="0" w:color="FFFFFF" w:themeColor="background1"/>
        </w:tcBorders>
        <w:shd w:val="clear" w:color="auto" w:fill="648C1A"/>
      </w:tc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Arial" w:hAnsi="Arial"/>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Arial" w:hAnsi="Arial"/>
      </w:rPr>
    </w:tblStylePr>
    <w:tblStylePr w:type="nwCell">
      <w:rPr>
        <w:rFonts w:ascii="Arial" w:hAnsi="Arial"/>
        <w:b/>
        <w:color w:val="FFFFFF"/>
        <w:sz w:val="16"/>
      </w:rPr>
      <w:tblPr/>
      <w:tcPr>
        <w:tcBorders>
          <w:top w:val="single" w:sz="4" w:space="0" w:color="7AB800"/>
          <w:left w:val="single" w:sz="4" w:space="0" w:color="7AB800"/>
          <w:bottom w:val="single" w:sz="4" w:space="0" w:color="FFFFFF"/>
          <w:right w:val="single" w:sz="4" w:space="0" w:color="7AB800"/>
          <w:insideH w:val="nil"/>
          <w:insideV w:val="nil"/>
          <w:tl2br w:val="nil"/>
          <w:tr2bl w:val="nil"/>
        </w:tcBorders>
      </w:tcPr>
    </w:tblStylePr>
    <w:tblStylePr w:type="seCell">
      <w:rPr>
        <w:rFonts w:ascii="Arial" w:hAnsi="Arial"/>
      </w:rPr>
    </w:tblStylePr>
    <w:tblStylePr w:type="swCell">
      <w:rPr>
        <w:rFonts w:ascii="Arial" w:hAnsi="Arial"/>
      </w:rPr>
      <w:tblPr/>
      <w:tcPr>
        <w:tcBorders>
          <w:top w:val="single" w:sz="4" w:space="0" w:color="FFFFFF"/>
          <w:left w:val="single" w:sz="4" w:space="0" w:color="7AB800"/>
          <w:bottom w:val="single" w:sz="18" w:space="0" w:color="648C1A"/>
          <w:right w:val="single" w:sz="4" w:space="0" w:color="7AB800"/>
          <w:insideH w:val="nil"/>
          <w:insideV w:val="nil"/>
          <w:tl2br w:val="nil"/>
          <w:tr2bl w:val="nil"/>
        </w:tcBorders>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m">
    <w:name w:val="m"/>
    <w:basedOn w:val="Normal"/>
    <w:pPr>
      <w:jc w:val="both"/>
    </w:pPr>
    <w:rPr>
      <w:rFonts w:ascii="Times New Roman" w:hAnsi="Times New Roman" w:cs="Times New Roman"/>
      <w:b/>
      <w:sz w:val="24"/>
      <w:szCs w:val="24"/>
      <w:u w:val="single"/>
    </w:rPr>
  </w:style>
  <w:style w:type="character" w:customStyle="1" w:styleId="Heading1Char">
    <w:name w:val="Heading 1 Char"/>
    <w:basedOn w:val="DefaultParagraphFont"/>
    <w:link w:val="Heading1"/>
    <w:rPr>
      <w:rFonts w:ascii="Times New Roman" w:hAnsi="Times New Roman" w:cs="Times New Roman"/>
      <w:b/>
      <w:sz w:val="24"/>
      <w:szCs w:val="24"/>
    </w:rPr>
  </w:style>
  <w:style w:type="character" w:customStyle="1" w:styleId="Heading2Char">
    <w:name w:val="Heading 2 Char"/>
    <w:basedOn w:val="DefaultParagraphFont"/>
    <w:link w:val="Heading2"/>
    <w:uiPriority w:val="9"/>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itleChar"/>
    <w:link w:val="FooterCoverPage"/>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itleChar"/>
    <w:link w:val="FooterSensitivity"/>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itleChar"/>
    <w:link w:val="HeaderSensitivity"/>
    <w:rPr>
      <w:rFonts w:ascii="Times New Roman" w:eastAsiaTheme="majorEastAsia" w:hAnsi="Times New Roman" w:cs="Times New Roman"/>
      <w:b/>
      <w:spacing w:val="-10"/>
      <w:kern w:val="28"/>
      <w:sz w:val="32"/>
      <w:szCs w:val="56"/>
    </w:rPr>
  </w:style>
  <w:style w:type="table" w:customStyle="1" w:styleId="Tablestylegreen">
    <w:name w:val="Tablestyle_green"/>
    <w:basedOn w:val="TableNormal"/>
    <w:pPr>
      <w:spacing w:before="100" w:beforeAutospacing="1" w:after="100" w:afterAutospacing="1" w:line="283" w:lineRule="atLeast"/>
      <w:contextualSpacing/>
    </w:pPr>
    <w:rPr>
      <w:rFonts w:ascii="Verdana" w:eastAsia="Times New Roman" w:hAnsi="Verdana" w:cs="Times New Roman"/>
      <w:color w:val="000000"/>
      <w:sz w:val="16"/>
      <w:szCs w:val="20"/>
    </w:rPr>
    <w:tblPr>
      <w:tblStyleRowBandSize w:val="1"/>
      <w:tblStyleColBandSize w:val="1"/>
      <w:tblInd w:w="108" w:type="dxa"/>
    </w:tblPr>
    <w:tcPr>
      <w:vAlign w:val="center"/>
    </w:tcPr>
    <w:tblStylePr w:type="firstRow">
      <w:rPr>
        <w:rFonts w:ascii="Cambria" w:hAnsi="Cambria"/>
        <w:b/>
        <w:color w:val="FFFFFF"/>
        <w:sz w:val="16"/>
      </w:rPr>
      <w:tblPr/>
      <w:tcPr>
        <w:tcBorders>
          <w:top w:val="single" w:sz="4" w:space="0" w:color="7AB800"/>
          <w:left w:val="single" w:sz="4" w:space="0" w:color="7AB800"/>
          <w:bottom w:val="single" w:sz="4" w:space="0" w:color="7AB800"/>
          <w:right w:val="single" w:sz="4" w:space="0" w:color="7AB800"/>
          <w:insideH w:val="single" w:sz="4" w:space="0" w:color="7AB800"/>
          <w:insideV w:val="single" w:sz="4" w:space="0" w:color="FFFFFF"/>
          <w:tl2br w:val="nil"/>
          <w:tr2bl w:val="nil"/>
        </w:tcBorders>
        <w:shd w:val="clear" w:color="auto" w:fill="7AB800"/>
      </w:tcPr>
    </w:tblStylePr>
    <w:tblStylePr w:type="lastRow">
      <w:rPr>
        <w:rFonts w:ascii="Cambria" w:hAnsi="Cambria"/>
        <w:sz w:val="16"/>
      </w:rPr>
      <w:tblPr/>
      <w:tcPr>
        <w:tcBorders>
          <w:top w:val="nil"/>
          <w:left w:val="single" w:sz="4" w:space="0" w:color="8B8D8E"/>
          <w:bottom w:val="single" w:sz="18" w:space="0" w:color="7AB800"/>
          <w:right w:val="single" w:sz="4" w:space="0" w:color="8B8D8E"/>
          <w:insideH w:val="nil"/>
          <w:insideV w:val="single" w:sz="4" w:space="0" w:color="8B8D8E"/>
          <w:tl2br w:val="nil"/>
          <w:tr2bl w:val="nil"/>
        </w:tcBorders>
      </w:tcPr>
    </w:tblStylePr>
    <w:tblStylePr w:type="firstCol">
      <w:rPr>
        <w:rFonts w:ascii="Cambria" w:hAnsi="Cambria"/>
        <w:sz w:val="16"/>
      </w:rPr>
    </w:tblStylePr>
    <w:tblStylePr w:type="lastCol">
      <w:rPr>
        <w:rFonts w:ascii="Cambria" w:hAnsi="Cambria"/>
        <w:sz w:val="16"/>
      </w:rPr>
    </w:tblStylePr>
    <w:tblStylePr w:type="band1Vert">
      <w:rPr>
        <w:rFonts w:ascii="Cambria" w:hAnsi="Cambria"/>
        <w:sz w:val="16"/>
      </w:rPr>
    </w:tblStylePr>
    <w:tblStylePr w:type="band2Vert">
      <w:rPr>
        <w:rFonts w:ascii="Cambria" w:hAnsi="Cambria"/>
        <w:sz w:val="16"/>
      </w:rPr>
    </w:tblStylePr>
    <w:tblStylePr w:type="band1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band2Horz">
      <w:rPr>
        <w:rFonts w:ascii="Cambria" w:hAnsi="Cambria"/>
        <w:sz w:val="16"/>
      </w:rPr>
      <w:tblPr/>
      <w:tcPr>
        <w:tcBorders>
          <w:top w:val="nil"/>
          <w:left w:val="single" w:sz="4" w:space="0" w:color="8B8D8E"/>
          <w:bottom w:val="single" w:sz="4" w:space="0" w:color="8B8D8E"/>
          <w:right w:val="single" w:sz="4" w:space="0" w:color="8B8D8E"/>
          <w:insideH w:val="nil"/>
          <w:insideV w:val="single" w:sz="4" w:space="0" w:color="8B8D8E"/>
          <w:tl2br w:val="nil"/>
          <w:tr2bl w:val="nil"/>
        </w:tcBorders>
      </w:tcPr>
    </w:tblStylePr>
    <w:tblStylePr w:type="neCell">
      <w:rPr>
        <w:rFonts w:ascii="Cambria" w:hAnsi="Cambria"/>
        <w:sz w:val="16"/>
      </w:rPr>
    </w:tblStylePr>
    <w:tblStylePr w:type="nwCell">
      <w:rPr>
        <w:rFonts w:ascii="Cambria" w:hAnsi="Cambria"/>
        <w:sz w:val="16"/>
      </w:rPr>
    </w:tblStylePr>
    <w:tblStylePr w:type="seCell">
      <w:rPr>
        <w:rFonts w:ascii="Cambria" w:hAnsi="Cambria"/>
        <w:sz w:val="16"/>
      </w:rPr>
    </w:tblStylePr>
    <w:tblStylePr w:type="swCell">
      <w:rPr>
        <w:rFonts w:ascii="Cambria" w:hAnsi="Cambria"/>
        <w:sz w:val="16"/>
      </w:rPr>
    </w:tblStylePr>
  </w:style>
  <w:style w:type="paragraph" w:styleId="NoSpacing">
    <w:name w:val="No Spacing"/>
    <w:uiPriority w:val="1"/>
    <w:qFormat/>
    <w:pPr>
      <w:spacing w:after="0" w:line="240" w:lineRule="auto"/>
    </w:pPr>
  </w:style>
  <w:style w:type="paragraph" w:styleId="PlainText">
    <w:name w:val="Plain Text"/>
    <w:basedOn w:val="Normal"/>
    <w:link w:val="PlainTextChar"/>
    <w:uiPriority w:val="99"/>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rPr>
      <w:rFonts w:ascii="Calibri" w:hAnsi="Calibri" w:cs="Calibri"/>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645">
      <w:bodyDiv w:val="1"/>
      <w:marLeft w:val="0"/>
      <w:marRight w:val="0"/>
      <w:marTop w:val="0"/>
      <w:marBottom w:val="0"/>
      <w:divBdr>
        <w:top w:val="none" w:sz="0" w:space="0" w:color="auto"/>
        <w:left w:val="none" w:sz="0" w:space="0" w:color="auto"/>
        <w:bottom w:val="none" w:sz="0" w:space="0" w:color="auto"/>
        <w:right w:val="none" w:sz="0" w:space="0" w:color="auto"/>
      </w:divBdr>
    </w:div>
    <w:div w:id="164974368">
      <w:bodyDiv w:val="1"/>
      <w:marLeft w:val="0"/>
      <w:marRight w:val="0"/>
      <w:marTop w:val="0"/>
      <w:marBottom w:val="0"/>
      <w:divBdr>
        <w:top w:val="none" w:sz="0" w:space="0" w:color="auto"/>
        <w:left w:val="none" w:sz="0" w:space="0" w:color="auto"/>
        <w:bottom w:val="none" w:sz="0" w:space="0" w:color="auto"/>
        <w:right w:val="none" w:sz="0" w:space="0" w:color="auto"/>
      </w:divBdr>
    </w:div>
    <w:div w:id="225191113">
      <w:bodyDiv w:val="1"/>
      <w:marLeft w:val="0"/>
      <w:marRight w:val="0"/>
      <w:marTop w:val="0"/>
      <w:marBottom w:val="0"/>
      <w:divBdr>
        <w:top w:val="none" w:sz="0" w:space="0" w:color="auto"/>
        <w:left w:val="none" w:sz="0" w:space="0" w:color="auto"/>
        <w:bottom w:val="none" w:sz="0" w:space="0" w:color="auto"/>
        <w:right w:val="none" w:sz="0" w:space="0" w:color="auto"/>
      </w:divBdr>
    </w:div>
    <w:div w:id="320473223">
      <w:bodyDiv w:val="1"/>
      <w:marLeft w:val="0"/>
      <w:marRight w:val="0"/>
      <w:marTop w:val="0"/>
      <w:marBottom w:val="0"/>
      <w:divBdr>
        <w:top w:val="none" w:sz="0" w:space="0" w:color="auto"/>
        <w:left w:val="none" w:sz="0" w:space="0" w:color="auto"/>
        <w:bottom w:val="none" w:sz="0" w:space="0" w:color="auto"/>
        <w:right w:val="none" w:sz="0" w:space="0" w:color="auto"/>
      </w:divBdr>
    </w:div>
    <w:div w:id="394857189">
      <w:bodyDiv w:val="1"/>
      <w:marLeft w:val="0"/>
      <w:marRight w:val="0"/>
      <w:marTop w:val="0"/>
      <w:marBottom w:val="0"/>
      <w:divBdr>
        <w:top w:val="none" w:sz="0" w:space="0" w:color="auto"/>
        <w:left w:val="none" w:sz="0" w:space="0" w:color="auto"/>
        <w:bottom w:val="none" w:sz="0" w:space="0" w:color="auto"/>
        <w:right w:val="none" w:sz="0" w:space="0" w:color="auto"/>
      </w:divBdr>
      <w:divsChild>
        <w:div w:id="902058367">
          <w:marLeft w:val="446"/>
          <w:marRight w:val="0"/>
          <w:marTop w:val="0"/>
          <w:marBottom w:val="0"/>
          <w:divBdr>
            <w:top w:val="none" w:sz="0" w:space="0" w:color="auto"/>
            <w:left w:val="none" w:sz="0" w:space="0" w:color="auto"/>
            <w:bottom w:val="none" w:sz="0" w:space="0" w:color="auto"/>
            <w:right w:val="none" w:sz="0" w:space="0" w:color="auto"/>
          </w:divBdr>
        </w:div>
        <w:div w:id="1232037879">
          <w:marLeft w:val="1166"/>
          <w:marRight w:val="0"/>
          <w:marTop w:val="120"/>
          <w:marBottom w:val="0"/>
          <w:divBdr>
            <w:top w:val="none" w:sz="0" w:space="0" w:color="auto"/>
            <w:left w:val="none" w:sz="0" w:space="0" w:color="auto"/>
            <w:bottom w:val="none" w:sz="0" w:space="0" w:color="auto"/>
            <w:right w:val="none" w:sz="0" w:space="0" w:color="auto"/>
          </w:divBdr>
        </w:div>
        <w:div w:id="1272587569">
          <w:marLeft w:val="1166"/>
          <w:marRight w:val="0"/>
          <w:marTop w:val="120"/>
          <w:marBottom w:val="0"/>
          <w:divBdr>
            <w:top w:val="none" w:sz="0" w:space="0" w:color="auto"/>
            <w:left w:val="none" w:sz="0" w:space="0" w:color="auto"/>
            <w:bottom w:val="none" w:sz="0" w:space="0" w:color="auto"/>
            <w:right w:val="none" w:sz="0" w:space="0" w:color="auto"/>
          </w:divBdr>
        </w:div>
        <w:div w:id="1600016838">
          <w:marLeft w:val="1166"/>
          <w:marRight w:val="0"/>
          <w:marTop w:val="120"/>
          <w:marBottom w:val="0"/>
          <w:divBdr>
            <w:top w:val="none" w:sz="0" w:space="0" w:color="auto"/>
            <w:left w:val="none" w:sz="0" w:space="0" w:color="auto"/>
            <w:bottom w:val="none" w:sz="0" w:space="0" w:color="auto"/>
            <w:right w:val="none" w:sz="0" w:space="0" w:color="auto"/>
          </w:divBdr>
        </w:div>
        <w:div w:id="1443575271">
          <w:marLeft w:val="1166"/>
          <w:marRight w:val="0"/>
          <w:marTop w:val="120"/>
          <w:marBottom w:val="0"/>
          <w:divBdr>
            <w:top w:val="none" w:sz="0" w:space="0" w:color="auto"/>
            <w:left w:val="none" w:sz="0" w:space="0" w:color="auto"/>
            <w:bottom w:val="none" w:sz="0" w:space="0" w:color="auto"/>
            <w:right w:val="none" w:sz="0" w:space="0" w:color="auto"/>
          </w:divBdr>
        </w:div>
        <w:div w:id="2097700191">
          <w:marLeft w:val="446"/>
          <w:marRight w:val="0"/>
          <w:marTop w:val="0"/>
          <w:marBottom w:val="0"/>
          <w:divBdr>
            <w:top w:val="none" w:sz="0" w:space="0" w:color="auto"/>
            <w:left w:val="none" w:sz="0" w:space="0" w:color="auto"/>
            <w:bottom w:val="none" w:sz="0" w:space="0" w:color="auto"/>
            <w:right w:val="none" w:sz="0" w:space="0" w:color="auto"/>
          </w:divBdr>
        </w:div>
        <w:div w:id="346250767">
          <w:marLeft w:val="446"/>
          <w:marRight w:val="0"/>
          <w:marTop w:val="0"/>
          <w:marBottom w:val="0"/>
          <w:divBdr>
            <w:top w:val="none" w:sz="0" w:space="0" w:color="auto"/>
            <w:left w:val="none" w:sz="0" w:space="0" w:color="auto"/>
            <w:bottom w:val="none" w:sz="0" w:space="0" w:color="auto"/>
            <w:right w:val="none" w:sz="0" w:space="0" w:color="auto"/>
          </w:divBdr>
        </w:div>
        <w:div w:id="593049214">
          <w:marLeft w:val="446"/>
          <w:marRight w:val="0"/>
          <w:marTop w:val="0"/>
          <w:marBottom w:val="0"/>
          <w:divBdr>
            <w:top w:val="none" w:sz="0" w:space="0" w:color="auto"/>
            <w:left w:val="none" w:sz="0" w:space="0" w:color="auto"/>
            <w:bottom w:val="none" w:sz="0" w:space="0" w:color="auto"/>
            <w:right w:val="none" w:sz="0" w:space="0" w:color="auto"/>
          </w:divBdr>
        </w:div>
      </w:divsChild>
    </w:div>
    <w:div w:id="461772440">
      <w:bodyDiv w:val="1"/>
      <w:marLeft w:val="0"/>
      <w:marRight w:val="0"/>
      <w:marTop w:val="0"/>
      <w:marBottom w:val="0"/>
      <w:divBdr>
        <w:top w:val="none" w:sz="0" w:space="0" w:color="auto"/>
        <w:left w:val="none" w:sz="0" w:space="0" w:color="auto"/>
        <w:bottom w:val="none" w:sz="0" w:space="0" w:color="auto"/>
        <w:right w:val="none" w:sz="0" w:space="0" w:color="auto"/>
      </w:divBdr>
    </w:div>
    <w:div w:id="657808420">
      <w:bodyDiv w:val="1"/>
      <w:marLeft w:val="0"/>
      <w:marRight w:val="0"/>
      <w:marTop w:val="0"/>
      <w:marBottom w:val="0"/>
      <w:divBdr>
        <w:top w:val="none" w:sz="0" w:space="0" w:color="auto"/>
        <w:left w:val="none" w:sz="0" w:space="0" w:color="auto"/>
        <w:bottom w:val="none" w:sz="0" w:space="0" w:color="auto"/>
        <w:right w:val="none" w:sz="0" w:space="0" w:color="auto"/>
      </w:divBdr>
    </w:div>
    <w:div w:id="790173814">
      <w:bodyDiv w:val="1"/>
      <w:marLeft w:val="0"/>
      <w:marRight w:val="0"/>
      <w:marTop w:val="0"/>
      <w:marBottom w:val="0"/>
      <w:divBdr>
        <w:top w:val="none" w:sz="0" w:space="0" w:color="auto"/>
        <w:left w:val="none" w:sz="0" w:space="0" w:color="auto"/>
        <w:bottom w:val="none" w:sz="0" w:space="0" w:color="auto"/>
        <w:right w:val="none" w:sz="0" w:space="0" w:color="auto"/>
      </w:divBdr>
      <w:divsChild>
        <w:div w:id="105933229">
          <w:marLeft w:val="0"/>
          <w:marRight w:val="0"/>
          <w:marTop w:val="0"/>
          <w:marBottom w:val="0"/>
          <w:divBdr>
            <w:top w:val="none" w:sz="0" w:space="0" w:color="auto"/>
            <w:left w:val="none" w:sz="0" w:space="0" w:color="auto"/>
            <w:bottom w:val="none" w:sz="0" w:space="0" w:color="auto"/>
            <w:right w:val="none" w:sz="0" w:space="0" w:color="auto"/>
          </w:divBdr>
        </w:div>
        <w:div w:id="723679239">
          <w:marLeft w:val="0"/>
          <w:marRight w:val="0"/>
          <w:marTop w:val="0"/>
          <w:marBottom w:val="0"/>
          <w:divBdr>
            <w:top w:val="none" w:sz="0" w:space="0" w:color="auto"/>
            <w:left w:val="none" w:sz="0" w:space="0" w:color="auto"/>
            <w:bottom w:val="none" w:sz="0" w:space="0" w:color="auto"/>
            <w:right w:val="none" w:sz="0" w:space="0" w:color="auto"/>
          </w:divBdr>
        </w:div>
        <w:div w:id="1353192411">
          <w:marLeft w:val="0"/>
          <w:marRight w:val="0"/>
          <w:marTop w:val="0"/>
          <w:marBottom w:val="0"/>
          <w:divBdr>
            <w:top w:val="none" w:sz="0" w:space="0" w:color="auto"/>
            <w:left w:val="none" w:sz="0" w:space="0" w:color="auto"/>
            <w:bottom w:val="none" w:sz="0" w:space="0" w:color="auto"/>
            <w:right w:val="none" w:sz="0" w:space="0" w:color="auto"/>
          </w:divBdr>
        </w:div>
        <w:div w:id="1339038297">
          <w:marLeft w:val="0"/>
          <w:marRight w:val="0"/>
          <w:marTop w:val="0"/>
          <w:marBottom w:val="0"/>
          <w:divBdr>
            <w:top w:val="none" w:sz="0" w:space="0" w:color="auto"/>
            <w:left w:val="none" w:sz="0" w:space="0" w:color="auto"/>
            <w:bottom w:val="none" w:sz="0" w:space="0" w:color="auto"/>
            <w:right w:val="none" w:sz="0" w:space="0" w:color="auto"/>
          </w:divBdr>
        </w:div>
        <w:div w:id="1463038868">
          <w:marLeft w:val="0"/>
          <w:marRight w:val="0"/>
          <w:marTop w:val="0"/>
          <w:marBottom w:val="0"/>
          <w:divBdr>
            <w:top w:val="none" w:sz="0" w:space="0" w:color="auto"/>
            <w:left w:val="none" w:sz="0" w:space="0" w:color="auto"/>
            <w:bottom w:val="none" w:sz="0" w:space="0" w:color="auto"/>
            <w:right w:val="none" w:sz="0" w:space="0" w:color="auto"/>
          </w:divBdr>
        </w:div>
        <w:div w:id="1090080788">
          <w:marLeft w:val="0"/>
          <w:marRight w:val="0"/>
          <w:marTop w:val="0"/>
          <w:marBottom w:val="0"/>
          <w:divBdr>
            <w:top w:val="none" w:sz="0" w:space="0" w:color="auto"/>
            <w:left w:val="none" w:sz="0" w:space="0" w:color="auto"/>
            <w:bottom w:val="none" w:sz="0" w:space="0" w:color="auto"/>
            <w:right w:val="none" w:sz="0" w:space="0" w:color="auto"/>
          </w:divBdr>
        </w:div>
      </w:divsChild>
    </w:div>
    <w:div w:id="870532033">
      <w:bodyDiv w:val="1"/>
      <w:marLeft w:val="0"/>
      <w:marRight w:val="0"/>
      <w:marTop w:val="0"/>
      <w:marBottom w:val="0"/>
      <w:divBdr>
        <w:top w:val="none" w:sz="0" w:space="0" w:color="auto"/>
        <w:left w:val="none" w:sz="0" w:space="0" w:color="auto"/>
        <w:bottom w:val="none" w:sz="0" w:space="0" w:color="auto"/>
        <w:right w:val="none" w:sz="0" w:space="0" w:color="auto"/>
      </w:divBdr>
    </w:div>
    <w:div w:id="892428815">
      <w:bodyDiv w:val="1"/>
      <w:marLeft w:val="0"/>
      <w:marRight w:val="0"/>
      <w:marTop w:val="0"/>
      <w:marBottom w:val="0"/>
      <w:divBdr>
        <w:top w:val="none" w:sz="0" w:space="0" w:color="auto"/>
        <w:left w:val="none" w:sz="0" w:space="0" w:color="auto"/>
        <w:bottom w:val="none" w:sz="0" w:space="0" w:color="auto"/>
        <w:right w:val="none" w:sz="0" w:space="0" w:color="auto"/>
      </w:divBdr>
    </w:div>
    <w:div w:id="902184038">
      <w:bodyDiv w:val="1"/>
      <w:marLeft w:val="0"/>
      <w:marRight w:val="0"/>
      <w:marTop w:val="0"/>
      <w:marBottom w:val="0"/>
      <w:divBdr>
        <w:top w:val="none" w:sz="0" w:space="0" w:color="auto"/>
        <w:left w:val="none" w:sz="0" w:space="0" w:color="auto"/>
        <w:bottom w:val="none" w:sz="0" w:space="0" w:color="auto"/>
        <w:right w:val="none" w:sz="0" w:space="0" w:color="auto"/>
      </w:divBdr>
    </w:div>
    <w:div w:id="1181815246">
      <w:bodyDiv w:val="1"/>
      <w:marLeft w:val="0"/>
      <w:marRight w:val="0"/>
      <w:marTop w:val="0"/>
      <w:marBottom w:val="0"/>
      <w:divBdr>
        <w:top w:val="none" w:sz="0" w:space="0" w:color="auto"/>
        <w:left w:val="none" w:sz="0" w:space="0" w:color="auto"/>
        <w:bottom w:val="none" w:sz="0" w:space="0" w:color="auto"/>
        <w:right w:val="none" w:sz="0" w:space="0" w:color="auto"/>
      </w:divBdr>
    </w:div>
    <w:div w:id="1253509040">
      <w:bodyDiv w:val="1"/>
      <w:marLeft w:val="0"/>
      <w:marRight w:val="0"/>
      <w:marTop w:val="0"/>
      <w:marBottom w:val="0"/>
      <w:divBdr>
        <w:top w:val="none" w:sz="0" w:space="0" w:color="auto"/>
        <w:left w:val="none" w:sz="0" w:space="0" w:color="auto"/>
        <w:bottom w:val="none" w:sz="0" w:space="0" w:color="auto"/>
        <w:right w:val="none" w:sz="0" w:space="0" w:color="auto"/>
      </w:divBdr>
    </w:div>
    <w:div w:id="1385910443">
      <w:bodyDiv w:val="1"/>
      <w:marLeft w:val="0"/>
      <w:marRight w:val="0"/>
      <w:marTop w:val="0"/>
      <w:marBottom w:val="0"/>
      <w:divBdr>
        <w:top w:val="none" w:sz="0" w:space="0" w:color="auto"/>
        <w:left w:val="none" w:sz="0" w:space="0" w:color="auto"/>
        <w:bottom w:val="none" w:sz="0" w:space="0" w:color="auto"/>
        <w:right w:val="none" w:sz="0" w:space="0" w:color="auto"/>
      </w:divBdr>
    </w:div>
    <w:div w:id="1740126237">
      <w:bodyDiv w:val="1"/>
      <w:marLeft w:val="0"/>
      <w:marRight w:val="0"/>
      <w:marTop w:val="0"/>
      <w:marBottom w:val="0"/>
      <w:divBdr>
        <w:top w:val="none" w:sz="0" w:space="0" w:color="auto"/>
        <w:left w:val="none" w:sz="0" w:space="0" w:color="auto"/>
        <w:bottom w:val="none" w:sz="0" w:space="0" w:color="auto"/>
        <w:right w:val="none" w:sz="0" w:space="0" w:color="auto"/>
      </w:divBdr>
    </w:div>
    <w:div w:id="1965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ergy/en/topics/renewable-energy/national-action-plans" TargetMode="External"/><Relationship Id="rId13" Type="http://schemas.openxmlformats.org/officeDocument/2006/relationships/hyperlink" Target="https://ec.europa.eu/energy/en/topics/renewable-energy/biofuels/voluntary-schemes" TargetMode="External"/><Relationship Id="rId3" Type="http://schemas.openxmlformats.org/officeDocument/2006/relationships/hyperlink" Target="https://www.eea.europa.eu/publications/renewable-energy-in-europe-2018/" TargetMode="External"/><Relationship Id="rId7" Type="http://schemas.openxmlformats.org/officeDocument/2006/relationships/hyperlink" Target="https://ec.europa.eu/energy/en/topics/renewable-energy/progress-reports" TargetMode="External"/><Relationship Id="rId12" Type="http://schemas.openxmlformats.org/officeDocument/2006/relationships/hyperlink" Target="https://ec.europa.eu/energy/sites/ener/files/documents/technical_assistance_in_realisation_of_the_4th_report_on_progress_of_renewable_energy_in_the_eu-final_report.pdf" TargetMode="External"/><Relationship Id="rId2" Type="http://schemas.openxmlformats.org/officeDocument/2006/relationships/hyperlink" Target="https://www.eea.europa.eu/publications/renewable-energy-in-europe-2018" TargetMode="External"/><Relationship Id="rId1" Type="http://schemas.openxmlformats.org/officeDocument/2006/relationships/hyperlink" Target="https://ec.europa.eu/energy/en/topics/energy-strategy-and-energy-union/clean-energy-all-europeans" TargetMode="External"/><Relationship Id="rId6" Type="http://schemas.openxmlformats.org/officeDocument/2006/relationships/hyperlink" Target="https://ec.europa.eu/energy/en/topics/technology-and-innovation/strategic-energy-technology-plan" TargetMode="External"/><Relationship Id="rId11" Type="http://schemas.openxmlformats.org/officeDocument/2006/relationships/hyperlink" Target="https://green-x.at/" TargetMode="External"/><Relationship Id="rId5" Type="http://schemas.openxmlformats.org/officeDocument/2006/relationships/hyperlink" Target="https://irena.org/publications/2019/Feb/Innovation-landscape-for-a-renewable-powered-future" TargetMode="External"/><Relationship Id="rId10" Type="http://schemas.openxmlformats.org/officeDocument/2006/relationships/hyperlink" Target="https://ec.europa.eu/energy/sites/ener/files/documents/technical_assistance_in_realisation_of_the_4th_report_on_progress_of_renewable_energy_in_the_eu-final_report.pdf" TargetMode="External"/><Relationship Id="rId4" Type="http://schemas.openxmlformats.org/officeDocument/2006/relationships/hyperlink" Target="http://publications.jrc.ec.europa.eu/repository/handle/JRC105642" TargetMode="External"/><Relationship Id="rId9" Type="http://schemas.openxmlformats.org/officeDocument/2006/relationships/hyperlink" Target="https://ec.europa.eu/energy/en/topics/renewable-energy/progress-reports"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01b05e8-1b4f-451b-82dc-925fd82222d6" xsi:nil="true"/>
    <EC_Collab_Status xmlns="201b05e8-1b4f-451b-82dc-925fd82222d6">Not Started</EC_Collab_Status>
    <EC_Collab_DocumentLanguage xmlns="201b05e8-1b4f-451b-82dc-925fd82222d6">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84F0F68B67CF1945B8B4A078243B88F3" ma:contentTypeVersion="1" ma:contentTypeDescription="Create a new document in this library." ma:contentTypeScope="" ma:versionID="37c2f5fd27b3e91ad37b4e6c7f736fd8">
  <xsd:schema xmlns:xsd="http://www.w3.org/2001/XMLSchema" xmlns:xs="http://www.w3.org/2001/XMLSchema" xmlns:p="http://schemas.microsoft.com/office/2006/metadata/properties" xmlns:ns3="201b05e8-1b4f-451b-82dc-925fd82222d6" targetNamespace="http://schemas.microsoft.com/office/2006/metadata/properties" ma:root="true" ma:fieldsID="16ef9ff56465373dd39a16ec5d63ee94" ns3:_="">
    <xsd:import namespace="201b05e8-1b4f-451b-82dc-925fd82222d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b05e8-1b4f-451b-82dc-925fd82222d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13D722-B8B6-49F5-8C14-46C143A28125}">
  <ds:schemaRefs>
    <ds:schemaRef ds:uri="http://schemas.microsoft.com/sharepoint/v3/contenttype/forms"/>
  </ds:schemaRefs>
</ds:datastoreItem>
</file>

<file path=customXml/itemProps2.xml><?xml version="1.0" encoding="utf-8"?>
<ds:datastoreItem xmlns:ds="http://schemas.openxmlformats.org/officeDocument/2006/customXml" ds:itemID="{BCF53A68-698E-46B4-9BA1-4254F2386410}">
  <ds:schemaRefs>
    <ds:schemaRef ds:uri="http://purl.org/dc/terms/"/>
    <ds:schemaRef ds:uri="http://schemas.openxmlformats.org/package/2006/metadata/core-properties"/>
    <ds:schemaRef ds:uri="201b05e8-1b4f-451b-82dc-925fd82222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DE0A63-2D4F-4242-96BD-7AE45F24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b05e8-1b4f-451b-82dc-925fd8222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F202A-828D-4980-8CCD-50FBD72F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6205</Words>
  <Characters>33694</Characters>
  <Application>Microsoft Office Word</Application>
  <DocSecurity>0</DocSecurity>
  <Lines>991</Lines>
  <Paragraphs>569</Paragraphs>
  <ScaleCrop>false</ScaleCrop>
  <HeadingPairs>
    <vt:vector size="2" baseType="variant">
      <vt:variant>
        <vt:lpstr>Title</vt:lpstr>
      </vt:variant>
      <vt:variant>
        <vt:i4>1</vt:i4>
      </vt:variant>
    </vt:vector>
  </HeadingPairs>
  <TitlesOfParts>
    <vt:vector size="1" baseType="lpstr">
      <vt:lpstr>RES progress report</vt:lpstr>
    </vt:vector>
  </TitlesOfParts>
  <Manager/>
  <Company/>
  <LinksUpToDate>false</LinksUpToDate>
  <CharactersWithSpaces>39330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progress report</dc:title>
  <dc:creator/>
  <cp:lastModifiedBy>KITRIMI Efstathia (SG)</cp:lastModifiedBy>
  <cp:revision>29</cp:revision>
  <cp:lastPrinted>2019-03-13T15:57:00Z</cp:lastPrinted>
  <dcterms:created xsi:type="dcterms:W3CDTF">2019-03-28T10:38:00Z</dcterms:created>
  <dcterms:modified xsi:type="dcterms:W3CDTF">2019-04-08T08:37:00Z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0x010100258AA79CEB83498886A3A086811232500084F0F68B67CF1945B8B4A078243B88F3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y fmtid="{D5CDD505-2E9C-101B-9397-08002B2CF9AE}" pid="8" name="Last edited using">
    <vt:lpwstr>LW 6.0.1, Build 20180503</vt:lpwstr>
  </property>
</Properties>
</file>