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0C" w:rsidRDefault="00907F5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B96B002-5211-4E95-BF61-DC45DE1B2E74" style="width:450.6pt;height:321pt">
            <v:imagedata r:id="rId11" o:title=""/>
          </v:shape>
        </w:pict>
      </w:r>
    </w:p>
    <w:bookmarkEnd w:id="0"/>
    <w:p w:rsidR="00063A0C" w:rsidRDefault="00063A0C">
      <w:pPr>
        <w:rPr>
          <w:noProof/>
        </w:rPr>
        <w:sectPr w:rsidR="00063A0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063A0C" w:rsidRDefault="00063A0C">
      <w:pPr>
        <w:rPr>
          <w:noProof/>
        </w:rPr>
      </w:pPr>
      <w:bookmarkStart w:id="1" w:name="_GoBack"/>
      <w:bookmarkEnd w:id="1"/>
    </w:p>
    <w:p w:rsidR="00063A0C" w:rsidRDefault="00907F5B">
      <w:pPr>
        <w:pStyle w:val="Heading1"/>
        <w:rPr>
          <w:noProof/>
        </w:rPr>
      </w:pPr>
      <w:bookmarkStart w:id="2" w:name="_Toc1149217"/>
      <w:r>
        <w:rPr>
          <w:noProof/>
        </w:rPr>
        <w:t>1. JOHDANTO</w:t>
      </w:r>
      <w:bookmarkEnd w:id="2"/>
    </w:p>
    <w:p w:rsidR="00063A0C" w:rsidRDefault="00907F5B">
      <w:pPr>
        <w:jc w:val="both"/>
        <w:rPr>
          <w:rFonts w:ascii="Times New Roman" w:hAnsi="Times New Roman" w:cs="Times New Roman"/>
          <w:noProof/>
          <w:sz w:val="24"/>
          <w:szCs w:val="24"/>
        </w:rPr>
      </w:pPr>
      <w:r>
        <w:rPr>
          <w:rFonts w:ascii="Times New Roman" w:hAnsi="Times New Roman"/>
          <w:noProof/>
          <w:sz w:val="24"/>
        </w:rPr>
        <w:t>Uusiutuvien energialähteiden käytön edistämisestä annettu direktiivi (EU) 2018/2001</w:t>
      </w:r>
      <w:r>
        <w:rPr>
          <w:noProof/>
        </w:rPr>
        <w:t xml:space="preserve"> </w:t>
      </w:r>
      <w:r>
        <w:rPr>
          <w:rFonts w:ascii="Times New Roman" w:hAnsi="Times New Roman"/>
          <w:noProof/>
          <w:sz w:val="24"/>
        </w:rPr>
        <w:t xml:space="preserve">(RED II </w:t>
      </w:r>
      <w:r>
        <w:rPr>
          <w:noProof/>
        </w:rPr>
        <w:noBreakHyphen/>
      </w:r>
      <w:r>
        <w:rPr>
          <w:rFonts w:ascii="Times New Roman" w:hAnsi="Times New Roman"/>
          <w:noProof/>
          <w:sz w:val="24"/>
        </w:rPr>
        <w:t>direktiivi) tuli voimaan 24. joulukuuta 2018. Sen myötä otettiin käyttöön uusi tulevaisuuden vaatimukset täyttävä kehys, jolla pyritään saavuttamaan unionin sitova tavoite eli uusiutuvan energian osuuden nostaminen vähintään 32 prosenttiin energian kokonai</w:t>
      </w:r>
      <w:r>
        <w:rPr>
          <w:rFonts w:ascii="Times New Roman" w:hAnsi="Times New Roman"/>
          <w:noProof/>
          <w:sz w:val="24"/>
        </w:rPr>
        <w:t>sloppukulutuksesta vuoteen 2030 mennessä. Tämä kehys rakentuu nykyisen direktiivin puitteissa saavutetulle edistykselle, josta esimerkkinä on jäsenvaltioiden velvoite säilyttää vuoden 2020 tavoitteet perustasona jäsenvaltioiden kehityspoluille tulevana vuo</w:t>
      </w:r>
      <w:r>
        <w:rPr>
          <w:rFonts w:ascii="Times New Roman" w:hAnsi="Times New Roman"/>
          <w:noProof/>
          <w:sz w:val="24"/>
        </w:rPr>
        <w:t xml:space="preserve">sikymmenenä. Kehystä täydentävät ”Puhdasta energiaa kaikille eurooppalaisille” </w:t>
      </w:r>
      <w:r>
        <w:rPr>
          <w:noProof/>
        </w:rPr>
        <w:noBreakHyphen/>
      </w:r>
      <w:r>
        <w:rPr>
          <w:rFonts w:ascii="Times New Roman" w:hAnsi="Times New Roman"/>
          <w:noProof/>
          <w:sz w:val="24"/>
        </w:rPr>
        <w:t>säädöspaketin</w:t>
      </w:r>
      <w:r>
        <w:rPr>
          <w:rStyle w:val="FootnoteReference"/>
          <w:rFonts w:ascii="Times New Roman" w:hAnsi="Times New Roman"/>
          <w:noProof/>
          <w:sz w:val="24"/>
        </w:rPr>
        <w:footnoteReference w:id="2"/>
      </w:r>
      <w:r>
        <w:rPr>
          <w:rFonts w:ascii="Times New Roman" w:hAnsi="Times New Roman"/>
          <w:noProof/>
          <w:sz w:val="24"/>
        </w:rPr>
        <w:t xml:space="preserve"> muut osat.</w:t>
      </w:r>
    </w:p>
    <w:p w:rsidR="00063A0C" w:rsidRDefault="00907F5B">
      <w:pPr>
        <w:jc w:val="both"/>
        <w:rPr>
          <w:rFonts w:ascii="Times New Roman" w:hAnsi="Times New Roman" w:cs="Times New Roman"/>
          <w:noProof/>
          <w:sz w:val="24"/>
          <w:szCs w:val="24"/>
        </w:rPr>
      </w:pPr>
      <w:r>
        <w:rPr>
          <w:rFonts w:ascii="Times New Roman" w:hAnsi="Times New Roman"/>
          <w:noProof/>
          <w:sz w:val="24"/>
        </w:rPr>
        <w:t>Uusiutuva energia on energiaunionin painopisteiden ytimessä. Uusiutuvista lähteistä peräisin olevan energian käytön edistämisestä annettu direktiivi 2</w:t>
      </w:r>
      <w:r>
        <w:rPr>
          <w:rFonts w:ascii="Times New Roman" w:hAnsi="Times New Roman"/>
          <w:noProof/>
          <w:sz w:val="24"/>
        </w:rPr>
        <w:t>009/28/EY</w:t>
      </w:r>
      <w:r>
        <w:rPr>
          <w:rStyle w:val="FootnoteReference"/>
          <w:rFonts w:ascii="Times New Roman" w:hAnsi="Times New Roman"/>
          <w:noProof/>
          <w:sz w:val="24"/>
        </w:rPr>
        <w:footnoteReference w:id="3"/>
      </w:r>
      <w:r>
        <w:rPr>
          <w:rFonts w:ascii="Times New Roman" w:hAnsi="Times New Roman"/>
          <w:noProof/>
          <w:sz w:val="24"/>
        </w:rPr>
        <w:t xml:space="preserve"> (RED I </w:t>
      </w:r>
      <w:r>
        <w:rPr>
          <w:noProof/>
        </w:rPr>
        <w:noBreakHyphen/>
      </w:r>
      <w:r>
        <w:rPr>
          <w:rFonts w:ascii="Times New Roman" w:hAnsi="Times New Roman"/>
          <w:noProof/>
          <w:sz w:val="24"/>
        </w:rPr>
        <w:t xml:space="preserve">direktiivi) on keskeinen osa energiaunionia koskevassa politiikassa sekä merkittävä tekijä vuodelle 2020 asetettujen uusiutuvaa energiaa koskevien tavoitteiden saavuttamisessa.  </w:t>
      </w:r>
    </w:p>
    <w:p w:rsidR="00063A0C" w:rsidRDefault="00907F5B">
      <w:pPr>
        <w:jc w:val="both"/>
        <w:rPr>
          <w:rFonts w:ascii="Calibri" w:hAnsi="Calibri" w:cs="Calibri"/>
          <w:noProof/>
          <w:color w:val="333333"/>
          <w:sz w:val="26"/>
          <w:szCs w:val="26"/>
        </w:rPr>
      </w:pPr>
      <w:r>
        <w:rPr>
          <w:rFonts w:ascii="Times New Roman" w:hAnsi="Times New Roman"/>
          <w:noProof/>
          <w:sz w:val="24"/>
        </w:rPr>
        <w:t>Euroopan unionin poliittisena painopisteenä on maailmanlaa</w:t>
      </w:r>
      <w:r>
        <w:rPr>
          <w:rFonts w:ascii="Times New Roman" w:hAnsi="Times New Roman"/>
          <w:noProof/>
          <w:sz w:val="24"/>
        </w:rPr>
        <w:t xml:space="preserve">juisen johtoaseman saavuttaminen uusiutuvien energialähteiden alalla. Tämän tueksi uusiutuvat energialähteet ovat mukana energiaunionin kaikissa viidessä ulottuvuudessa. </w:t>
      </w:r>
      <w:r>
        <w:rPr>
          <w:rFonts w:ascii="Times New Roman" w:hAnsi="Times New Roman"/>
          <w:i/>
          <w:noProof/>
          <w:sz w:val="24"/>
        </w:rPr>
        <w:t>Energiavarmuuden</w:t>
      </w:r>
      <w:r>
        <w:rPr>
          <w:rFonts w:ascii="Times New Roman" w:hAnsi="Times New Roman"/>
          <w:noProof/>
          <w:sz w:val="24"/>
        </w:rPr>
        <w:t xml:space="preserve"> osalta uusiutuvat energialähteet vähentävät riippuvuutta fossiilisten</w:t>
      </w:r>
      <w:r>
        <w:rPr>
          <w:rFonts w:ascii="Times New Roman" w:hAnsi="Times New Roman"/>
          <w:noProof/>
          <w:sz w:val="24"/>
        </w:rPr>
        <w:t xml:space="preserve"> polttoaineiden tuonnista. On arvioitu, että uusiutuvan energian käytön kasvu verrattuna vuoden 2005 kulutukseen sai aikaan sen, että EU pystyi leikkaamaan fossiilisten polttoaineiden kysyntää 143 miljoonalla öljyekvivalenttitonnilla (Mtoe) vuonna 2016</w:t>
      </w:r>
      <w:r>
        <w:rPr>
          <w:rStyle w:val="FootnoteReference"/>
          <w:rFonts w:ascii="Times New Roman" w:hAnsi="Times New Roman"/>
          <w:noProof/>
          <w:sz w:val="24"/>
        </w:rPr>
        <w:footnoteReference w:id="4"/>
      </w:r>
      <w:r>
        <w:rPr>
          <w:rFonts w:ascii="Times New Roman" w:hAnsi="Times New Roman"/>
          <w:noProof/>
          <w:sz w:val="24"/>
        </w:rPr>
        <w:t xml:space="preserve"> (m</w:t>
      </w:r>
      <w:r>
        <w:rPr>
          <w:rFonts w:ascii="Times New Roman" w:hAnsi="Times New Roman"/>
          <w:noProof/>
          <w:sz w:val="24"/>
        </w:rPr>
        <w:t xml:space="preserve">ikä vastaa noin 12:ta prosenttia fossiilisten polttoaineiden yhteenlasketusta primäärikulutuksesta). Vastaavasti Euroopan riippuvuus tuontienergiasta ja etenkin tuontiöljystä ja </w:t>
      </w:r>
      <w:r>
        <w:rPr>
          <w:noProof/>
        </w:rPr>
        <w:noBreakHyphen/>
      </w:r>
      <w:r>
        <w:rPr>
          <w:rFonts w:ascii="Times New Roman" w:hAnsi="Times New Roman"/>
          <w:noProof/>
          <w:sz w:val="24"/>
        </w:rPr>
        <w:t>kaasusta laskee nykyisestä 55 prosentista 20 prosenttiin vuonna 2050, koska p</w:t>
      </w:r>
      <w:r>
        <w:rPr>
          <w:rFonts w:ascii="Times New Roman" w:hAnsi="Times New Roman"/>
          <w:noProof/>
          <w:sz w:val="24"/>
        </w:rPr>
        <w:t>rimäärienergia tulee suurelta osin olemaan peräisin uusiutuvista energialähteistä</w:t>
      </w:r>
      <w:r>
        <w:rPr>
          <w:rStyle w:val="FootnoteReference"/>
          <w:rFonts w:ascii="Times New Roman" w:hAnsi="Times New Roman"/>
          <w:noProof/>
          <w:sz w:val="24"/>
        </w:rPr>
        <w:footnoteReference w:id="5"/>
      </w:r>
      <w:r>
        <w:rPr>
          <w:rFonts w:ascii="Times New Roman" w:hAnsi="Times New Roman"/>
          <w:noProof/>
          <w:sz w:val="24"/>
        </w:rPr>
        <w:t xml:space="preserve">. </w:t>
      </w:r>
      <w:r>
        <w:rPr>
          <w:rFonts w:ascii="Times New Roman" w:hAnsi="Times New Roman"/>
          <w:i/>
          <w:noProof/>
          <w:sz w:val="24"/>
        </w:rPr>
        <w:t>Energian sisämarkkinoiden</w:t>
      </w:r>
      <w:r>
        <w:rPr>
          <w:rFonts w:ascii="Times New Roman" w:hAnsi="Times New Roman"/>
          <w:noProof/>
          <w:sz w:val="24"/>
        </w:rPr>
        <w:t xml:space="preserve"> osalta uusiutuvilla energialähteillä on kasvava merkitys etenkin sähkömarkkinoilla: lähes kolmannes (30,8 prosenttia) sähkön bruttotuotannosta EU-28:ssa vuonna 2017 oli peräisin uusiutuvista energialähteistä</w:t>
      </w:r>
      <w:r>
        <w:rPr>
          <w:rStyle w:val="FootnoteReference"/>
          <w:rFonts w:ascii="Times New Roman" w:hAnsi="Times New Roman"/>
          <w:noProof/>
          <w:sz w:val="24"/>
        </w:rPr>
        <w:footnoteReference w:id="6"/>
      </w:r>
      <w:r>
        <w:rPr>
          <w:rFonts w:ascii="Times New Roman" w:hAnsi="Times New Roman"/>
          <w:noProof/>
          <w:sz w:val="24"/>
        </w:rPr>
        <w:t xml:space="preserve">. </w:t>
      </w:r>
    </w:p>
    <w:p w:rsidR="00063A0C" w:rsidRDefault="00907F5B">
      <w:pPr>
        <w:jc w:val="both"/>
        <w:rPr>
          <w:rFonts w:ascii="Times New Roman" w:hAnsi="Times New Roman" w:cs="Times New Roman"/>
          <w:noProof/>
          <w:sz w:val="24"/>
          <w:szCs w:val="24"/>
        </w:rPr>
      </w:pPr>
      <w:r>
        <w:rPr>
          <w:rFonts w:ascii="Times New Roman" w:hAnsi="Times New Roman"/>
          <w:noProof/>
          <w:sz w:val="24"/>
        </w:rPr>
        <w:t>Myös uusiutuvien kaasujen merkitys on kasvan</w:t>
      </w:r>
      <w:r>
        <w:rPr>
          <w:rFonts w:ascii="Times New Roman" w:hAnsi="Times New Roman"/>
          <w:noProof/>
          <w:sz w:val="24"/>
        </w:rPr>
        <w:t>ut. Esimerkiksi Tanskassa biokaasun osuus kaasun kokonaiskulutuksesta heinäkuussa 2018 oli 18,6 prosenttia, mikä tarkoittaa 50 prosentin kasvua vuoden takaiseen tilanteeseen verrattuna</w:t>
      </w:r>
      <w:r>
        <w:rPr>
          <w:rStyle w:val="FootnoteReference"/>
          <w:rFonts w:ascii="Times New Roman" w:hAnsi="Times New Roman"/>
          <w:noProof/>
          <w:sz w:val="24"/>
        </w:rPr>
        <w:footnoteReference w:id="7"/>
      </w:r>
      <w:r>
        <w:rPr>
          <w:rFonts w:ascii="Times New Roman" w:hAnsi="Times New Roman"/>
          <w:noProof/>
          <w:sz w:val="24"/>
        </w:rPr>
        <w:t xml:space="preserve">. </w:t>
      </w:r>
      <w:r>
        <w:rPr>
          <w:rFonts w:ascii="Times New Roman" w:hAnsi="Times New Roman"/>
          <w:i/>
          <w:noProof/>
          <w:sz w:val="24"/>
        </w:rPr>
        <w:t>Energiatehokkuuden</w:t>
      </w:r>
      <w:r>
        <w:rPr>
          <w:rFonts w:ascii="Times New Roman" w:hAnsi="Times New Roman"/>
          <w:noProof/>
          <w:sz w:val="24"/>
        </w:rPr>
        <w:t xml:space="preserve"> osalta energiankulutuksen väheneminen, uusiutuvien</w:t>
      </w:r>
      <w:r>
        <w:rPr>
          <w:rFonts w:ascii="Times New Roman" w:hAnsi="Times New Roman"/>
          <w:noProof/>
          <w:sz w:val="24"/>
        </w:rPr>
        <w:t xml:space="preserve"> energialähteiden osuuden kasvu sekä pienimuotoisen uusiutuvan energian lisääntynyt käyttö rakennuksissa liittyvät läheisesti </w:t>
      </w:r>
      <w:r>
        <w:rPr>
          <w:rFonts w:ascii="Times New Roman" w:hAnsi="Times New Roman"/>
          <w:noProof/>
          <w:sz w:val="24"/>
        </w:rPr>
        <w:lastRenderedPageBreak/>
        <w:t xml:space="preserve">toisiinsa. Ne ovat yhdessä kustannustehokas tapa parantaa energiatehokkuutta. Uusiutuvalla energialla on merkittävä asema myös </w:t>
      </w:r>
      <w:r>
        <w:rPr>
          <w:rFonts w:ascii="Times New Roman" w:hAnsi="Times New Roman"/>
          <w:i/>
          <w:noProof/>
          <w:sz w:val="24"/>
        </w:rPr>
        <w:t>hii</w:t>
      </w:r>
      <w:r>
        <w:rPr>
          <w:rFonts w:ascii="Times New Roman" w:hAnsi="Times New Roman"/>
          <w:i/>
          <w:noProof/>
          <w:sz w:val="24"/>
        </w:rPr>
        <w:t>lidioksidipäästöjen vähentämisessä</w:t>
      </w:r>
      <w:r>
        <w:rPr>
          <w:rFonts w:ascii="Times New Roman" w:hAnsi="Times New Roman"/>
          <w:noProof/>
          <w:sz w:val="24"/>
        </w:rPr>
        <w:t>. Uusiutuvien energialähteiden ansiosta hiilidioksidipäästöjä jäi syntymättä 460 miljoonaa tonnia vuonna 2016 (luku on suurempi kuin Italian kasvihuonekaasupäästöt yhteensä vuonna 2016)</w:t>
      </w:r>
      <w:r>
        <w:rPr>
          <w:rStyle w:val="FootnoteReference"/>
          <w:rFonts w:ascii="Times New Roman" w:hAnsi="Times New Roman"/>
          <w:noProof/>
          <w:sz w:val="24"/>
        </w:rPr>
        <w:footnoteReference w:id="8"/>
      </w:r>
      <w:r>
        <w:rPr>
          <w:rFonts w:ascii="Times New Roman" w:hAnsi="Times New Roman"/>
          <w:noProof/>
          <w:sz w:val="24"/>
        </w:rPr>
        <w:t>, ja vuonna 2017 tämän lukeman arvio</w:t>
      </w:r>
      <w:r>
        <w:rPr>
          <w:rFonts w:ascii="Times New Roman" w:hAnsi="Times New Roman"/>
          <w:noProof/>
          <w:sz w:val="24"/>
        </w:rPr>
        <w:t>idaan nousevan jo 499 miljoonaan tonniin</w:t>
      </w:r>
      <w:r>
        <w:rPr>
          <w:rStyle w:val="FootnoteReference"/>
          <w:rFonts w:ascii="Times New Roman" w:hAnsi="Times New Roman"/>
          <w:noProof/>
          <w:sz w:val="24"/>
        </w:rPr>
        <w:footnoteReference w:id="9"/>
      </w:r>
      <w:r>
        <w:rPr>
          <w:rFonts w:ascii="Times New Roman" w:hAnsi="Times New Roman"/>
          <w:noProof/>
          <w:sz w:val="24"/>
        </w:rPr>
        <w:t xml:space="preserve">. Uusiutuvien energialähteiden vaikutus </w:t>
      </w:r>
      <w:r>
        <w:rPr>
          <w:rFonts w:ascii="Times New Roman" w:hAnsi="Times New Roman"/>
          <w:i/>
          <w:noProof/>
          <w:sz w:val="24"/>
        </w:rPr>
        <w:t>innovaatioihin</w:t>
      </w:r>
      <w:r>
        <w:rPr>
          <w:rFonts w:ascii="Times New Roman" w:hAnsi="Times New Roman"/>
          <w:noProof/>
          <w:sz w:val="24"/>
        </w:rPr>
        <w:t xml:space="preserve"> on myös keskeinen. EU:hun sijoittautuneiden yritysten uusiutuviin energialähteisiin liittyvistä keksinnöistä 53 prosenttia suojataan patentilla Euroopan ulkopuo</w:t>
      </w:r>
      <w:r>
        <w:rPr>
          <w:rFonts w:ascii="Times New Roman" w:hAnsi="Times New Roman"/>
          <w:noProof/>
          <w:sz w:val="24"/>
        </w:rPr>
        <w:t>lella</w:t>
      </w:r>
      <w:r>
        <w:rPr>
          <w:rStyle w:val="FootnoteReference"/>
          <w:rFonts w:ascii="Times New Roman" w:hAnsi="Times New Roman"/>
          <w:noProof/>
          <w:sz w:val="24"/>
        </w:rPr>
        <w:footnoteReference w:id="10"/>
      </w:r>
      <w:r>
        <w:rPr>
          <w:rFonts w:ascii="Times New Roman" w:hAnsi="Times New Roman"/>
          <w:noProof/>
          <w:sz w:val="24"/>
        </w:rPr>
        <w:t>. Tämä on osoitus innovoinnin tuomasta korkeasta lisäarvosta, sillä patenttisuojan hakemisessa ajatuksena on, että keksinnöllä on mahdollisuus päästä kansainvälisille markkinoille ja menestyä niillä. Osuus on suurempi kuin millään muulla merkittäväll</w:t>
      </w:r>
      <w:r>
        <w:rPr>
          <w:rFonts w:ascii="Times New Roman" w:hAnsi="Times New Roman"/>
          <w:noProof/>
          <w:sz w:val="24"/>
        </w:rPr>
        <w:t>ä kansantaloudella</w:t>
      </w:r>
      <w:r>
        <w:rPr>
          <w:rStyle w:val="FootnoteReference"/>
          <w:rFonts w:ascii="Times New Roman" w:hAnsi="Times New Roman"/>
          <w:noProof/>
          <w:sz w:val="24"/>
        </w:rPr>
        <w:footnoteReference w:id="11"/>
      </w:r>
      <w:r>
        <w:rPr>
          <w:rFonts w:ascii="Times New Roman" w:hAnsi="Times New Roman"/>
          <w:noProof/>
          <w:sz w:val="24"/>
        </w:rPr>
        <w:t>, mikä tekee EU:sta maailmanlaajuisen edelläkävijän uusiutuviin energialähteisiin liittyvissä innovaatioissa. Eurooppa onkin saanut kansainväliseltä uusiutuvan energian virastolta IRENAlta tunnustusta siitä, että se on energiainnovaatioi</w:t>
      </w:r>
      <w:r>
        <w:rPr>
          <w:rFonts w:ascii="Times New Roman" w:hAnsi="Times New Roman"/>
          <w:noProof/>
          <w:sz w:val="24"/>
        </w:rPr>
        <w:t>den eturintamassa ja näyttää menestyksekkäästi suuntaa siirtymiselle uusiutuviin energialähteisiin perustuvaan tulevaisuuteen</w:t>
      </w:r>
      <w:r>
        <w:rPr>
          <w:rStyle w:val="FootnoteReference"/>
          <w:rFonts w:ascii="Times New Roman" w:hAnsi="Times New Roman"/>
          <w:noProof/>
          <w:color w:val="333333"/>
          <w:sz w:val="24"/>
        </w:rPr>
        <w:footnoteReference w:id="12"/>
      </w:r>
      <w:r>
        <w:rPr>
          <w:rFonts w:ascii="Times New Roman" w:hAnsi="Times New Roman"/>
          <w:noProof/>
          <w:sz w:val="24"/>
        </w:rPr>
        <w:t>.</w:t>
      </w:r>
    </w:p>
    <w:p w:rsidR="00063A0C" w:rsidRDefault="00907F5B">
      <w:pPr>
        <w:jc w:val="both"/>
        <w:rPr>
          <w:rFonts w:ascii="Times New Roman" w:hAnsi="Times New Roman" w:cs="Times New Roman"/>
          <w:noProof/>
          <w:sz w:val="24"/>
          <w:szCs w:val="24"/>
        </w:rPr>
      </w:pPr>
      <w:r>
        <w:rPr>
          <w:rFonts w:ascii="Times New Roman" w:hAnsi="Times New Roman"/>
          <w:noProof/>
          <w:sz w:val="24"/>
        </w:rPr>
        <w:t>Eurooppa on edelläkävijä myös uusiutuviin energialähteisiin perustuvissa teknologioissa niiden toimitusketjujen kaikissa vaiheis</w:t>
      </w:r>
      <w:r>
        <w:rPr>
          <w:rFonts w:ascii="Times New Roman" w:hAnsi="Times New Roman"/>
          <w:noProof/>
          <w:sz w:val="24"/>
        </w:rPr>
        <w:t>sa. Tuuliturbiinit ovat esimerkki teknologiasta, jossa EU:ssa toimivien valmistajien osuus uudesta asennetusta kapasiteetista koko maailmassa vuonna 2016 oli ainakin 41 prosenttia</w:t>
      </w:r>
      <w:r>
        <w:rPr>
          <w:rStyle w:val="FootnoteReference"/>
          <w:rFonts w:ascii="Times New Roman" w:hAnsi="Times New Roman"/>
          <w:noProof/>
          <w:sz w:val="24"/>
        </w:rPr>
        <w:footnoteReference w:id="13"/>
      </w:r>
      <w:r>
        <w:rPr>
          <w:rFonts w:ascii="Times New Roman" w:hAnsi="Times New Roman"/>
          <w:noProof/>
          <w:sz w:val="24"/>
        </w:rPr>
        <w:t>. Aurinkosähköteollisuudessa EU:ssa toimivat laitevalmistajat hallitsevat 50</w:t>
      </w:r>
      <w:r>
        <w:rPr>
          <w:rFonts w:ascii="Times New Roman" w:hAnsi="Times New Roman"/>
          <w:noProof/>
          <w:sz w:val="24"/>
        </w:rPr>
        <w:t xml:space="preserve"> prosentin osuutta maailmanmarkkinoista, ja taajuusmuuntajien osalta EU:ssa toimivien valmistajien markkinaosuus on yli 18 prosenttia</w:t>
      </w:r>
      <w:r>
        <w:rPr>
          <w:rStyle w:val="FootnoteReference"/>
          <w:rFonts w:ascii="Times New Roman" w:hAnsi="Times New Roman"/>
          <w:noProof/>
          <w:sz w:val="24"/>
        </w:rPr>
        <w:footnoteReference w:id="14"/>
      </w:r>
      <w:r>
        <w:rPr>
          <w:rFonts w:ascii="Times New Roman" w:hAnsi="Times New Roman"/>
          <w:noProof/>
          <w:sz w:val="24"/>
        </w:rPr>
        <w:t>. EU:n tavoitteena on vahvistaa asemaansa esimerkiksi kasvussa olevan uusiutuvaan valtamerienergiaan perustuvan teknologia</w:t>
      </w:r>
      <w:r>
        <w:rPr>
          <w:rFonts w:ascii="Times New Roman" w:hAnsi="Times New Roman"/>
          <w:noProof/>
          <w:sz w:val="24"/>
        </w:rPr>
        <w:t xml:space="preserve">n edelläkävijänä, minkä vuoksi komissio on sitoutunut yhdessä jäsenvaltioiden kanssa kyseisen teknologian hyödyntämisen lisäämiseen sekä Euroopan </w:t>
      </w:r>
      <w:r>
        <w:rPr>
          <w:rFonts w:ascii="Times New Roman" w:hAnsi="Times New Roman" w:cs="Times New Roman"/>
          <w:noProof/>
          <w:sz w:val="24"/>
          <w:szCs w:val="24"/>
        </w:rPr>
        <w:t>strategisessa energiateknologiasuunnitelmassa (SET-suunnitelma)</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asetettuihin kustannusten alentamistavoitteis</w:t>
      </w:r>
      <w:r>
        <w:rPr>
          <w:rFonts w:ascii="Times New Roman" w:hAnsi="Times New Roman" w:cs="Times New Roman"/>
          <w:noProof/>
          <w:sz w:val="24"/>
          <w:szCs w:val="24"/>
        </w:rPr>
        <w:t>iin. Komissio on perustanut uusiutuvia energialähteitä käsittelevän puhtaan energian teollisuusfoorumin, jolla pyritään vahvistamaan uusiutuvien energianlähteiden teollista pohjaa Euroopassa. Foorumi tekee tiivistä yhteistyötä toimialan keskeisten toimijoi</w:t>
      </w:r>
      <w:r>
        <w:rPr>
          <w:rFonts w:ascii="Times New Roman" w:hAnsi="Times New Roman" w:cs="Times New Roman"/>
          <w:noProof/>
          <w:sz w:val="24"/>
          <w:szCs w:val="24"/>
        </w:rPr>
        <w:t xml:space="preserve">den kanssa ja esittää toimenpiteitä, joilla parannetaan uusiutuvien energialähteiden eurooppalaisen toimitusketjun kilpailukykyä. </w:t>
      </w:r>
    </w:p>
    <w:p w:rsidR="00063A0C" w:rsidRDefault="00907F5B">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Uusiutuvien energialähteiden hyödyt ovat kuitenkin selvästi suuremmat kuin niiden vaikutukset viiteen edellä esitettyyn polii</w:t>
      </w:r>
      <w:r>
        <w:rPr>
          <w:rFonts w:ascii="Times New Roman" w:hAnsi="Times New Roman"/>
          <w:noProof/>
          <w:sz w:val="24"/>
        </w:rPr>
        <w:t>ttiseen ulottuvuuteen. Uusiutuvat energialähteet tuovat eurooppalaisille talouskasvua ja työtä, etenkin paikallisia työpaikkoja. Toimialalla työskentelee tällä hetkellä yli 1,4 miljoonaa henkilöä, ja sen liikevaihdoksi arvioidaan 154,7 miljardia euroa</w:t>
      </w:r>
      <w:r>
        <w:rPr>
          <w:rStyle w:val="FootnoteReference"/>
          <w:rFonts w:ascii="Times New Roman" w:hAnsi="Times New Roman"/>
          <w:noProof/>
          <w:sz w:val="24"/>
        </w:rPr>
        <w:footnoteReference w:id="16"/>
      </w:r>
      <w:r>
        <w:rPr>
          <w:rFonts w:ascii="Times New Roman" w:hAnsi="Times New Roman"/>
          <w:noProof/>
          <w:sz w:val="24"/>
        </w:rPr>
        <w:t>. En</w:t>
      </w:r>
      <w:r>
        <w:rPr>
          <w:rFonts w:ascii="Times New Roman" w:hAnsi="Times New Roman"/>
          <w:noProof/>
          <w:sz w:val="24"/>
        </w:rPr>
        <w:t>ergian hintaa ja kustannuksia Euroopassa selvittävässä uudessa raportissa</w:t>
      </w:r>
      <w:r>
        <w:rPr>
          <w:rStyle w:val="FootnoteReference"/>
          <w:rFonts w:ascii="Times New Roman" w:hAnsi="Times New Roman"/>
          <w:noProof/>
          <w:sz w:val="24"/>
        </w:rPr>
        <w:footnoteReference w:id="17"/>
      </w:r>
      <w:r>
        <w:rPr>
          <w:rFonts w:ascii="Times New Roman" w:hAnsi="Times New Roman"/>
          <w:noProof/>
          <w:sz w:val="24"/>
        </w:rPr>
        <w:t xml:space="preserve"> mainitaan muitakin myönteisiä vaikutuksia teollisuuden kilpailukykyyn, sillä uusiutuvan energian saatavuuden paraneminen on osaltaan laskenut energian tukkuhintoja viime vuosina. IR</w:t>
      </w:r>
      <w:r>
        <w:rPr>
          <w:rFonts w:ascii="Times New Roman" w:hAnsi="Times New Roman"/>
          <w:noProof/>
          <w:sz w:val="24"/>
        </w:rPr>
        <w:t>ENA on todennut, että uusiutuvien energialähteiden lisääntyvä käyttöönotto on käynnistänyt geopoliittisilta vaikutuksiltaan merkittävän, globaalin energiakäänteen, jossa EU on selkeä edelläkävijä</w:t>
      </w:r>
      <w:r>
        <w:rPr>
          <w:rStyle w:val="FootnoteReference"/>
          <w:rFonts w:ascii="Times New Roman" w:hAnsi="Times New Roman"/>
          <w:noProof/>
          <w:sz w:val="24"/>
        </w:rPr>
        <w:footnoteReference w:id="18"/>
      </w:r>
      <w:r>
        <w:rPr>
          <w:rFonts w:ascii="Times New Roman" w:hAnsi="Times New Roman"/>
          <w:noProof/>
          <w:sz w:val="24"/>
        </w:rPr>
        <w:t>.</w:t>
      </w:r>
    </w:p>
    <w:p w:rsidR="00063A0C" w:rsidRDefault="00907F5B">
      <w:pPr>
        <w:autoSpaceDE w:val="0"/>
        <w:autoSpaceDN w:val="0"/>
        <w:jc w:val="both"/>
        <w:rPr>
          <w:rFonts w:ascii="Times New Roman" w:hAnsi="Times New Roman" w:cs="Times New Roman"/>
          <w:noProof/>
          <w:sz w:val="24"/>
          <w:szCs w:val="24"/>
        </w:rPr>
      </w:pPr>
      <w:r>
        <w:rPr>
          <w:rFonts w:ascii="Times New Roman" w:hAnsi="Times New Roman"/>
          <w:noProof/>
          <w:sz w:val="24"/>
        </w:rPr>
        <w:t>Uusiutuvilla energialähteillä vähennetään myös ilmansaaste</w:t>
      </w:r>
      <w:r>
        <w:rPr>
          <w:rFonts w:ascii="Times New Roman" w:hAnsi="Times New Roman"/>
          <w:noProof/>
          <w:sz w:val="24"/>
        </w:rPr>
        <w:t>ita ja parannetaan kehittyvien maiden mahdollisuuksia hyödyntää kohtuuhintaista, puhdasta energiaa. Vuosina 2011–2016 uusiutuvan sähköenergian tuotantokapasiteetti kasvoi lähes 10 GW ja kantaverkon ulkopuolisten uusiutuvien energiaratkaisujen piirissä olev</w:t>
      </w:r>
      <w:r>
        <w:rPr>
          <w:rFonts w:ascii="Times New Roman" w:hAnsi="Times New Roman"/>
          <w:noProof/>
          <w:sz w:val="24"/>
        </w:rPr>
        <w:t>ien henkilöiden määrä kasvoi kuusinkertaiseksi yli 133 miljoonaan</w:t>
      </w:r>
      <w:r>
        <w:rPr>
          <w:rStyle w:val="FootnoteReference"/>
          <w:rFonts w:ascii="Times New Roman" w:hAnsi="Times New Roman"/>
          <w:noProof/>
          <w:sz w:val="24"/>
        </w:rPr>
        <w:footnoteReference w:id="19"/>
      </w:r>
      <w:r>
        <w:rPr>
          <w:rFonts w:ascii="Times New Roman" w:hAnsi="Times New Roman"/>
          <w:noProof/>
          <w:sz w:val="24"/>
        </w:rPr>
        <w:t>. On arvioitu, että vuoteen 2030 mennessä uusista sähköliittymistä yli 60 prosentissa voimanlähteenä ovat uusiutuvat energialähteet, ja lähes puolet uusista sähköliittymistä on kytketty itse</w:t>
      </w:r>
      <w:r>
        <w:rPr>
          <w:rFonts w:ascii="Times New Roman" w:hAnsi="Times New Roman"/>
          <w:noProof/>
          <w:sz w:val="24"/>
        </w:rPr>
        <w:t>näisesti toimiviin järjestelmiin tai minisähköverkkoihin</w:t>
      </w:r>
      <w:r>
        <w:rPr>
          <w:rStyle w:val="FootnoteReference"/>
          <w:rFonts w:ascii="Times New Roman" w:hAnsi="Times New Roman"/>
          <w:noProof/>
          <w:sz w:val="24"/>
        </w:rPr>
        <w:footnoteReference w:id="20"/>
      </w:r>
      <w:r>
        <w:rPr>
          <w:rFonts w:ascii="Times New Roman" w:hAnsi="Times New Roman"/>
          <w:noProof/>
          <w:sz w:val="24"/>
        </w:rPr>
        <w:t>. Lisäksi on syytä mainita, että tekniikan halpeneminen ja digitalisaatio tekevät yhdessä uusiutuvista energialähteistä todellisen muutosvoiman, jonka ansiosta kuluttajat voivat ottaa ohjat omiin käs</w:t>
      </w:r>
      <w:r>
        <w:rPr>
          <w:rFonts w:ascii="Times New Roman" w:hAnsi="Times New Roman"/>
          <w:noProof/>
          <w:sz w:val="24"/>
        </w:rPr>
        <w:t>iinsä ja ryhtyä energiakäänteen keskeisiksi toimijoiksi.</w:t>
      </w:r>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Tässä kertomuksessa esitetään uusinta tietoa siitä, miten tavoitteessa nostaa uusiutuvan energian osuus 20 prosenttiin vuonna 2020 oli edistytty vuoteen 2017 mennessä. Se vastaa myös RED I </w:t>
      </w:r>
      <w:r>
        <w:rPr>
          <w:noProof/>
        </w:rPr>
        <w:noBreakHyphen/>
      </w:r>
      <w:r>
        <w:rPr>
          <w:rFonts w:ascii="Times New Roman" w:hAnsi="Times New Roman"/>
          <w:noProof/>
          <w:sz w:val="24"/>
        </w:rPr>
        <w:t>direktiiv</w:t>
      </w:r>
      <w:r>
        <w:rPr>
          <w:rFonts w:ascii="Times New Roman" w:hAnsi="Times New Roman"/>
          <w:noProof/>
          <w:sz w:val="24"/>
        </w:rPr>
        <w:t>istä sekä epäsuorasta maankäytön muutoksesta annetusta direktiivistä (ILUC)</w:t>
      </w:r>
      <w:r>
        <w:rPr>
          <w:rStyle w:val="FootnoteReference"/>
          <w:rFonts w:ascii="Times New Roman" w:hAnsi="Times New Roman"/>
          <w:noProof/>
          <w:sz w:val="24"/>
        </w:rPr>
        <w:footnoteReference w:id="21"/>
      </w:r>
      <w:r>
        <w:rPr>
          <w:rFonts w:ascii="Times New Roman" w:hAnsi="Times New Roman"/>
          <w:noProof/>
          <w:sz w:val="24"/>
        </w:rPr>
        <w:t xml:space="preserve"> johtuvia muita Euroopan komission raportointivelvollisuuksia. Vuoden 2020 tavoitteen saavuttamisen arvioinnissa ensisijaisena tietolähteenä ovat olleet jäsenvaltioiden Eurostatill</w:t>
      </w:r>
      <w:r>
        <w:rPr>
          <w:rFonts w:ascii="Times New Roman" w:hAnsi="Times New Roman"/>
          <w:noProof/>
          <w:sz w:val="24"/>
        </w:rPr>
        <w:t>e tammikuuhun 2019 mennessä toimittamat energiatilastot. Tämän kertomuksen lähtökohtana on jäsenvaltioiden joka toinen vuosi laatiman uusiutuvan energian tilannekatsauksen neljäs kertomus, joka kattaa vuodet 2015–2016</w:t>
      </w:r>
      <w:r>
        <w:rPr>
          <w:rStyle w:val="FootnoteReference"/>
          <w:rFonts w:ascii="Times New Roman" w:hAnsi="Times New Roman"/>
          <w:noProof/>
          <w:sz w:val="24"/>
        </w:rPr>
        <w:footnoteReference w:id="22"/>
      </w:r>
      <w:r>
        <w:rPr>
          <w:rFonts w:ascii="Times New Roman" w:hAnsi="Times New Roman"/>
          <w:noProof/>
          <w:sz w:val="24"/>
        </w:rPr>
        <w:t>, sekä vuoden 2018 aikana tehty täyden</w:t>
      </w:r>
      <w:r>
        <w:rPr>
          <w:rFonts w:ascii="Times New Roman" w:hAnsi="Times New Roman"/>
          <w:noProof/>
          <w:sz w:val="24"/>
        </w:rPr>
        <w:t xml:space="preserve">tävä tekninen analyysi. Käsillä olevassa kertomuksessa tarkastellaan yleisellä tasolla myös yhteistyömekanismien mahdollisuuksia sekä hallinnollisten puitteiden arviointia ja biopolttoaineiden kestävyyttä. </w:t>
      </w:r>
    </w:p>
    <w:p w:rsidR="00063A0C" w:rsidRDefault="00907F5B">
      <w:pPr>
        <w:pStyle w:val="Heading1"/>
        <w:rPr>
          <w:noProof/>
        </w:rPr>
      </w:pPr>
      <w:bookmarkStart w:id="3" w:name="_Toc1149218"/>
      <w:r>
        <w:rPr>
          <w:noProof/>
        </w:rPr>
        <w:t>2. EU28-MAIDEN EDISTYMINEN UUSIUTUVAN ENERGIAN KÄ</w:t>
      </w:r>
      <w:r>
        <w:rPr>
          <w:noProof/>
        </w:rPr>
        <w:t>YTTÖÖNOTOSSA</w:t>
      </w:r>
      <w:bookmarkEnd w:id="3"/>
      <w:r>
        <w:rPr>
          <w:noProof/>
        </w:rPr>
        <w:t xml:space="preserve"> </w:t>
      </w:r>
    </w:p>
    <w:p w:rsidR="00063A0C" w:rsidRDefault="00907F5B">
      <w:pPr>
        <w:jc w:val="both"/>
        <w:rPr>
          <w:rFonts w:ascii="Times New Roman" w:hAnsi="Times New Roman" w:cs="Times New Roman"/>
          <w:noProof/>
          <w:sz w:val="24"/>
          <w:szCs w:val="24"/>
        </w:rPr>
      </w:pPr>
      <w:r>
        <w:rPr>
          <w:rFonts w:ascii="Times New Roman" w:hAnsi="Times New Roman"/>
          <w:noProof/>
          <w:sz w:val="24"/>
        </w:rPr>
        <w:t>Uusiutuvan energian osuus oli 17,52 prosenttia energian kokonaisloppukulutuksesta vuonna 2017. Lukemaa voidaan verrata vuodelle 2020 asetettuun tavoitteeseen (20 prosenttia) sekä kaudelle 2017–2018 määriteltyyn ohjeelliseen kehityspolkuun (16</w:t>
      </w:r>
      <w:r>
        <w:rPr>
          <w:rFonts w:ascii="Times New Roman" w:hAnsi="Times New Roman"/>
          <w:noProof/>
          <w:sz w:val="24"/>
        </w:rPr>
        <w:t xml:space="preserve"> prosenttia). EU on kokonaisuutena katsoen edellä myös niitä jonkin verran kunnianhimoisempia kehityspol</w:t>
      </w:r>
      <w:r>
        <w:rPr>
          <w:noProof/>
        </w:rPr>
        <w:t xml:space="preserve">kuja, </w:t>
      </w:r>
      <w:r>
        <w:rPr>
          <w:rFonts w:ascii="Times New Roman" w:hAnsi="Times New Roman" w:cs="Times New Roman"/>
          <w:noProof/>
          <w:sz w:val="24"/>
          <w:szCs w:val="24"/>
        </w:rPr>
        <w:t>joita jäsenvaltiot ovat asettaneet itselleen omissa uusiutuvaa energiaa käsittelevissä toimintasuunnitelmissaan</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EU on siis pääsemässä vuoden </w:t>
      </w:r>
      <w:r>
        <w:rPr>
          <w:rFonts w:ascii="Times New Roman" w:hAnsi="Times New Roman" w:cs="Times New Roman"/>
          <w:noProof/>
          <w:sz w:val="24"/>
          <w:szCs w:val="24"/>
        </w:rPr>
        <w:t>2020 tavoitteeseensa. Viime vuosina EU:n tasolla on jatkuvasti nostettu sekä uusiutuvien energialähteiden (RES) kokonaisosuutta että alakohtaisia osuuksia uusiutuvilla energialähteillä tuotetun sähkön (RES-E), lämmityksen ja jäähdytyksen (RES-H&amp;C) sekä väh</w:t>
      </w:r>
      <w:r>
        <w:rPr>
          <w:rFonts w:ascii="Times New Roman" w:hAnsi="Times New Roman" w:cs="Times New Roman"/>
          <w:noProof/>
          <w:sz w:val="24"/>
          <w:szCs w:val="24"/>
        </w:rPr>
        <w:t>äisemmässä määrin liikenteen (RES-T) alalla.</w:t>
      </w:r>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Uusiutuvien energialähteiden osuuden kasvuvauhti on kuitenkin hidastunut vuodesta 2014. Jos vertailukohdaksi otetaan vuonna 2014 saavutettu 16,19 prosentin osuus, kaudella 2014–2017 kasvua tuli keskimäärin vain </w:t>
      </w:r>
      <w:r>
        <w:rPr>
          <w:rFonts w:ascii="Times New Roman" w:hAnsi="Times New Roman"/>
          <w:noProof/>
          <w:sz w:val="24"/>
        </w:rPr>
        <w:t xml:space="preserve">0,44 prosenttiyksikköä vuodessa. Tämä jää alle sen 0,83 prosenttiyksikön keskimääräisen vuotuisen kasvun, jota 20 prosentin osuuden saavuttaminen vuonna 2020 edellyttää. RED I </w:t>
      </w:r>
      <w:r>
        <w:rPr>
          <w:noProof/>
        </w:rPr>
        <w:noBreakHyphen/>
      </w:r>
      <w:r>
        <w:rPr>
          <w:rFonts w:ascii="Times New Roman" w:hAnsi="Times New Roman"/>
          <w:noProof/>
          <w:sz w:val="24"/>
        </w:rPr>
        <w:t xml:space="preserve">direktiivin perusteella laaditun ohjeellisen kehityspolun nousukulma jyrkkenee </w:t>
      </w:r>
      <w:r>
        <w:rPr>
          <w:rFonts w:ascii="Times New Roman" w:hAnsi="Times New Roman"/>
          <w:noProof/>
          <w:sz w:val="24"/>
        </w:rPr>
        <w:t xml:space="preserve">jakson loppua kohti, minkä vuoksi tavoitteiden saavuttaminen edellyttää jatkuvaa ponnistelua. </w:t>
      </w:r>
    </w:p>
    <w:p w:rsidR="00063A0C" w:rsidRDefault="00907F5B">
      <w:pPr>
        <w:jc w:val="both"/>
        <w:rPr>
          <w:rFonts w:ascii="Times New Roman" w:hAnsi="Times New Roman" w:cs="Times New Roman"/>
          <w:noProof/>
          <w:sz w:val="24"/>
          <w:szCs w:val="24"/>
        </w:rPr>
      </w:pPr>
      <w:r>
        <w:rPr>
          <w:rFonts w:ascii="Times New Roman" w:hAnsi="Times New Roman"/>
          <w:noProof/>
          <w:sz w:val="24"/>
        </w:rPr>
        <w:t>Yksittäisiä aloja tarkasteltaessa uusiutuvan energian osuus sähköntuotannossa sekä lämmityksessä ja jäähdytyksessä on ollut EU:n tasolla järjestelmällisesti suur</w:t>
      </w:r>
      <w:r>
        <w:rPr>
          <w:rFonts w:ascii="Times New Roman" w:hAnsi="Times New Roman"/>
          <w:noProof/>
          <w:sz w:val="24"/>
        </w:rPr>
        <w:t xml:space="preserve">empi kuin jäsenvaltioiden kansallisissa uusiutuvaa energiaa käsittelevissä toimintasuunnitelmissa määritetty taso, kun taas liikenteessä uusiutuvien energialähteiden osuus seuraa enimmäkseen suunniteltua kehityspolkua. </w:t>
      </w:r>
    </w:p>
    <w:p w:rsidR="00063A0C" w:rsidRDefault="00063A0C">
      <w:pPr>
        <w:jc w:val="both"/>
        <w:rPr>
          <w:rFonts w:ascii="Times New Roman" w:hAnsi="Times New Roman" w:cs="Times New Roman"/>
          <w:noProof/>
          <w:sz w:val="24"/>
          <w:szCs w:val="24"/>
        </w:rPr>
      </w:pPr>
    </w:p>
    <w:p w:rsidR="00063A0C" w:rsidRDefault="00907F5B">
      <w:pPr>
        <w:jc w:val="both"/>
        <w:rPr>
          <w:rFonts w:ascii="Times New Roman" w:hAnsi="Times New Roman" w:cs="Times New Roman"/>
          <w:noProof/>
          <w:sz w:val="24"/>
          <w:szCs w:val="24"/>
        </w:rPr>
      </w:pPr>
      <w:r>
        <w:rPr>
          <w:noProof/>
          <w:lang w:val="fr-BE" w:eastAsia="fr-BE" w:bidi="ar-SA"/>
        </w:rPr>
        <w:drawing>
          <wp:inline distT="0" distB="0" distL="0" distR="0">
            <wp:extent cx="5731510" cy="3547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547550"/>
                    </a:xfrm>
                    <a:prstGeom prst="rect">
                      <a:avLst/>
                    </a:prstGeom>
                    <a:noFill/>
                    <a:ln>
                      <a:noFill/>
                    </a:ln>
                  </pic:spPr>
                </pic:pic>
              </a:graphicData>
            </a:graphic>
          </wp:inline>
        </w:drawing>
      </w:r>
    </w:p>
    <w:p w:rsidR="00063A0C" w:rsidRDefault="00907F5B">
      <w:pPr>
        <w:jc w:val="both"/>
        <w:rPr>
          <w:rFonts w:ascii="Times New Roman" w:hAnsi="Times New Roman" w:cs="Times New Roman"/>
          <w:i/>
          <w:noProof/>
          <w:sz w:val="24"/>
          <w:szCs w:val="24"/>
        </w:rPr>
      </w:pPr>
      <w:r>
        <w:rPr>
          <w:rFonts w:ascii="Times New Roman" w:hAnsi="Times New Roman"/>
          <w:b/>
          <w:i/>
          <w:noProof/>
          <w:sz w:val="24"/>
        </w:rPr>
        <w:t>Kuvio 1</w:t>
      </w:r>
      <w:r>
        <w:rPr>
          <w:rFonts w:ascii="Times New Roman" w:hAnsi="Times New Roman"/>
          <w:i/>
          <w:noProof/>
          <w:sz w:val="24"/>
        </w:rPr>
        <w:t>: Uusiutuvien energialähte</w:t>
      </w:r>
      <w:r>
        <w:rPr>
          <w:rFonts w:ascii="Times New Roman" w:hAnsi="Times New Roman"/>
          <w:i/>
          <w:noProof/>
          <w:sz w:val="24"/>
        </w:rPr>
        <w:t xml:space="preserve">iden toteutunut ja suunniteltu osuus, EU28-maat (2005–2020, prosenttia). Lähde: Eurostat ja kansalliset uusiutuvaa energiaa käsittelevät toimintasuunnitelmat (National Renewable Energy Action Plans, NREAP). </w:t>
      </w:r>
    </w:p>
    <w:p w:rsidR="00063A0C" w:rsidRDefault="00907F5B">
      <w:pPr>
        <w:jc w:val="both"/>
        <w:rPr>
          <w:rFonts w:ascii="Times New Roman" w:hAnsi="Times New Roman" w:cs="Times New Roman"/>
          <w:noProof/>
          <w:sz w:val="24"/>
          <w:szCs w:val="24"/>
        </w:rPr>
      </w:pPr>
      <w:r>
        <w:rPr>
          <w:rFonts w:ascii="Times New Roman" w:hAnsi="Times New Roman"/>
          <w:noProof/>
          <w:sz w:val="24"/>
        </w:rPr>
        <w:t>Uusiutuvan energian absoluuttisesta kulutuksesta</w:t>
      </w:r>
      <w:r>
        <w:rPr>
          <w:rFonts w:ascii="Times New Roman" w:hAnsi="Times New Roman"/>
          <w:noProof/>
          <w:sz w:val="24"/>
        </w:rPr>
        <w:t xml:space="preserve"> lämmityksen ja jäähdytyksen osuus oli vuonna 2017 suurin, 102 Mtoe. Seuraavina tulivat uusiutuvista energialähteistä tuotettu sähkö (86,7 Mtoe) sekä liikenne (23,65 Mtoe)</w:t>
      </w:r>
      <w:r>
        <w:rPr>
          <w:rFonts w:ascii="Times New Roman" w:hAnsi="Times New Roman"/>
          <w:noProof/>
          <w:sz w:val="24"/>
          <w:vertAlign w:val="superscript"/>
        </w:rPr>
        <w:footnoteReference w:id="24"/>
      </w:r>
      <w:r>
        <w:rPr>
          <w:rFonts w:ascii="Times New Roman" w:hAnsi="Times New Roman"/>
          <w:noProof/>
          <w:sz w:val="24"/>
        </w:rPr>
        <w:t xml:space="preserve">. </w:t>
      </w:r>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Energian kulutuksessa merkittävimmät uusiutuvan energian lähteet olivat biomassa </w:t>
      </w:r>
      <w:r>
        <w:rPr>
          <w:rFonts w:ascii="Times New Roman" w:hAnsi="Times New Roman"/>
          <w:noProof/>
          <w:sz w:val="24"/>
        </w:rPr>
        <w:t>lämmityksessä ja jäähdytyksessä, vesi- ja tuulivoima sähköntuotannossa sekä biopolttoaineet liikenteessä. Sähköntuotannossa on tapahtumassa selkeä siirtyminen kohti uusiutuvia energialähteitä. Eräs keskeisistä tekijöistä on ollut aurinkoenergialla ja tuuli</w:t>
      </w:r>
      <w:r>
        <w:rPr>
          <w:rFonts w:ascii="Times New Roman" w:hAnsi="Times New Roman"/>
          <w:noProof/>
          <w:sz w:val="24"/>
        </w:rPr>
        <w:t>voimalla tuotetun sähkön kustannusten lasku. Vuosina 2009–2018 kustannukset putosivat aurinkoenergialla tuotetun sähkön osalta lähes 75 prosenttia ja tuulivoimalla tuotetun sähkön osalta noin 50 prosenttia (markkinasta riippuen). Syynä olivat pääomakustann</w:t>
      </w:r>
      <w:r>
        <w:rPr>
          <w:rFonts w:ascii="Times New Roman" w:hAnsi="Times New Roman"/>
          <w:noProof/>
          <w:sz w:val="24"/>
        </w:rPr>
        <w:t>usten aleneminen, tehokkuuden parantuminen, tuotantoketjujen kehittyminen ja tukijärjestelmien kilpailuttaminen. Portugalissa vuonna 2018 käyttöön otettu Ourika oli Euroopan ensimmäinen kokonaan ilman julkista tukea toteutettu aurinkoenergiahanke. Saksassa</w:t>
      </w:r>
      <w:r>
        <w:rPr>
          <w:rFonts w:ascii="Times New Roman" w:hAnsi="Times New Roman"/>
          <w:noProof/>
          <w:sz w:val="24"/>
        </w:rPr>
        <w:t xml:space="preserve"> eräälle 1,4 MW:n aurinkosähköhankkeelle maksetut markkinapreemiot olivat pienemmät kuin aurinkosähkön markkinahinta kesällä 2018, ja Tanskassa on käynnistetty uusia tuulivoimahankkeita kiinteällä 2,5 EUR/MWh:n syöttötariffilla. Kun Saksassa ja Alankomaiss</w:t>
      </w:r>
      <w:r>
        <w:rPr>
          <w:rFonts w:ascii="Times New Roman" w:hAnsi="Times New Roman"/>
          <w:noProof/>
          <w:sz w:val="24"/>
        </w:rPr>
        <w:t>a kilpailutettiin 1 610 ja 700 MW:n merituulivoimapuistohankkeet, molempiin saatiin tarjouksia, joissa tuen osuus oli nolla.</w:t>
      </w:r>
    </w:p>
    <w:p w:rsidR="00063A0C" w:rsidRDefault="00907F5B">
      <w:pPr>
        <w:jc w:val="both"/>
        <w:rPr>
          <w:rFonts w:ascii="Times New Roman" w:hAnsi="Times New Roman" w:cs="Times New Roman"/>
          <w:noProof/>
          <w:sz w:val="24"/>
          <w:szCs w:val="24"/>
        </w:rPr>
      </w:pPr>
      <w:r>
        <w:rPr>
          <w:rFonts w:ascii="Times New Roman" w:hAnsi="Times New Roman"/>
          <w:noProof/>
          <w:sz w:val="24"/>
        </w:rPr>
        <w:t>Kustannusten lasku on yksi tärkeimmistä syistä myös sille, että yritykset lisäävät uusiutuvien energianlähteiden käyttöä, etenkin s</w:t>
      </w:r>
      <w:r>
        <w:rPr>
          <w:rFonts w:ascii="Times New Roman" w:hAnsi="Times New Roman"/>
          <w:noProof/>
          <w:sz w:val="24"/>
        </w:rPr>
        <w:t>illoin, kun energiaa käyttävät yritykset laativat sähkönhankintasopimuksia uusiutuvien energianlähteiden kehittäjätahojen kanssa suoraan. Uusiutuvista energialähteistä tuotettua sähköä koskevien yritysten tekemien sähkönhankintasopimusten määrä Euroopassa</w:t>
      </w:r>
      <w:r>
        <w:rPr>
          <w:rStyle w:val="FootnoteReference"/>
          <w:rFonts w:ascii="Times New Roman" w:hAnsi="Times New Roman"/>
          <w:noProof/>
          <w:sz w:val="24"/>
        </w:rPr>
        <w:footnoteReference w:id="25"/>
      </w:r>
      <w:r>
        <w:rPr>
          <w:rFonts w:ascii="Times New Roman" w:hAnsi="Times New Roman"/>
          <w:noProof/>
          <w:sz w:val="24"/>
        </w:rPr>
        <w:t xml:space="preserve"> nelinkertaistui 506 MW:sta 1 967 MW:iin vuosina 2015–2018. </w:t>
      </w:r>
    </w:p>
    <w:p w:rsidR="00063A0C" w:rsidRDefault="00907F5B">
      <w:pPr>
        <w:pStyle w:val="Heading1"/>
        <w:rPr>
          <w:noProof/>
        </w:rPr>
      </w:pPr>
      <w:bookmarkStart w:id="4" w:name="_Toc1149219"/>
      <w:r>
        <w:rPr>
          <w:noProof/>
        </w:rPr>
        <w:t xml:space="preserve">3. JÄSENVALTIOIDEN EDISTYMISEN SEKÄ </w:t>
      </w:r>
      <w:bookmarkEnd w:id="4"/>
      <w:r>
        <w:rPr>
          <w:noProof/>
        </w:rPr>
        <w:t>VUOTEEN 2020 ULOTTUVIEN ENNUSTEIDEN SEIKKAPERÄINEN ARVIOINTI</w:t>
      </w:r>
    </w:p>
    <w:p w:rsidR="00063A0C" w:rsidRDefault="00907F5B">
      <w:pPr>
        <w:pStyle w:val="Heading2"/>
        <w:spacing w:after="120"/>
        <w:ind w:left="714" w:hanging="357"/>
        <w:rPr>
          <w:noProof/>
        </w:rPr>
      </w:pPr>
      <w:bookmarkStart w:id="5" w:name="_Toc1149220"/>
      <w:r>
        <w:rPr>
          <w:noProof/>
        </w:rPr>
        <w:t>Sähköntuotannon, lämmityksen ja jäähdytyksen sekä liikenteen alalla saavutettu edistys</w:t>
      </w:r>
      <w:bookmarkEnd w:id="5"/>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Uusiutuvan </w:t>
      </w:r>
      <w:r>
        <w:rPr>
          <w:rFonts w:ascii="Times New Roman" w:hAnsi="Times New Roman"/>
          <w:noProof/>
          <w:sz w:val="24"/>
        </w:rPr>
        <w:t>energian osuudessa näkyvät jäsenvaltioiden energiapaletin perinteinen monimuotoisuus ja erot uusiutuvien energialähteiden hyödyntämismahdollisuuksissa. Vuonna 2017 osuudet vaihtelivat Luxemburgin 6,4 prosentista Ruotsin 54,5 prosenttiin (ks. kuvio 2).</w:t>
      </w:r>
    </w:p>
    <w:p w:rsidR="00063A0C" w:rsidRDefault="00907F5B">
      <w:pPr>
        <w:jc w:val="both"/>
        <w:rPr>
          <w:rFonts w:ascii="Times New Roman" w:hAnsi="Times New Roman" w:cs="Times New Roman"/>
          <w:noProof/>
          <w:sz w:val="24"/>
          <w:szCs w:val="24"/>
        </w:rPr>
      </w:pPr>
      <w:r>
        <w:rPr>
          <w:noProof/>
          <w:lang w:val="fr-BE" w:eastAsia="fr-BE" w:bidi="ar-SA"/>
        </w:rPr>
        <w:drawing>
          <wp:inline distT="0" distB="0" distL="0" distR="0">
            <wp:extent cx="5731510" cy="2316201"/>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316201"/>
                    </a:xfrm>
                    <a:prstGeom prst="rect">
                      <a:avLst/>
                    </a:prstGeom>
                    <a:noFill/>
                    <a:ln>
                      <a:noFill/>
                    </a:ln>
                  </pic:spPr>
                </pic:pic>
              </a:graphicData>
            </a:graphic>
          </wp:inline>
        </w:drawing>
      </w:r>
    </w:p>
    <w:p w:rsidR="00063A0C" w:rsidRDefault="00063A0C">
      <w:pPr>
        <w:jc w:val="both"/>
        <w:rPr>
          <w:rFonts w:ascii="Times New Roman" w:hAnsi="Times New Roman" w:cs="Times New Roman"/>
          <w:noProof/>
          <w:sz w:val="24"/>
          <w:szCs w:val="24"/>
        </w:rPr>
      </w:pPr>
    </w:p>
    <w:p w:rsidR="00063A0C" w:rsidRDefault="00907F5B">
      <w:pPr>
        <w:jc w:val="both"/>
        <w:rPr>
          <w:rFonts w:ascii="Times New Roman" w:hAnsi="Times New Roman" w:cs="Times New Roman"/>
          <w:i/>
          <w:noProof/>
          <w:sz w:val="24"/>
          <w:szCs w:val="24"/>
        </w:rPr>
      </w:pPr>
      <w:r>
        <w:rPr>
          <w:rFonts w:ascii="Times New Roman" w:hAnsi="Times New Roman"/>
          <w:b/>
          <w:noProof/>
          <w:sz w:val="24"/>
        </w:rPr>
        <w:t>K</w:t>
      </w:r>
      <w:r>
        <w:rPr>
          <w:rFonts w:ascii="Times New Roman" w:hAnsi="Times New Roman"/>
          <w:b/>
          <w:noProof/>
          <w:sz w:val="24"/>
        </w:rPr>
        <w:t>uvio 2</w:t>
      </w:r>
      <w:r>
        <w:rPr>
          <w:rFonts w:ascii="Times New Roman" w:hAnsi="Times New Roman"/>
          <w:noProof/>
          <w:sz w:val="24"/>
        </w:rPr>
        <w:t xml:space="preserve">: </w:t>
      </w:r>
      <w:r>
        <w:rPr>
          <w:rFonts w:ascii="Times New Roman" w:hAnsi="Times New Roman"/>
          <w:i/>
          <w:noProof/>
          <w:sz w:val="24"/>
        </w:rPr>
        <w:t xml:space="preserve">Uusiutuvan energian osuus energian kokonaisloppukulutuksesta EU:ssa ja yksittäisissä jäsenvaltioissa vuosina 2015–2017 </w:t>
      </w:r>
      <w:r>
        <w:rPr>
          <w:rFonts w:ascii="Times New Roman" w:hAnsi="Times New Roman"/>
          <w:noProof/>
          <w:sz w:val="24"/>
        </w:rPr>
        <w:t>RED I</w:t>
      </w:r>
      <w:r>
        <w:rPr>
          <w:rFonts w:ascii="Times New Roman" w:hAnsi="Times New Roman"/>
          <w:i/>
          <w:noProof/>
          <w:sz w:val="24"/>
        </w:rPr>
        <w:t xml:space="preserve"> </w:t>
      </w:r>
      <w:r>
        <w:rPr>
          <w:noProof/>
        </w:rPr>
        <w:noBreakHyphen/>
      </w:r>
      <w:r>
        <w:rPr>
          <w:rFonts w:ascii="Times New Roman" w:hAnsi="Times New Roman"/>
          <w:i/>
          <w:noProof/>
          <w:sz w:val="24"/>
        </w:rPr>
        <w:t>direktiivissä määritettyihin kehityspolkuihin verrattuna. Lähde: Eurostat.</w:t>
      </w:r>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Jäsenvaltioiden neljänsien, vuodet 2015–2016 </w:t>
      </w:r>
      <w:r>
        <w:rPr>
          <w:rFonts w:ascii="Times New Roman" w:hAnsi="Times New Roman"/>
          <w:noProof/>
          <w:sz w:val="24"/>
        </w:rPr>
        <w:t>kattavien uusiutuvan energian tilannekatsausten</w:t>
      </w:r>
      <w:r>
        <w:rPr>
          <w:rStyle w:val="FootnoteReference"/>
          <w:rFonts w:ascii="Times New Roman" w:hAnsi="Times New Roman"/>
          <w:noProof/>
          <w:sz w:val="24"/>
        </w:rPr>
        <w:footnoteReference w:id="26"/>
      </w:r>
      <w:r>
        <w:rPr>
          <w:rFonts w:ascii="Times New Roman" w:hAnsi="Times New Roman"/>
          <w:noProof/>
          <w:sz w:val="24"/>
        </w:rPr>
        <w:t xml:space="preserve">, jäljempänä ’tilannekatsaukset’, perusteella 25 jäsenvaltiota oli edellä RED I </w:t>
      </w:r>
      <w:r>
        <w:rPr>
          <w:noProof/>
        </w:rPr>
        <w:noBreakHyphen/>
      </w:r>
      <w:r>
        <w:rPr>
          <w:rFonts w:ascii="Times New Roman" w:hAnsi="Times New Roman"/>
          <w:noProof/>
          <w:sz w:val="24"/>
        </w:rPr>
        <w:t xml:space="preserve">direktiivin mukaista ohjeellista kehityspolkuaan kaudelle 2015–2016. Kolme jäsenvaltiota jäi RED I </w:t>
      </w:r>
      <w:r>
        <w:rPr>
          <w:noProof/>
        </w:rPr>
        <w:noBreakHyphen/>
      </w:r>
      <w:r>
        <w:rPr>
          <w:rFonts w:ascii="Times New Roman" w:hAnsi="Times New Roman"/>
          <w:noProof/>
          <w:sz w:val="24"/>
        </w:rPr>
        <w:t>direktiivin mukaisesta kehi</w:t>
      </w:r>
      <w:r>
        <w:rPr>
          <w:rFonts w:ascii="Times New Roman" w:hAnsi="Times New Roman"/>
          <w:noProof/>
          <w:sz w:val="24"/>
        </w:rPr>
        <w:t>tyspolusta. Eniten jäljessä oli Alankomaat, jossa toteutunut keskimääräinen osuus kaudella 2015–2016 oli 5,9 prosenttia, mutta RED-direktiivin mukainen ohjeellinen kehityspolku 7,6 prosenttia. Ero kansallisessa uusiutuvaa energiaa käsittelevässä toimintasu</w:t>
      </w:r>
      <w:r>
        <w:rPr>
          <w:rFonts w:ascii="Times New Roman" w:hAnsi="Times New Roman"/>
          <w:noProof/>
          <w:sz w:val="24"/>
        </w:rPr>
        <w:t>unnitelmassa esitettyyn uusiutuvan energian tavoiteosuuteen vuonna 2016 (9,7 prosenttia) on tätäkin suurempi. Alankomaat on edelleen jäljessä suunnitellusta RES-E-kehityspolusta. Se on jonkin verran myöhässä myös RES-T-tavoitteen suunnitellusta aikataulust</w:t>
      </w:r>
      <w:r>
        <w:rPr>
          <w:rFonts w:ascii="Times New Roman" w:hAnsi="Times New Roman"/>
          <w:noProof/>
          <w:sz w:val="24"/>
        </w:rPr>
        <w:t xml:space="preserve">a. Luxemburg ja Ranska olivat samoin jäljessä RED I </w:t>
      </w:r>
      <w:r>
        <w:rPr>
          <w:noProof/>
        </w:rPr>
        <w:noBreakHyphen/>
      </w:r>
      <w:r>
        <w:rPr>
          <w:rFonts w:ascii="Times New Roman" w:hAnsi="Times New Roman"/>
          <w:noProof/>
          <w:sz w:val="24"/>
        </w:rPr>
        <w:t xml:space="preserve">direktiivin mukaisesta ohjeellisesta kehityspolustaan kaudelle 2015–2016, mutta vain vähän. </w:t>
      </w:r>
    </w:p>
    <w:p w:rsidR="00063A0C" w:rsidRDefault="00907F5B">
      <w:pPr>
        <w:jc w:val="both"/>
        <w:rPr>
          <w:rFonts w:ascii="Times New Roman" w:hAnsi="Times New Roman" w:cs="Times New Roman"/>
          <w:noProof/>
          <w:sz w:val="24"/>
          <w:szCs w:val="24"/>
        </w:rPr>
      </w:pPr>
      <w:r>
        <w:rPr>
          <w:rFonts w:ascii="Times New Roman" w:hAnsi="Times New Roman"/>
          <w:noProof/>
          <w:sz w:val="24"/>
        </w:rPr>
        <w:t>Eurostatin tilastoista vuodelta 2017 ei käy ilmi, että tilanteessa olisi tapahtunut merkittäviä muutoksia. Yksitoista jäsenvaltiota (Bulgaria, Tšekki, Tanska, Viro, Suomi, Kroatia, Unkari, Italia, Liettua, Romania ja Ruotsi) on jo päässyt vuodelle 2020 ase</w:t>
      </w:r>
      <w:r>
        <w:rPr>
          <w:rFonts w:ascii="Times New Roman" w:hAnsi="Times New Roman"/>
          <w:noProof/>
          <w:sz w:val="24"/>
        </w:rPr>
        <w:t xml:space="preserve">ttamaansa tavoitetta vastaavaan osuuteen. Lopuista 17 jäsenvaltiosta kymmenen on RED I </w:t>
      </w:r>
      <w:r>
        <w:rPr>
          <w:noProof/>
        </w:rPr>
        <w:noBreakHyphen/>
      </w:r>
      <w:r>
        <w:rPr>
          <w:rFonts w:ascii="Times New Roman" w:hAnsi="Times New Roman"/>
          <w:noProof/>
          <w:sz w:val="24"/>
        </w:rPr>
        <w:t>direktiivissä vuosille 2017–2018 asetetulla ohjeellisella kehityspolullaan tai edellä siitä. Muiden seitsemän jäsenvaltion (Belgia, Ranska, Irlanti, Luxemburg, Alankoma</w:t>
      </w:r>
      <w:r>
        <w:rPr>
          <w:rFonts w:ascii="Times New Roman" w:hAnsi="Times New Roman"/>
          <w:noProof/>
          <w:sz w:val="24"/>
        </w:rPr>
        <w:t>at, Puola ja Slovenia) on tehostettava pyrkimyksiään, jos ne aikovat pysyä vuosien 2017–2018 keskimääräisellä ohjeellisella kehityspolullaan ja saavuttaa vuoden 2020 tavoitteensa.</w:t>
      </w:r>
    </w:p>
    <w:p w:rsidR="00063A0C" w:rsidRDefault="00907F5B">
      <w:pPr>
        <w:jc w:val="both"/>
        <w:rPr>
          <w:rFonts w:ascii="Times New Roman" w:hAnsi="Times New Roman" w:cs="Times New Roman"/>
          <w:noProof/>
          <w:sz w:val="24"/>
          <w:szCs w:val="24"/>
        </w:rPr>
      </w:pPr>
      <w:r>
        <w:rPr>
          <w:rFonts w:ascii="Times New Roman" w:hAnsi="Times New Roman"/>
          <w:noProof/>
          <w:sz w:val="24"/>
        </w:rPr>
        <w:t>Uusiutuvan energian absoluuttisen kulutustason tarkastelu EU28-maissa osoitt</w:t>
      </w:r>
      <w:r>
        <w:rPr>
          <w:rFonts w:ascii="Times New Roman" w:hAnsi="Times New Roman"/>
          <w:noProof/>
          <w:sz w:val="24"/>
        </w:rPr>
        <w:t>aa, että kulutus on kasvanut merkittävästi eli 8 prosenttia vuodesta 2015 (189 Mtoe) vuoteen 2017 (204 Mtoe). Samalla ajanjaksolla kuitenkin myös energian kokonaisloppukulutus kasvoi 1 125 Mtoe:sta 1 159 Mtoe:iin. Näin ollen uusiutuvan energian osuus jäi p</w:t>
      </w:r>
      <w:r>
        <w:rPr>
          <w:rFonts w:ascii="Times New Roman" w:hAnsi="Times New Roman"/>
          <w:noProof/>
          <w:sz w:val="24"/>
        </w:rPr>
        <w:t xml:space="preserve">ienemmäksi, koska se </w:t>
      </w:r>
      <w:r>
        <w:rPr>
          <w:rFonts w:ascii="Times New Roman" w:hAnsi="Times New Roman" w:cs="Times New Roman"/>
          <w:noProof/>
          <w:sz w:val="24"/>
          <w:szCs w:val="24"/>
        </w:rPr>
        <w:t>lasketaan jakamalla uusiutuvan energian loppukulutus energian kokonaisloppukulutuksella. Kysynnän kasvu on yksi keskeisistä syistä sille, että uusiutuvan energian osuus oli vuonna 2017 pienempi kuin vuonna 2016 yhdeksässä jäsenvaltioss</w:t>
      </w:r>
      <w:r>
        <w:rPr>
          <w:rFonts w:ascii="Times New Roman" w:hAnsi="Times New Roman" w:cs="Times New Roman"/>
          <w:noProof/>
          <w:sz w:val="24"/>
          <w:szCs w:val="24"/>
        </w:rPr>
        <w:t xml:space="preserve">a (Itävalta, Bulgaria, Tšekki, Unkari, Puola, Portugali, Romania ja Slovakia). </w:t>
      </w:r>
    </w:p>
    <w:p w:rsidR="00063A0C" w:rsidRDefault="00907F5B">
      <w:pPr>
        <w:jc w:val="both"/>
        <w:rPr>
          <w:rFonts w:ascii="Times New Roman" w:hAnsi="Times New Roman" w:cs="Times New Roman"/>
          <w:noProof/>
          <w:sz w:val="24"/>
          <w:szCs w:val="24"/>
        </w:rPr>
      </w:pPr>
      <w:r>
        <w:rPr>
          <w:rFonts w:ascii="Times New Roman" w:hAnsi="Times New Roman"/>
          <w:noProof/>
          <w:sz w:val="24"/>
        </w:rPr>
        <w:t>Alakohtaiset uusiutuvan energian osuudet kasvoivat vuosina 2015–2017 useimmissa jäsenvaltioissa. Joissakin jäsenvaltioissa alakohtaisen osuuden muutos oli kuitenkin vain alle 0</w:t>
      </w:r>
      <w:r>
        <w:rPr>
          <w:rFonts w:ascii="Times New Roman" w:hAnsi="Times New Roman"/>
          <w:noProof/>
          <w:sz w:val="24"/>
        </w:rPr>
        <w:t>,3 prosenttiyksikköä. Näin oli RES-E:n osalta yhdeksässä jäsenvaltiossa (Bulgaria, Tšekki, Espanja, Unkari, Puola, Romania, Slovenia, Slovakia ja Ruotsi), RES-H&amp;C:n osalta seitsemässä jäsenvaltiossa (Tšekki, Saksa, Unkari, Itävalta, Puola, Slovenia ja Slov</w:t>
      </w:r>
      <w:r>
        <w:rPr>
          <w:rFonts w:ascii="Times New Roman" w:hAnsi="Times New Roman"/>
          <w:noProof/>
          <w:sz w:val="24"/>
        </w:rPr>
        <w:t xml:space="preserve">akia) ja RES-T:n osalta kymmenessä jäsenvaltiossa (Tšekki, Tanska, Viro, Unkari, Kypros, Latvia, Luxemburg, Itävalta, Puola ja Suomi).  </w:t>
      </w:r>
    </w:p>
    <w:p w:rsidR="00063A0C" w:rsidRDefault="00907F5B">
      <w:pPr>
        <w:jc w:val="both"/>
        <w:rPr>
          <w:rFonts w:ascii="Times New Roman" w:hAnsi="Times New Roman" w:cs="Times New Roman"/>
          <w:noProof/>
          <w:sz w:val="24"/>
          <w:szCs w:val="24"/>
        </w:rPr>
      </w:pPr>
      <w:r>
        <w:rPr>
          <w:rFonts w:ascii="Times New Roman" w:hAnsi="Times New Roman"/>
          <w:noProof/>
          <w:sz w:val="24"/>
        </w:rPr>
        <w:t>Liikenteen alalla kaikkien jäsenvaltioiden olisi saavutettava sama kymmenen prosentin tavoite, mutta kasvun hidastumine</w:t>
      </w:r>
      <w:r>
        <w:rPr>
          <w:rFonts w:ascii="Times New Roman" w:hAnsi="Times New Roman"/>
          <w:noProof/>
          <w:sz w:val="24"/>
        </w:rPr>
        <w:t>n saattaa merkitä haasteita kahdeksalle jäsenvaltiolle (Viro, Kreikka, Unkari, Kypros, Latvia, Liettua, Puola ja Slovenia), joissa uusiutuvan energian osuus liikenteen alalla on alle viisi prosenttia ja joissa osuuden olisi siis noustava jyrkästi, jotta ky</w:t>
      </w:r>
      <w:r>
        <w:rPr>
          <w:rFonts w:ascii="Times New Roman" w:hAnsi="Times New Roman"/>
          <w:noProof/>
          <w:sz w:val="24"/>
        </w:rPr>
        <w:t xml:space="preserve">mmenen prosentin tavoitteeseen päästäisiin. Liikenteen alalla turvautuminen ILUC-direktiivin sallimiin tilastollisiin siirtoihin onkin yksi selvittämisen arvoinen toimintatapa. </w:t>
      </w:r>
    </w:p>
    <w:p w:rsidR="00063A0C" w:rsidRDefault="00907F5B">
      <w:pPr>
        <w:pStyle w:val="Heading2"/>
        <w:spacing w:after="120"/>
        <w:ind w:left="714" w:hanging="357"/>
        <w:rPr>
          <w:noProof/>
        </w:rPr>
      </w:pPr>
      <w:bookmarkStart w:id="6" w:name="_Toc1149221"/>
      <w:r>
        <w:rPr>
          <w:noProof/>
        </w:rPr>
        <w:t>Yhteistyömekanismit</w:t>
      </w:r>
      <w:bookmarkEnd w:id="6"/>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Yhteistyömekanismit perustuvat RED I </w:t>
      </w:r>
      <w:r>
        <w:rPr>
          <w:noProof/>
        </w:rPr>
        <w:noBreakHyphen/>
      </w:r>
      <w:r>
        <w:rPr>
          <w:rFonts w:ascii="Times New Roman" w:hAnsi="Times New Roman"/>
          <w:noProof/>
          <w:sz w:val="24"/>
        </w:rPr>
        <w:t>direktiivin 6–11 art</w:t>
      </w:r>
      <w:r>
        <w:rPr>
          <w:rFonts w:ascii="Times New Roman" w:hAnsi="Times New Roman"/>
          <w:noProof/>
          <w:sz w:val="24"/>
        </w:rPr>
        <w:t>iklaan. Niihin kuuluu useita mekanismeja, joiden avulla jäsenvaltiot voivat tehdä yhteistyötä uusiutuvan energian alalla, kuten tilastolliset siirrot, yhteishankkeet ja yhteiset tukijärjestelmät. Tilastolliset siirrot helpottavat etenkin tavoitteisiin pääs</w:t>
      </w:r>
      <w:r>
        <w:rPr>
          <w:rFonts w:ascii="Times New Roman" w:hAnsi="Times New Roman"/>
          <w:noProof/>
          <w:sz w:val="24"/>
        </w:rPr>
        <w:t>emistä, sillä niiden avulla jäsenvaltiot, jotka ovat ylittäneet kansallisen uusiutuvaa energiaa koskevan tavoitteensa, voivat siirtää ylijäämän muille jäsenvaltioille. Tilastollisten siirtojen hyödyntämisestä on tähän mennessä tehty kaksi sopimusta, joista</w:t>
      </w:r>
      <w:r>
        <w:rPr>
          <w:rFonts w:ascii="Times New Roman" w:hAnsi="Times New Roman"/>
          <w:noProof/>
          <w:sz w:val="24"/>
        </w:rPr>
        <w:t xml:space="preserve"> toinen Luxemburgin ja Liettuan ja toinen Luxemburgin ja Viron välillä. Molempien sopimusten perusteella Luxemburg on tilastollisten siirtojen vastaanottaja kaudella 2018–2020. </w:t>
      </w:r>
    </w:p>
    <w:p w:rsidR="00063A0C" w:rsidRDefault="00907F5B">
      <w:pPr>
        <w:jc w:val="both"/>
        <w:rPr>
          <w:rFonts w:ascii="Times New Roman" w:hAnsi="Times New Roman" w:cs="Times New Roman"/>
          <w:noProof/>
          <w:sz w:val="24"/>
          <w:szCs w:val="24"/>
        </w:rPr>
      </w:pPr>
      <w:r>
        <w:rPr>
          <w:rFonts w:ascii="Times New Roman" w:hAnsi="Times New Roman"/>
          <w:noProof/>
          <w:sz w:val="24"/>
        </w:rPr>
        <w:t>Jäsenvaltioiden tilannekatsauksissa olevien arvioiden mukaan uusiutuvan energi</w:t>
      </w:r>
      <w:r>
        <w:rPr>
          <w:rFonts w:ascii="Times New Roman" w:hAnsi="Times New Roman"/>
          <w:noProof/>
          <w:sz w:val="24"/>
        </w:rPr>
        <w:t xml:space="preserve">an ylituotantoa kertyisi ohjeelliseen kehityspolkuun verrattuna kaikkiaan 12 564 ktoe, joka voidaan käyttää tilastollisiin siirtoihin vuonna 2020. Luku vastaa noin puolta uusiutuvista lähteistä peräisin olevan energian kokonaisloppukulutuksesta Ranskassa. </w:t>
      </w:r>
      <w:r>
        <w:rPr>
          <w:rFonts w:ascii="Times New Roman" w:hAnsi="Times New Roman"/>
          <w:noProof/>
          <w:sz w:val="24"/>
        </w:rPr>
        <w:t xml:space="preserve">Jos jokin jäsenvaltio ei pääse vuoden 2020 tavoitteeseen omia uusiutuvia lähteitään hyödyntämällä, tilastolliset siirrot voivat olla toteutuskelpoinen ratkaisu saavuttaa tavoite kustannustehokkaasti (ks. taulukko 1). </w:t>
      </w:r>
    </w:p>
    <w:tbl>
      <w:tblPr>
        <w:tblStyle w:val="Tablestylegreen2"/>
        <w:tblW w:w="5005" w:type="pct"/>
        <w:tblLook w:val="04A0" w:firstRow="1" w:lastRow="0" w:firstColumn="1" w:lastColumn="0" w:noHBand="0" w:noVBand="1"/>
      </w:tblPr>
      <w:tblGrid>
        <w:gridCol w:w="1123"/>
        <w:gridCol w:w="706"/>
        <w:gridCol w:w="706"/>
        <w:gridCol w:w="706"/>
        <w:gridCol w:w="706"/>
        <w:gridCol w:w="706"/>
        <w:gridCol w:w="706"/>
        <w:gridCol w:w="706"/>
        <w:gridCol w:w="706"/>
        <w:gridCol w:w="706"/>
        <w:gridCol w:w="706"/>
        <w:gridCol w:w="617"/>
        <w:gridCol w:w="706"/>
      </w:tblGrid>
      <w:tr w:rsidR="00063A0C" w:rsidTr="00063A0C">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761" w:type="pct"/>
            <w:noWrap/>
          </w:tcPr>
          <w:p w:rsidR="00063A0C" w:rsidRDefault="00063A0C">
            <w:pPr>
              <w:keepNext/>
              <w:spacing w:before="0" w:beforeAutospacing="0" w:after="0" w:afterAutospacing="0"/>
              <w:jc w:val="both"/>
              <w:rPr>
                <w:rFonts w:cs="Arial"/>
                <w:noProof/>
                <w:color w:val="FFFFFF" w:themeColor="background1"/>
                <w:szCs w:val="16"/>
              </w:rPr>
            </w:pP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2009</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2010</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2011</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2012</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2013</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2014</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2015</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w:t>
            </w:r>
            <w:r>
              <w:rPr>
                <w:b/>
                <w:noProof/>
                <w:color w:val="FFFFFF" w:themeColor="background1"/>
              </w:rPr>
              <w:t>16</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2017</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2018</w:t>
            </w:r>
          </w:p>
        </w:tc>
        <w:tc>
          <w:tcPr>
            <w:tcW w:w="309"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2019</w:t>
            </w:r>
          </w:p>
        </w:tc>
        <w:tc>
          <w:tcPr>
            <w:tcW w:w="357" w:type="pct"/>
            <w:shd w:val="clear" w:color="auto" w:fill="648C1A"/>
            <w:noWrap/>
          </w:tcPr>
          <w:p w:rsidR="00063A0C" w:rsidRDefault="00907F5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2020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Belgia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Bulgaria</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357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601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420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471</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411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341</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Tšekki</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1145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1039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947</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892</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678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643</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Tanska</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1123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1106</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1452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552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619</w:t>
            </w:r>
          </w:p>
        </w:tc>
        <w:tc>
          <w:tcPr>
            <w:tcW w:w="309"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63</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Saksa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6 895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8 436</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6 546</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9 390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7 272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7 911</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4 130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5 976</w:t>
            </w:r>
          </w:p>
        </w:tc>
        <w:tc>
          <w:tcPr>
            <w:tcW w:w="309"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3 065</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Viro</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94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186</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235</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279</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296</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Irlanti</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111</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-239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-366</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Kreikka</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201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320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242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195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737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743</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683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529</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Espanja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2 290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3 083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2 720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3 357</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1 990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2 963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2 049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2 793</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 xml:space="preserve"> </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839</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Ranska</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-2 708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-1 877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-1 565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-3 721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-4 048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-4 075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Italia</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8 324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8 613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7 405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10 011</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10 937</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9 343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9 468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7 789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7 259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5 828</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4 462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3 397</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Kypros</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57</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Latvia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-127</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Luxemburg</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c>
          <w:tcPr>
            <w:tcW w:w="309"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Unkari</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1 213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1 295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970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803</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Malta</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09"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Alankomaat</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Itävalta</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Puola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543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929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530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174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09"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587</w:t>
            </w:r>
          </w:p>
        </w:tc>
      </w:tr>
      <w:tr w:rsidR="00063A0C" w:rsidTr="00063A0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Portugali</w:t>
            </w: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131</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Romania</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1 306</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1 089</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886</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405</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263</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Slovenia</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Slovakia</w:t>
            </w: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90</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110</w:t>
            </w:r>
          </w:p>
        </w:tc>
        <w:tc>
          <w:tcPr>
            <w:tcW w:w="309" w:type="pct"/>
            <w:noWrap/>
          </w:tcPr>
          <w:p w:rsidR="00063A0C" w:rsidRDefault="00063A0C">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Suomi</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bookmarkStart w:id="7" w:name="RANGE!C29"/>
      <w:tr w:rsidR="00063A0C" w:rsidTr="00063A0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rPr>
              <w:fldChar w:fldCharType="begin"/>
            </w:r>
            <w:r>
              <w:rPr>
                <w:noProof/>
              </w:rPr>
              <w:instrText xml:space="preserve">HYPERLINK "file:///C:\\Users\\fvonbluecher\\Desktop\\stuff\\2020%20PREBS\\Cooperation%20mechanism%20overview.xlsx" \l </w:instrText>
            </w:r>
            <w:r>
              <w:rPr>
                <w:noProof/>
              </w:rPr>
              <w:instrText>"RANGE!#REF!"</w:instrText>
            </w:r>
            <w:r>
              <w:rPr>
                <w:noProof/>
              </w:rPr>
              <w:fldChar w:fldCharType="separate"/>
            </w:r>
            <w:r>
              <w:rPr>
                <w:noProof/>
                <w:color w:val="FFFFFF" w:themeColor="background1"/>
              </w:rPr>
              <w:t>Ruotsi</w:t>
            </w:r>
            <w:r>
              <w:rPr>
                <w:noProof/>
              </w:rPr>
              <w:fldChar w:fldCharType="end"/>
            </w:r>
            <w:bookmarkEnd w:id="7"/>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2 407</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2 141</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2 482</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3 318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3 214</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3 335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3 347</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3 475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3 215</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3 610</w:t>
            </w:r>
          </w:p>
        </w:tc>
        <w:tc>
          <w:tcPr>
            <w:tcW w:w="309"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3 428</w:t>
            </w:r>
          </w:p>
        </w:tc>
        <w:tc>
          <w:tcPr>
            <w:tcW w:w="357" w:type="pct"/>
            <w:noWrap/>
          </w:tcPr>
          <w:p w:rsidR="00063A0C" w:rsidRDefault="00907F5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3 241</w:t>
            </w:r>
          </w:p>
        </w:tc>
      </w:tr>
      <w:tr w:rsidR="00063A0C" w:rsidTr="00063A0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063A0C" w:rsidRDefault="00907F5B">
            <w:pPr>
              <w:keepNext/>
              <w:spacing w:before="0" w:beforeAutospacing="0" w:after="0" w:afterAutospacing="0"/>
              <w:jc w:val="both"/>
              <w:rPr>
                <w:rFonts w:cs="Arial"/>
                <w:b w:val="0"/>
                <w:noProof/>
                <w:color w:val="FFFFFF" w:themeColor="background1"/>
                <w:szCs w:val="16"/>
              </w:rPr>
            </w:pPr>
            <w:r>
              <w:rPr>
                <w:noProof/>
                <w:color w:val="FFFFFF" w:themeColor="background1"/>
              </w:rPr>
              <w:t xml:space="preserve">Yhteensä </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11 985</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13 544</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20 838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28 332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26 660</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27 033</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23 901</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23 038</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20 722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22 752</w:t>
            </w:r>
          </w:p>
        </w:tc>
        <w:tc>
          <w:tcPr>
            <w:tcW w:w="309"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9 982</w:t>
            </w:r>
          </w:p>
        </w:tc>
        <w:tc>
          <w:tcPr>
            <w:tcW w:w="357" w:type="pct"/>
            <w:noWrap/>
          </w:tcPr>
          <w:p w:rsidR="00063A0C" w:rsidRDefault="00907F5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12 564</w:t>
            </w:r>
          </w:p>
        </w:tc>
      </w:tr>
    </w:tbl>
    <w:p w:rsidR="00063A0C" w:rsidRDefault="00907F5B">
      <w:pPr>
        <w:keepNext/>
        <w:jc w:val="both"/>
        <w:rPr>
          <w:rFonts w:ascii="Times New Roman" w:hAnsi="Times New Roman" w:cs="Times New Roman"/>
          <w:i/>
          <w:noProof/>
          <w:sz w:val="24"/>
        </w:rPr>
      </w:pPr>
      <w:r>
        <w:rPr>
          <w:rFonts w:ascii="Times New Roman" w:hAnsi="Times New Roman"/>
          <w:b/>
          <w:noProof/>
          <w:sz w:val="24"/>
        </w:rPr>
        <w:t>Taulukko 1</w:t>
      </w:r>
      <w:r>
        <w:rPr>
          <w:rFonts w:ascii="Times New Roman" w:hAnsi="Times New Roman"/>
          <w:noProof/>
          <w:sz w:val="24"/>
        </w:rPr>
        <w:t xml:space="preserve">: </w:t>
      </w:r>
      <w:r>
        <w:rPr>
          <w:rFonts w:ascii="Times New Roman" w:hAnsi="Times New Roman"/>
          <w:i/>
          <w:noProof/>
          <w:sz w:val="24"/>
        </w:rPr>
        <w:t>Uusiutuvan energian tuotannon toteutuneet ja arvioidut</w:t>
      </w:r>
      <w:r>
        <w:rPr>
          <w:rFonts w:ascii="Times New Roman" w:hAnsi="Times New Roman"/>
          <w:i/>
          <w:noProof/>
          <w:sz w:val="24"/>
        </w:rPr>
        <w:t xml:space="preserve"> yli- ja alijäämät jäsenvaltioissa RED-direktiivin mukaiseen ohjeelliseen kehityspolkuun verrattuna (ktoe). Lähde: Navigant (2019)</w:t>
      </w:r>
      <w:r>
        <w:rPr>
          <w:rStyle w:val="FootnoteReference"/>
          <w:rFonts w:ascii="Times New Roman" w:hAnsi="Times New Roman"/>
          <w:i/>
          <w:noProof/>
          <w:sz w:val="24"/>
        </w:rPr>
        <w:footnoteReference w:id="27"/>
      </w:r>
      <w:r>
        <w:rPr>
          <w:rFonts w:ascii="Times New Roman" w:hAnsi="Times New Roman"/>
          <w:i/>
          <w:noProof/>
          <w:sz w:val="24"/>
        </w:rPr>
        <w:t>, jäsenvaltioiden tilannekatsaukset</w:t>
      </w:r>
      <w:r>
        <w:rPr>
          <w:rStyle w:val="FootnoteReference"/>
          <w:rFonts w:ascii="Times New Roman" w:hAnsi="Times New Roman"/>
          <w:i/>
          <w:noProof/>
          <w:sz w:val="24"/>
        </w:rPr>
        <w:footnoteReference w:id="28"/>
      </w:r>
      <w:r>
        <w:rPr>
          <w:rFonts w:ascii="Times New Roman" w:hAnsi="Times New Roman"/>
          <w:i/>
          <w:noProof/>
          <w:sz w:val="24"/>
        </w:rPr>
        <w:t>.</w:t>
      </w:r>
    </w:p>
    <w:p w:rsidR="00063A0C" w:rsidRDefault="00907F5B">
      <w:pPr>
        <w:pStyle w:val="Heading2"/>
        <w:spacing w:after="120"/>
        <w:ind w:left="714" w:hanging="357"/>
        <w:rPr>
          <w:noProof/>
        </w:rPr>
      </w:pPr>
      <w:bookmarkStart w:id="8" w:name="_Toc1149222"/>
      <w:r>
        <w:rPr>
          <w:noProof/>
        </w:rPr>
        <w:t>Ennusteet</w:t>
      </w:r>
      <w:bookmarkEnd w:id="8"/>
      <w:r>
        <w:rPr>
          <w:noProof/>
        </w:rPr>
        <w:t xml:space="preserve"> </w:t>
      </w:r>
    </w:p>
    <w:p w:rsidR="00063A0C" w:rsidRDefault="00907F5B">
      <w:pPr>
        <w:jc w:val="both"/>
        <w:rPr>
          <w:rFonts w:ascii="Times New Roman" w:hAnsi="Times New Roman" w:cs="Times New Roman"/>
          <w:noProof/>
          <w:sz w:val="24"/>
          <w:szCs w:val="24"/>
        </w:rPr>
      </w:pPr>
      <w:r>
        <w:rPr>
          <w:rFonts w:ascii="Times New Roman" w:hAnsi="Times New Roman"/>
          <w:noProof/>
          <w:sz w:val="24"/>
        </w:rPr>
        <w:t>Komission tekemän mallinnuksen</w:t>
      </w:r>
      <w:r>
        <w:rPr>
          <w:rStyle w:val="FootnoteReference"/>
          <w:rFonts w:ascii="Times New Roman" w:hAnsi="Times New Roman"/>
          <w:noProof/>
          <w:sz w:val="24"/>
        </w:rPr>
        <w:footnoteReference w:id="29"/>
      </w:r>
      <w:r>
        <w:rPr>
          <w:rFonts w:ascii="Times New Roman" w:hAnsi="Times New Roman"/>
          <w:noProof/>
          <w:sz w:val="24"/>
        </w:rPr>
        <w:t xml:space="preserve"> avulla voidaan arvioida, kuinka todennäköist</w:t>
      </w:r>
      <w:r>
        <w:rPr>
          <w:rFonts w:ascii="Times New Roman" w:hAnsi="Times New Roman"/>
          <w:noProof/>
          <w:sz w:val="24"/>
        </w:rPr>
        <w:t>ä vuodelle 2020 asetetun tavoitteen saavuttaminen on. Analyysissä tarkastellaan, missä määrin (jäsenvaltioiden tilannekatsauksissaan mainitsemilla) käynnissä olevilla uusiutuvaa energiaa koskevilla toimintapoliittisilla aloitteilla sekä niitä täydentävillä</w:t>
      </w:r>
      <w:r>
        <w:rPr>
          <w:rFonts w:ascii="Times New Roman" w:hAnsi="Times New Roman"/>
          <w:noProof/>
          <w:sz w:val="24"/>
        </w:rPr>
        <w:t xml:space="preserve"> suunnitteilla olevilla toimintapoliittisilla aloitteilla päästään tavoiteltuun uusiutuvan energian osuuteen kussakin jäsenvaltiossa vuoteen 2020 mennessä. Mallinnuksesta käy ilmi, että uusiutuvan energian osuuden voidaan odottaa olevan 18,1–20,7 prosentti</w:t>
      </w:r>
      <w:r>
        <w:rPr>
          <w:rFonts w:ascii="Times New Roman" w:hAnsi="Times New Roman"/>
          <w:noProof/>
          <w:sz w:val="24"/>
        </w:rPr>
        <w:t>a vuonna 2020 koko EU:ssa käyttöön otettujen ja suunnitteilla olevien uusiutuvaa energiaa koskevien toimintapoliittisten aloitteiden perusteella</w:t>
      </w:r>
      <w:r>
        <w:rPr>
          <w:rFonts w:ascii="Times New Roman" w:hAnsi="Times New Roman"/>
          <w:noProof/>
          <w:sz w:val="24"/>
          <w:vertAlign w:val="superscript"/>
        </w:rPr>
        <w:footnoteReference w:id="30"/>
      </w:r>
      <w:r>
        <w:rPr>
          <w:rFonts w:ascii="Times New Roman" w:hAnsi="Times New Roman"/>
          <w:noProof/>
          <w:sz w:val="24"/>
        </w:rPr>
        <w:t>. Monien jäsenvaltioiden uskotaan suoriutuvan hyvin jäljellä olevina vuosina ja pääsevän tavoitetasojaan korkea</w:t>
      </w:r>
      <w:r>
        <w:rPr>
          <w:rFonts w:ascii="Times New Roman" w:hAnsi="Times New Roman"/>
          <w:noProof/>
          <w:sz w:val="24"/>
        </w:rPr>
        <w:t xml:space="preserve">mpiin käyttöönottolukuihin. </w:t>
      </w:r>
    </w:p>
    <w:p w:rsidR="00063A0C" w:rsidRDefault="00907F5B">
      <w:pPr>
        <w:jc w:val="both"/>
        <w:rPr>
          <w:rFonts w:ascii="Times New Roman" w:hAnsi="Times New Roman" w:cs="Times New Roman"/>
          <w:noProof/>
          <w:sz w:val="24"/>
          <w:szCs w:val="24"/>
        </w:rPr>
      </w:pPr>
      <w:r>
        <w:rPr>
          <w:rFonts w:ascii="Times New Roman" w:hAnsi="Times New Roman"/>
          <w:noProof/>
          <w:sz w:val="24"/>
        </w:rPr>
        <w:t>Yhdessätoista jäsenvaltiossa (Belgia, Kypros, Ranska, Kreikka, Irlanti, Luxemburg, Malta, Alankomaat, Puola, Portugali ja Yhdistynyt kuningaskunta) uusiutuvaa energiaa koskeva toteutunut toimintapolitiikka ja suunnitteilla olev</w:t>
      </w:r>
      <w:r>
        <w:rPr>
          <w:rFonts w:ascii="Times New Roman" w:hAnsi="Times New Roman"/>
          <w:noProof/>
          <w:sz w:val="24"/>
        </w:rPr>
        <w:t xml:space="preserve">at toimintapoliittiset aloitteet näyttävät kuitenkin tällä hetkellä riittämättömiltä, jotta uusiutuvan energian määrää saataisiin kasvatettua pelkästään kotimaisin toimin. </w:t>
      </w:r>
    </w:p>
    <w:p w:rsidR="00063A0C" w:rsidRDefault="00907F5B">
      <w:pPr>
        <w:jc w:val="both"/>
        <w:rPr>
          <w:rFonts w:ascii="Times New Roman" w:hAnsi="Times New Roman" w:cs="Times New Roman"/>
          <w:noProof/>
          <w:sz w:val="24"/>
          <w:szCs w:val="24"/>
        </w:rPr>
      </w:pPr>
      <w:r>
        <w:rPr>
          <w:rFonts w:ascii="Times New Roman" w:hAnsi="Times New Roman"/>
          <w:noProof/>
          <w:sz w:val="24"/>
        </w:rPr>
        <w:t>Lisäksi seitsemässä jäsenvaltiossa (Itävalta, Saksa, Latvia, Romania, Slovenia, Slo</w:t>
      </w:r>
      <w:r>
        <w:rPr>
          <w:rFonts w:ascii="Times New Roman" w:hAnsi="Times New Roman"/>
          <w:noProof/>
          <w:sz w:val="24"/>
        </w:rPr>
        <w:t>vakia ja Espanja) vuodelle 2020 asetetun uusiutuvan energian tavoitteen saavuttamiseen liittyy jonkin verran epävarmuutta. Näiden jäsenvaltioiden mahdollisuus päästä vuotta 2020 koskeviin sitoviin tavoitteisiinsa riippuu suurelta osin energian kysynnän tas</w:t>
      </w:r>
      <w:r>
        <w:rPr>
          <w:rFonts w:ascii="Times New Roman" w:hAnsi="Times New Roman"/>
          <w:noProof/>
          <w:sz w:val="24"/>
        </w:rPr>
        <w:t>osta: jos energian kysyntä kasvaisi huomattavasti, niiden energiankulutus palautuisi EU:n viimeisimmässä viiteskenaariossa ennakoidun alkuperäisen kehityskulun tasolle. Tulokset, joissa on huomioitu Luxemburgin yhteistyömekanismit toisaalta Viron ja toisaa</w:t>
      </w:r>
      <w:r>
        <w:rPr>
          <w:rFonts w:ascii="Times New Roman" w:hAnsi="Times New Roman"/>
          <w:noProof/>
          <w:sz w:val="24"/>
        </w:rPr>
        <w:t xml:space="preserve">lta Liettuan kanssa, esitetään kuviossa 4. </w:t>
      </w:r>
    </w:p>
    <w:p w:rsidR="00063A0C" w:rsidRDefault="00907F5B">
      <w:pPr>
        <w:jc w:val="both"/>
        <w:rPr>
          <w:rFonts w:ascii="Times New Roman" w:hAnsi="Times New Roman" w:cs="Times New Roman"/>
          <w:b/>
          <w:noProof/>
          <w:sz w:val="24"/>
          <w:szCs w:val="24"/>
        </w:rPr>
      </w:pPr>
      <w:r>
        <w:rPr>
          <w:noProof/>
          <w:lang w:val="fr-BE" w:eastAsia="fr-BE" w:bidi="ar-SA"/>
        </w:rPr>
        <w:drawing>
          <wp:inline distT="0" distB="0" distL="0" distR="0">
            <wp:extent cx="5731510" cy="240471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404719"/>
                    </a:xfrm>
                    <a:prstGeom prst="rect">
                      <a:avLst/>
                    </a:prstGeom>
                    <a:noFill/>
                    <a:ln>
                      <a:noFill/>
                    </a:ln>
                  </pic:spPr>
                </pic:pic>
              </a:graphicData>
            </a:graphic>
          </wp:inline>
        </w:drawing>
      </w:r>
    </w:p>
    <w:p w:rsidR="00063A0C" w:rsidRDefault="00907F5B">
      <w:pPr>
        <w:jc w:val="both"/>
        <w:rPr>
          <w:rFonts w:ascii="Times New Roman" w:hAnsi="Times New Roman" w:cs="Times New Roman"/>
          <w:i/>
          <w:noProof/>
          <w:sz w:val="24"/>
          <w:szCs w:val="24"/>
        </w:rPr>
      </w:pPr>
      <w:r>
        <w:rPr>
          <w:rFonts w:ascii="Times New Roman" w:hAnsi="Times New Roman"/>
          <w:b/>
          <w:noProof/>
          <w:sz w:val="24"/>
        </w:rPr>
        <w:t>Kuvio 3</w:t>
      </w:r>
      <w:r>
        <w:rPr>
          <w:rFonts w:ascii="Times New Roman" w:hAnsi="Times New Roman"/>
          <w:noProof/>
          <w:sz w:val="24"/>
        </w:rPr>
        <w:t xml:space="preserve">: </w:t>
      </w:r>
      <w:r>
        <w:rPr>
          <w:rFonts w:ascii="Times New Roman" w:hAnsi="Times New Roman"/>
          <w:i/>
          <w:noProof/>
          <w:sz w:val="24"/>
        </w:rPr>
        <w:t xml:space="preserve">Odotettavissa oleva uusiutuvan energian osuus vuonna 2020 verrattuna RED-direktiivin tavoitteisiin vuodelle 2020 sekä kansallisissa uusiutuvaa energiaa käsittelevissä toimintasuunnitelmissa vuodelle 2020 ennakoituihin tavoitteisiin </w:t>
      </w:r>
      <w:r>
        <w:rPr>
          <w:rFonts w:ascii="Times New Roman" w:hAnsi="Times New Roman"/>
          <w:i/>
          <w:noProof/>
          <w:sz w:val="24"/>
          <w:u w:val="single"/>
        </w:rPr>
        <w:t>ilman yhteistyömekanisme</w:t>
      </w:r>
      <w:r>
        <w:rPr>
          <w:rFonts w:ascii="Times New Roman" w:hAnsi="Times New Roman"/>
          <w:i/>
          <w:noProof/>
          <w:sz w:val="24"/>
          <w:u w:val="single"/>
        </w:rPr>
        <w:t>ja</w:t>
      </w:r>
      <w:r>
        <w:rPr>
          <w:rFonts w:ascii="Times New Roman" w:hAnsi="Times New Roman"/>
          <w:i/>
          <w:noProof/>
          <w:sz w:val="24"/>
        </w:rPr>
        <w:t xml:space="preserve"> (prosenttia). Lähde: Navigant (2019)</w:t>
      </w:r>
      <w:r>
        <w:rPr>
          <w:rStyle w:val="FootnoteReference"/>
          <w:rFonts w:ascii="Times New Roman" w:hAnsi="Times New Roman"/>
          <w:i/>
          <w:noProof/>
          <w:sz w:val="24"/>
        </w:rPr>
        <w:footnoteReference w:id="31"/>
      </w:r>
      <w:r>
        <w:rPr>
          <w:rFonts w:ascii="Times New Roman" w:hAnsi="Times New Roman"/>
          <w:i/>
          <w:noProof/>
          <w:sz w:val="24"/>
        </w:rPr>
        <w:t>.</w:t>
      </w:r>
    </w:p>
    <w:p w:rsidR="00063A0C" w:rsidRDefault="00907F5B">
      <w:pPr>
        <w:jc w:val="both"/>
        <w:rPr>
          <w:rFonts w:ascii="Times New Roman" w:hAnsi="Times New Roman" w:cs="Times New Roman"/>
          <w:bCs/>
          <w:noProof/>
          <w:sz w:val="24"/>
          <w:szCs w:val="24"/>
        </w:rPr>
      </w:pPr>
      <w:r>
        <w:rPr>
          <w:noProof/>
          <w:lang w:val="fr-BE" w:eastAsia="fr-BE" w:bidi="ar-SA"/>
        </w:rPr>
        <w:drawing>
          <wp:inline distT="0" distB="0" distL="0" distR="0">
            <wp:extent cx="5731510" cy="288532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885323"/>
                    </a:xfrm>
                    <a:prstGeom prst="rect">
                      <a:avLst/>
                    </a:prstGeom>
                    <a:noFill/>
                    <a:ln>
                      <a:noFill/>
                    </a:ln>
                  </pic:spPr>
                </pic:pic>
              </a:graphicData>
            </a:graphic>
          </wp:inline>
        </w:drawing>
      </w:r>
    </w:p>
    <w:p w:rsidR="00063A0C" w:rsidRDefault="00907F5B">
      <w:pPr>
        <w:jc w:val="both"/>
        <w:rPr>
          <w:rFonts w:ascii="Times New Roman" w:hAnsi="Times New Roman" w:cs="Times New Roman"/>
          <w:i/>
          <w:noProof/>
          <w:sz w:val="24"/>
          <w:szCs w:val="24"/>
        </w:rPr>
      </w:pPr>
      <w:bookmarkStart w:id="9" w:name="_Ref527045038"/>
      <w:r>
        <w:rPr>
          <w:rFonts w:ascii="Times New Roman" w:hAnsi="Times New Roman"/>
          <w:b/>
          <w:noProof/>
          <w:sz w:val="24"/>
        </w:rPr>
        <w:t xml:space="preserve">Kuvio </w:t>
      </w:r>
      <w:bookmarkEnd w:id="9"/>
      <w:r>
        <w:rPr>
          <w:rFonts w:ascii="Times New Roman" w:hAnsi="Times New Roman"/>
          <w:b/>
          <w:noProof/>
          <w:sz w:val="24"/>
        </w:rPr>
        <w:t>4</w:t>
      </w:r>
      <w:r>
        <w:rPr>
          <w:rFonts w:ascii="Times New Roman" w:hAnsi="Times New Roman"/>
          <w:noProof/>
          <w:sz w:val="24"/>
        </w:rPr>
        <w:t xml:space="preserve">: </w:t>
      </w:r>
      <w:r>
        <w:rPr>
          <w:rFonts w:ascii="Times New Roman" w:hAnsi="Times New Roman"/>
          <w:i/>
          <w:noProof/>
          <w:sz w:val="24"/>
        </w:rPr>
        <w:t>Odotettavissa oleva uusiutuvan energian osuus vuonna 2020 verrattuna RED-direktiivin tavoitteisiin vuodelle 2020 sekä kansallisissa uusiutuvaa energiaa käsittelevissä toimintasuunnitelmissa vuodelle 2020</w:t>
      </w:r>
      <w:r>
        <w:rPr>
          <w:rFonts w:ascii="Times New Roman" w:hAnsi="Times New Roman"/>
          <w:i/>
          <w:noProof/>
          <w:sz w:val="24"/>
        </w:rPr>
        <w:t xml:space="preserve"> ennakoituihin tavoitteisiin </w:t>
      </w:r>
      <w:r>
        <w:rPr>
          <w:rFonts w:ascii="Times New Roman" w:hAnsi="Times New Roman"/>
          <w:i/>
          <w:noProof/>
          <w:sz w:val="24"/>
          <w:u w:val="single"/>
        </w:rPr>
        <w:t>ottaen huomioon yhteistyömekanismit</w:t>
      </w:r>
      <w:r>
        <w:rPr>
          <w:rFonts w:ascii="Times New Roman" w:hAnsi="Times New Roman"/>
          <w:i/>
          <w:noProof/>
          <w:sz w:val="24"/>
        </w:rPr>
        <w:t xml:space="preserve"> (jäsenvaltioittain, prosenttia). Lähde: Navigant (2019).</w:t>
      </w:r>
    </w:p>
    <w:p w:rsidR="00063A0C" w:rsidRDefault="00907F5B">
      <w:pPr>
        <w:jc w:val="both"/>
        <w:rPr>
          <w:rFonts w:ascii="Times New Roman" w:hAnsi="Times New Roman" w:cs="Times New Roman"/>
          <w:noProof/>
          <w:sz w:val="24"/>
          <w:szCs w:val="24"/>
        </w:rPr>
      </w:pPr>
      <w:r>
        <w:rPr>
          <w:rFonts w:ascii="Times New Roman" w:hAnsi="Times New Roman"/>
          <w:noProof/>
          <w:sz w:val="24"/>
        </w:rPr>
        <w:t>Energian kokonaiskulutus Luxemburgissa on suhteellisen pieni, joten Viron ja Liettuan tekemillä siirroilla on merkittävä vaikutus Luxe</w:t>
      </w:r>
      <w:r>
        <w:rPr>
          <w:rFonts w:ascii="Times New Roman" w:hAnsi="Times New Roman"/>
          <w:noProof/>
          <w:sz w:val="24"/>
        </w:rPr>
        <w:t>mburgin mahdollisuuteen saavuttaa tavoitteensa. Optimistisimpien skenaarioiden mukaan Luxemburg saavuttaakin 11 prosentin tavoitteensa vuodelle 2020. Näiden siirtojen vaikutus uusiutuvan energian osuuteen Virossa ja Liettuassa on vähäinen, sillä huonoimmas</w:t>
      </w:r>
      <w:r>
        <w:rPr>
          <w:rFonts w:ascii="Times New Roman" w:hAnsi="Times New Roman"/>
          <w:noProof/>
          <w:sz w:val="24"/>
        </w:rPr>
        <w:t>sakin tapauksessa ne pienentävät Viron osuutta vain 0,7 prosenttia ja Liettuan osuutta 0,9 prosenttia.</w:t>
      </w:r>
    </w:p>
    <w:p w:rsidR="00063A0C" w:rsidRDefault="00907F5B">
      <w:pPr>
        <w:jc w:val="both"/>
        <w:rPr>
          <w:rFonts w:ascii="Times New Roman" w:hAnsi="Times New Roman" w:cs="Times New Roman"/>
          <w:noProof/>
          <w:sz w:val="24"/>
          <w:szCs w:val="24"/>
        </w:rPr>
      </w:pPr>
      <w:bookmarkStart w:id="10" w:name="_Toc1149223"/>
      <w:r>
        <w:rPr>
          <w:rFonts w:ascii="Times New Roman" w:hAnsi="Times New Roman"/>
          <w:noProof/>
          <w:sz w:val="24"/>
        </w:rPr>
        <w:t>Vuoteen 2030 suuntautuvien kansallisten energia- ja ilmastosuunnitelmiensa</w:t>
      </w:r>
      <w:r>
        <w:rPr>
          <w:rStyle w:val="FootnoteReference"/>
          <w:rFonts w:ascii="Times New Roman" w:hAnsi="Times New Roman"/>
          <w:noProof/>
          <w:sz w:val="24"/>
        </w:rPr>
        <w:footnoteReference w:id="32"/>
      </w:r>
      <w:r>
        <w:rPr>
          <w:rFonts w:ascii="Times New Roman" w:hAnsi="Times New Roman"/>
          <w:noProof/>
          <w:sz w:val="24"/>
        </w:rPr>
        <w:t xml:space="preserve"> luonnosten perusteella kaikki jäsenvaltiot ovat jo tehneet päätökset osuuksis</w:t>
      </w:r>
      <w:r>
        <w:rPr>
          <w:rFonts w:ascii="Times New Roman" w:hAnsi="Times New Roman"/>
          <w:noProof/>
          <w:sz w:val="24"/>
        </w:rPr>
        <w:t>taan, joilla ne osallistuvat EU:n tason sitovaan tavoitteeseen (vähintään 32 prosenttia), joka tekisi uusiutuvista energialähteistä unionin energiajärjestelmän selkärangan. Komissio arvioi kesäkuuhun 2019 mennessä, ovatko nämä kansalliset osuudet ja niihin</w:t>
      </w:r>
      <w:r>
        <w:rPr>
          <w:rFonts w:ascii="Times New Roman" w:hAnsi="Times New Roman"/>
          <w:noProof/>
          <w:sz w:val="24"/>
        </w:rPr>
        <w:t xml:space="preserve"> liittyvät toimintapolitiikat ja toimenpiteet EU:n päämäärän mukaisia. Tarvittaessa se voi antaa jäsenvaltioille suosituksia.</w:t>
      </w:r>
    </w:p>
    <w:p w:rsidR="00063A0C" w:rsidRDefault="00907F5B">
      <w:pPr>
        <w:pStyle w:val="Heading2"/>
        <w:spacing w:after="120"/>
        <w:ind w:left="714" w:hanging="357"/>
        <w:rPr>
          <w:noProof/>
        </w:rPr>
      </w:pPr>
      <w:r>
        <w:rPr>
          <w:noProof/>
        </w:rPr>
        <w:t>Hallinnolliset esteet</w:t>
      </w:r>
      <w:bookmarkEnd w:id="10"/>
    </w:p>
    <w:p w:rsidR="00063A0C" w:rsidRDefault="00907F5B">
      <w:pPr>
        <w:jc w:val="both"/>
        <w:rPr>
          <w:rFonts w:ascii="Times New Roman" w:hAnsi="Times New Roman" w:cs="Times New Roman"/>
          <w:noProof/>
          <w:sz w:val="24"/>
          <w:szCs w:val="24"/>
        </w:rPr>
      </w:pPr>
      <w:r>
        <w:rPr>
          <w:rFonts w:ascii="Times New Roman" w:hAnsi="Times New Roman"/>
          <w:noProof/>
          <w:sz w:val="24"/>
        </w:rPr>
        <w:t xml:space="preserve">Neljänsissä kansallisissa uusiutuvan energian tilannekatsauksissaan jäsenvaltiot kertovat toimenpiteistä, joilla ne pyrkivät sujuvoittamaan hallintomenettelyjä uusiutuvan energian hankkeissa (RED I </w:t>
      </w:r>
      <w:r>
        <w:rPr>
          <w:noProof/>
        </w:rPr>
        <w:noBreakHyphen/>
      </w:r>
      <w:r>
        <w:rPr>
          <w:rFonts w:ascii="Times New Roman" w:hAnsi="Times New Roman"/>
          <w:noProof/>
          <w:sz w:val="24"/>
        </w:rPr>
        <w:t>direktiivin 13 artiklan mukaisesti). Ulkopuolisen tahon t</w:t>
      </w:r>
      <w:r>
        <w:rPr>
          <w:rFonts w:ascii="Times New Roman" w:hAnsi="Times New Roman"/>
          <w:noProof/>
          <w:sz w:val="24"/>
        </w:rPr>
        <w:t>ekemän analyysin</w:t>
      </w:r>
      <w:r>
        <w:rPr>
          <w:rFonts w:ascii="Times New Roman" w:hAnsi="Times New Roman"/>
          <w:noProof/>
          <w:sz w:val="24"/>
          <w:vertAlign w:val="superscript"/>
        </w:rPr>
        <w:footnoteReference w:id="33"/>
      </w:r>
      <w:r>
        <w:rPr>
          <w:rFonts w:ascii="Times New Roman" w:hAnsi="Times New Roman"/>
          <w:noProof/>
          <w:sz w:val="24"/>
        </w:rPr>
        <w:t xml:space="preserve"> perusteella yleisesti ottaen suuri osa RED I </w:t>
      </w:r>
      <w:r>
        <w:rPr>
          <w:noProof/>
        </w:rPr>
        <w:noBreakHyphen/>
      </w:r>
      <w:r>
        <w:rPr>
          <w:rFonts w:ascii="Times New Roman" w:hAnsi="Times New Roman"/>
          <w:noProof/>
          <w:sz w:val="24"/>
        </w:rPr>
        <w:t>direktiivin mukaisista toimenpiteistä on jo onnistuneesti toteutettu eri jäsenvaltioissa. Näitä toimenpiteitä ovat muun muassa seuraavat: menettelyiden helpottaminen pienimuotoisissa hankkeiss</w:t>
      </w:r>
      <w:r>
        <w:rPr>
          <w:rFonts w:ascii="Times New Roman" w:hAnsi="Times New Roman"/>
          <w:noProof/>
          <w:sz w:val="24"/>
        </w:rPr>
        <w:t>a, verkonhaltijoihin sovellettavat vaatimukset, jotka koskevat kustannusarvioiden ja muiden tarpeellisten tietojen toimittamista, uusiutuvan energian verkkojen kehittämistä ja verkkoon liittämistä koskevat kustannustenjakovaatimukset, uusiutuvilla energial</w:t>
      </w:r>
      <w:r>
        <w:rPr>
          <w:rFonts w:ascii="Times New Roman" w:hAnsi="Times New Roman"/>
          <w:noProof/>
          <w:sz w:val="24"/>
        </w:rPr>
        <w:t>ähteillä tuotetun sähkön huomioon ottaminen kantaverkon kehittämissuunnitelmassa sekä uusiutuvan energian käyttöön kannustavien tukijärjestelmien luominen.</w:t>
      </w:r>
    </w:p>
    <w:p w:rsidR="00063A0C" w:rsidRDefault="00907F5B">
      <w:pPr>
        <w:jc w:val="both"/>
        <w:rPr>
          <w:rFonts w:ascii="Times New Roman" w:hAnsi="Times New Roman" w:cs="Times New Roman"/>
          <w:noProof/>
          <w:sz w:val="24"/>
          <w:szCs w:val="24"/>
        </w:rPr>
      </w:pPr>
      <w:r>
        <w:rPr>
          <w:rFonts w:ascii="Times New Roman" w:hAnsi="Times New Roman"/>
          <w:noProof/>
          <w:sz w:val="24"/>
        </w:rPr>
        <w:t>Rakentamis- ja suunnittelumenettelyihin liittyviä esteitä on kuitenkin viime vuosina tullut lisää. S</w:t>
      </w:r>
      <w:r>
        <w:rPr>
          <w:rFonts w:ascii="Times New Roman" w:hAnsi="Times New Roman"/>
          <w:noProof/>
          <w:sz w:val="24"/>
        </w:rPr>
        <w:t>ähköalalla hankkeiden koon kasvu on aiheuttanut jonkin verran esteitä, sillä suuriin hankkeisiin liittyy ylimääräisiä kaavoitusta ja ympäristösuunnittelua koskevia vaatimuksia. Lämmitys- ja jäähdytysalalla esteissä on pääasiassa kyse kaukolämpöverkkojen ka</w:t>
      </w:r>
      <w:r>
        <w:rPr>
          <w:rFonts w:ascii="Times New Roman" w:hAnsi="Times New Roman"/>
          <w:noProof/>
          <w:sz w:val="24"/>
        </w:rPr>
        <w:t>pasiteetin vähyydestä, kun taas liikennealalla esteet johtuvat yleensä siitä, että biopolttoaineille ja sähköajoneuvoille sopivaa infrastruktuuria on liian vähän. Useimmissa jäsenvaltioissa myös uusiutuvien energialähteiden kasvavan kapasiteetin integroimi</w:t>
      </w:r>
      <w:r>
        <w:rPr>
          <w:rFonts w:ascii="Times New Roman" w:hAnsi="Times New Roman"/>
          <w:noProof/>
          <w:sz w:val="24"/>
        </w:rPr>
        <w:t xml:space="preserve">nen kantaverkkoon tuottaa jatkuvia haasteita. Esteet aiheutuvat pääasiassa verkkoon liittymisen korkeista kustannuksista sekä verkkoon liittymisessä noudatettavien menettelyiden ennustettavuuden ja avoimuuden puutteesta. </w:t>
      </w:r>
    </w:p>
    <w:p w:rsidR="00063A0C" w:rsidRDefault="00907F5B">
      <w:pPr>
        <w:pStyle w:val="Heading1"/>
        <w:rPr>
          <w:noProof/>
        </w:rPr>
      </w:pPr>
      <w:bookmarkStart w:id="11" w:name="_Toc1149224"/>
      <w:r>
        <w:rPr>
          <w:noProof/>
        </w:rPr>
        <w:t>4. BIOPOLTTOAINEIDEN KESTÄVYYDEN A</w:t>
      </w:r>
      <w:r>
        <w:rPr>
          <w:noProof/>
        </w:rPr>
        <w:t>RVIOINTI</w:t>
      </w:r>
      <w:bookmarkEnd w:id="11"/>
      <w:r>
        <w:rPr>
          <w:noProof/>
          <w:vertAlign w:val="superscript"/>
        </w:rPr>
        <w:footnoteReference w:id="34"/>
      </w:r>
      <w:r>
        <w:rPr>
          <w:noProof/>
        </w:rPr>
        <w:t xml:space="preserve"> </w:t>
      </w:r>
    </w:p>
    <w:p w:rsidR="00063A0C" w:rsidRDefault="00907F5B">
      <w:pPr>
        <w:pStyle w:val="Heading2"/>
        <w:numPr>
          <w:ilvl w:val="0"/>
          <w:numId w:val="28"/>
        </w:numPr>
        <w:spacing w:after="120"/>
        <w:rPr>
          <w:noProof/>
        </w:rPr>
      </w:pPr>
      <w:r>
        <w:rPr>
          <w:noProof/>
        </w:rPr>
        <w:t>Katsaus biopolttoaineiden kulutukseen EU:ssa</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Kestävästi tuotettuja biopolttoaineita kulutettiin EU:ssa vuonna 2016 kaikkiaan 13 840 ktoe. Tästä 11 083 ktoe (80 prosenttia) oli biodieseliä ja 2 620 ktoe (19 prosenttia) bioetanolia. Suurin osa (64</w:t>
      </w:r>
      <w:r>
        <w:rPr>
          <w:rFonts w:ascii="Times New Roman" w:hAnsi="Times New Roman"/>
          <w:noProof/>
          <w:sz w:val="24"/>
        </w:rPr>
        <w:t xml:space="preserve"> prosenttia) EU:ssa vuonna 2016 kulutetusta biodieselistä tuotettiin EU:sta peräisin olleista raaka-aineista, joista tärkeimmät olivat rapsi (noin 38 prosenttia), käytetty ruokaöljy (13 prosenttia), eläinrasva (8 prosenttia) ja mäntyöljy (2,5 prosenttia). </w:t>
      </w:r>
      <w:r>
        <w:rPr>
          <w:rFonts w:ascii="Times New Roman" w:hAnsi="Times New Roman"/>
          <w:noProof/>
          <w:sz w:val="24"/>
        </w:rPr>
        <w:t>Loput 36 prosenttia EU:ssa kulutetusta biodieselistä jakautui seuraavasti: 19,6 prosenttiyksikköä oli palmuöljyä Indonesiasta (13,3 prosenttiyksikköä) ja Malesiasta (6,3 prosenttiyksikköä), 6,1 prosenttiyksikköä oli rapsia pääasiassa Australiasta (2,6 pros</w:t>
      </w:r>
      <w:r>
        <w:rPr>
          <w:rFonts w:ascii="Times New Roman" w:hAnsi="Times New Roman"/>
          <w:noProof/>
          <w:sz w:val="24"/>
        </w:rPr>
        <w:t>enttiyksikköä), Ukrainasta (1,8 prosenttiyksikköä) ja Kanadasta (1,2 prosenttiyksikköä), 4,8 prosenttiyksikköä oli useista EU:n ulkopuolisista maista peräisin olevaa käytettyä ruokaöljyä ja 4,3 prosenttiyksikköä oli soijapapua pääasiassa Yhdysvalloista (1,</w:t>
      </w:r>
      <w:r>
        <w:rPr>
          <w:rFonts w:ascii="Times New Roman" w:hAnsi="Times New Roman"/>
          <w:noProof/>
          <w:sz w:val="24"/>
        </w:rPr>
        <w:t>5 prosenttiyksikköä) ja Brasiliasta (1,5 prosenttiyksikköä).</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Myös pääosa EU:ssa kulutetusta etanolista (65 prosenttia) tuotetaan EU:sta peräisin olevista raaka-aineista, esimerkiksi vehnästä (noin 25 prosenttia), maissista (noin 22 prosenttia) ja sokerijuu</w:t>
      </w:r>
      <w:r>
        <w:rPr>
          <w:rFonts w:ascii="Times New Roman" w:hAnsi="Times New Roman"/>
          <w:noProof/>
          <w:sz w:val="24"/>
        </w:rPr>
        <w:t>rikkaasta (17 prosenttia), ja vain pieni osa on peräisin selluloosaetanolista. Eri maista EU:n ulkopuolelta tuotuja etanolipohjaisia raaka-aineita ovat muun muassa maissi (16,4 prosenttia), vehnä (2,9 prosenttia) ja sokerijuurikas (2,9 prosenttia). Merkitt</w:t>
      </w:r>
      <w:r>
        <w:rPr>
          <w:rFonts w:ascii="Times New Roman" w:hAnsi="Times New Roman"/>
          <w:noProof/>
          <w:sz w:val="24"/>
        </w:rPr>
        <w:t xml:space="preserve">ävimpiä kolmansia maita, jotka tuottavat raaka-aineita EU:ssa kulutetulle bioetanolille, ovat Ukraina (9,8 prosenttia), Venäjä (2,1 prosenttia), Brasilia (1,8 prosenttia), Yhdysvallat (1,7 prosenttia) ja Kanada (1,6 prosenttia). </w:t>
      </w:r>
    </w:p>
    <w:p w:rsidR="00063A0C" w:rsidRDefault="00907F5B">
      <w:pPr>
        <w:jc w:val="both"/>
        <w:rPr>
          <w:rFonts w:ascii="Times New Roman" w:hAnsi="Times New Roman" w:cs="Times New Roman"/>
          <w:i/>
          <w:noProof/>
          <w:sz w:val="24"/>
          <w:szCs w:val="24"/>
        </w:rPr>
      </w:pPr>
      <w:r>
        <w:rPr>
          <w:rFonts w:ascii="Times New Roman" w:hAnsi="Times New Roman"/>
          <w:noProof/>
          <w:sz w:val="24"/>
        </w:rPr>
        <w:t>Arvioiden mukaan lähes kai</w:t>
      </w:r>
      <w:r>
        <w:rPr>
          <w:rFonts w:ascii="Times New Roman" w:hAnsi="Times New Roman"/>
          <w:noProof/>
          <w:sz w:val="24"/>
        </w:rPr>
        <w:t>kki EU:ssa vuonna 2016 kulutettu biokaasu oli peräisin kotimaisista raaka-aineista, pääasiassa viljelykasveista sekä maatalouden ja elintarviketeollisuuden jätteistä, mukaan lukien lanta (75 prosenttia). Seuraavaksi tärkeimpiä lähteitä olivat kaatopaikkaka</w:t>
      </w:r>
      <w:r>
        <w:rPr>
          <w:rFonts w:ascii="Times New Roman" w:hAnsi="Times New Roman"/>
          <w:noProof/>
          <w:sz w:val="24"/>
        </w:rPr>
        <w:t>asu (16 prosenttia) ja jätevedenpuhdistuksen biokaasu (9 prosenttia). Bionesteiden osuus kaikesta EU:ssa kulutetusta bioenergiasta vuonna 2016 oli alle yksi prosentti. Niiden alkuperää on vaikea selvittää, sillä jäsenvaltiot eivät erittele biopolttoaineide</w:t>
      </w:r>
      <w:r>
        <w:rPr>
          <w:rFonts w:ascii="Times New Roman" w:hAnsi="Times New Roman"/>
          <w:noProof/>
          <w:sz w:val="24"/>
        </w:rPr>
        <w:t xml:space="preserve">n ja bionesteiden raaka-aineita. </w:t>
      </w:r>
    </w:p>
    <w:tbl>
      <w:tblPr>
        <w:tblStyle w:val="Tablestylegreen"/>
        <w:tblW w:w="0" w:type="auto"/>
        <w:tblLayout w:type="fixed"/>
        <w:tblLook w:val="04A0" w:firstRow="1" w:lastRow="0" w:firstColumn="1" w:lastColumn="0" w:noHBand="0" w:noVBand="1"/>
      </w:tblPr>
      <w:tblGrid>
        <w:gridCol w:w="1879"/>
        <w:gridCol w:w="709"/>
        <w:gridCol w:w="850"/>
        <w:gridCol w:w="914"/>
        <w:gridCol w:w="1071"/>
        <w:gridCol w:w="850"/>
        <w:gridCol w:w="851"/>
        <w:gridCol w:w="1134"/>
      </w:tblGrid>
      <w:tr w:rsidR="00063A0C" w:rsidTr="00063A0C">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100" w:firstRow="0" w:lastRow="0" w:firstColumn="1" w:lastColumn="0" w:oddVBand="0" w:evenVBand="0" w:oddHBand="0" w:evenHBand="0" w:firstRowFirstColumn="1" w:firstRowLastColumn="0" w:lastRowFirstColumn="0" w:lastRowLastColumn="0"/>
            <w:tcW w:w="1879" w:type="dxa"/>
            <w:noWrap/>
            <w:vAlign w:val="top"/>
          </w:tcPr>
          <w:p w:rsidR="00063A0C" w:rsidRDefault="00063A0C">
            <w:pPr>
              <w:keepNext/>
              <w:keepLines/>
              <w:tabs>
                <w:tab w:val="left" w:pos="1446"/>
              </w:tabs>
              <w:spacing w:after="200" w:line="276" w:lineRule="auto"/>
              <w:contextualSpacing w:val="0"/>
              <w:rPr>
                <w:rFonts w:ascii="Times New Roman" w:eastAsiaTheme="minorHAnsi" w:hAnsi="Times New Roman" w:cstheme="minorBidi"/>
                <w:noProof/>
                <w:sz w:val="22"/>
                <w:szCs w:val="22"/>
              </w:rPr>
            </w:pPr>
          </w:p>
        </w:tc>
        <w:tc>
          <w:tcPr>
            <w:tcW w:w="709" w:type="dxa"/>
            <w:noWrap/>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Biokaasu</w:t>
            </w:r>
          </w:p>
        </w:tc>
        <w:tc>
          <w:tcPr>
            <w:tcW w:w="850" w:type="dxa"/>
            <w:noWrap/>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Biobensiini</w:t>
            </w:r>
          </w:p>
        </w:tc>
        <w:tc>
          <w:tcPr>
            <w:tcW w:w="914" w:type="dxa"/>
            <w:noWrap/>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Biodiesel</w:t>
            </w:r>
          </w:p>
        </w:tc>
        <w:tc>
          <w:tcPr>
            <w:tcW w:w="1071" w:type="dxa"/>
            <w:noWrap/>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Muut nestemäiset biopolttoaineet</w:t>
            </w:r>
          </w:p>
        </w:tc>
        <w:tc>
          <w:tcPr>
            <w:tcW w:w="850" w:type="dxa"/>
            <w:noWrap/>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Biolentopetroli</w:t>
            </w:r>
          </w:p>
        </w:tc>
        <w:tc>
          <w:tcPr>
            <w:tcW w:w="851" w:type="dxa"/>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Nestemäiset biopolttoaineet yhteensä</w:t>
            </w:r>
          </w:p>
        </w:tc>
        <w:tc>
          <w:tcPr>
            <w:tcW w:w="1134" w:type="dxa"/>
            <w:textDirection w:val="btLr"/>
          </w:tcPr>
          <w:p w:rsidR="00063A0C" w:rsidRDefault="00907F5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Yhteensä</w:t>
            </w:r>
          </w:p>
        </w:tc>
      </w:tr>
      <w:tr w:rsidR="00063A0C" w:rsidTr="00063A0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Maantieliikenne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131</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2 619</w:t>
            </w:r>
          </w:p>
        </w:tc>
        <w:tc>
          <w:tcPr>
            <w:tcW w:w="914"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11 041</w:t>
            </w:r>
          </w:p>
        </w:tc>
        <w:tc>
          <w:tcPr>
            <w:tcW w:w="1071"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4,5</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13 664</w:t>
            </w:r>
          </w:p>
        </w:tc>
        <w:tc>
          <w:tcPr>
            <w:tcW w:w="1134"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13 796</w:t>
            </w:r>
          </w:p>
        </w:tc>
      </w:tr>
      <w:tr w:rsidR="00063A0C" w:rsidTr="00063A0C">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Raideliikenne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063A0C" w:rsidRDefault="00063A0C">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p>
        </w:tc>
        <w:tc>
          <w:tcPr>
            <w:tcW w:w="914"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32,9</w:t>
            </w:r>
          </w:p>
        </w:tc>
        <w:tc>
          <w:tcPr>
            <w:tcW w:w="1071"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32,9</w:t>
            </w:r>
          </w:p>
        </w:tc>
        <w:tc>
          <w:tcPr>
            <w:tcW w:w="1134"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33,1</w:t>
            </w:r>
          </w:p>
        </w:tc>
      </w:tr>
      <w:tr w:rsidR="00063A0C" w:rsidTr="00063A0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Kansainvälinen lentoliikenne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063A0C" w:rsidTr="00063A0C">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Kotimaan lentoliikenne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063A0C" w:rsidTr="00063A0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Kotimaan vesiliikenne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1,4</w:t>
            </w:r>
          </w:p>
        </w:tc>
        <w:tc>
          <w:tcPr>
            <w:tcW w:w="914"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3,5</w:t>
            </w:r>
          </w:p>
        </w:tc>
        <w:tc>
          <w:tcPr>
            <w:tcW w:w="1071"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5,0</w:t>
            </w:r>
          </w:p>
        </w:tc>
        <w:tc>
          <w:tcPr>
            <w:tcW w:w="1134"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5,0</w:t>
            </w:r>
          </w:p>
        </w:tc>
      </w:tr>
      <w:tr w:rsidR="00063A0C" w:rsidTr="00063A0C">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Muu määrittelemätön liikenne</w:t>
            </w:r>
          </w:p>
        </w:tc>
        <w:tc>
          <w:tcPr>
            <w:tcW w:w="709"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0,5</w:t>
            </w:r>
          </w:p>
        </w:tc>
        <w:tc>
          <w:tcPr>
            <w:tcW w:w="850"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6,2</w:t>
            </w:r>
          </w:p>
        </w:tc>
        <w:tc>
          <w:tcPr>
            <w:tcW w:w="1071"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6,2</w:t>
            </w:r>
          </w:p>
        </w:tc>
        <w:tc>
          <w:tcPr>
            <w:tcW w:w="1134" w:type="dxa"/>
            <w:vAlign w:val="top"/>
          </w:tcPr>
          <w:p w:rsidR="00063A0C" w:rsidRDefault="00907F5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6,7</w:t>
            </w:r>
          </w:p>
        </w:tc>
      </w:tr>
      <w:tr w:rsidR="00063A0C" w:rsidTr="00063A0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063A0C" w:rsidRDefault="00907F5B">
            <w:pPr>
              <w:keepNext/>
              <w:keepLines/>
              <w:spacing w:after="200" w:line="276" w:lineRule="auto"/>
              <w:contextualSpacing w:val="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Yhteensä</w:t>
            </w:r>
          </w:p>
        </w:tc>
        <w:tc>
          <w:tcPr>
            <w:tcW w:w="709"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132</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2 620</w:t>
            </w:r>
          </w:p>
        </w:tc>
        <w:tc>
          <w:tcPr>
            <w:tcW w:w="914"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11 083</w:t>
            </w:r>
          </w:p>
        </w:tc>
        <w:tc>
          <w:tcPr>
            <w:tcW w:w="1071"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4,5</w:t>
            </w:r>
          </w:p>
        </w:tc>
        <w:tc>
          <w:tcPr>
            <w:tcW w:w="850" w:type="dxa"/>
            <w:noWrap/>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0,0</w:t>
            </w:r>
          </w:p>
        </w:tc>
        <w:tc>
          <w:tcPr>
            <w:tcW w:w="851"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13 708</w:t>
            </w:r>
          </w:p>
        </w:tc>
        <w:tc>
          <w:tcPr>
            <w:tcW w:w="1134" w:type="dxa"/>
            <w:vAlign w:val="top"/>
          </w:tcPr>
          <w:p w:rsidR="00063A0C" w:rsidRDefault="00907F5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13 840</w:t>
            </w:r>
          </w:p>
        </w:tc>
      </w:tr>
    </w:tbl>
    <w:p w:rsidR="00063A0C" w:rsidRDefault="00907F5B">
      <w:pPr>
        <w:jc w:val="both"/>
        <w:rPr>
          <w:rFonts w:ascii="Times New Roman" w:hAnsi="Times New Roman" w:cs="Times New Roman"/>
          <w:i/>
          <w:noProof/>
          <w:sz w:val="24"/>
          <w:szCs w:val="24"/>
        </w:rPr>
      </w:pPr>
      <w:r>
        <w:rPr>
          <w:rFonts w:ascii="Times New Roman" w:hAnsi="Times New Roman"/>
          <w:b/>
          <w:noProof/>
          <w:sz w:val="24"/>
        </w:rPr>
        <w:t>Taulukko 2</w:t>
      </w:r>
      <w:r>
        <w:rPr>
          <w:rFonts w:ascii="Times New Roman" w:hAnsi="Times New Roman"/>
          <w:noProof/>
          <w:sz w:val="24"/>
        </w:rPr>
        <w:t xml:space="preserve">: </w:t>
      </w:r>
      <w:r>
        <w:rPr>
          <w:rFonts w:ascii="Times New Roman" w:hAnsi="Times New Roman"/>
          <w:i/>
          <w:noProof/>
          <w:sz w:val="24"/>
        </w:rPr>
        <w:t>Bioenergian loppukulutus EU:n liikenteessä (2016, ktoe). Lähde: Eurostat.</w:t>
      </w:r>
    </w:p>
    <w:p w:rsidR="00063A0C" w:rsidRDefault="00907F5B">
      <w:pPr>
        <w:pStyle w:val="Heading2"/>
        <w:numPr>
          <w:ilvl w:val="0"/>
          <w:numId w:val="28"/>
        </w:numPr>
        <w:spacing w:after="120"/>
        <w:rPr>
          <w:noProof/>
        </w:rPr>
      </w:pPr>
      <w:r>
        <w:rPr>
          <w:noProof/>
        </w:rPr>
        <w:t xml:space="preserve">EU:ssa kulutettujen biopolttoaineiden vaikutukset </w:t>
      </w:r>
    </w:p>
    <w:p w:rsidR="00063A0C" w:rsidRDefault="00907F5B">
      <w:pPr>
        <w:spacing w:before="240"/>
        <w:jc w:val="both"/>
        <w:rPr>
          <w:rFonts w:ascii="Times New Roman" w:eastAsia="Calibri" w:hAnsi="Times New Roman" w:cs="Times New Roman"/>
          <w:noProof/>
          <w:sz w:val="24"/>
          <w:szCs w:val="24"/>
        </w:rPr>
      </w:pPr>
      <w:r>
        <w:rPr>
          <w:rFonts w:ascii="Times New Roman" w:hAnsi="Times New Roman"/>
          <w:noProof/>
          <w:sz w:val="24"/>
        </w:rPr>
        <w:t>Biopolttoaineiden raaka-aineiden alkuperästä tehdyn analyysin perusteella on arvioitu, että EU:n biopolttoainei</w:t>
      </w:r>
      <w:r>
        <w:rPr>
          <w:rFonts w:ascii="Times New Roman" w:hAnsi="Times New Roman"/>
          <w:noProof/>
          <w:sz w:val="24"/>
        </w:rPr>
        <w:t>den kulutuksen vaatimien viljelykasvien tuotantoon tarvittiin vuonna 2016 kaikkiaan 4,9 miljoonaa hehtaaria maata</w:t>
      </w:r>
      <w:r>
        <w:rPr>
          <w:rFonts w:ascii="Times New Roman" w:hAnsi="Times New Roman"/>
          <w:noProof/>
          <w:sz w:val="24"/>
          <w:vertAlign w:val="superscript"/>
        </w:rPr>
        <w:footnoteReference w:id="35"/>
      </w:r>
      <w:r>
        <w:rPr>
          <w:rFonts w:ascii="Times New Roman" w:hAnsi="Times New Roman"/>
          <w:noProof/>
          <w:sz w:val="24"/>
        </w:rPr>
        <w:t xml:space="preserve">. Tästä maapinta-alasta 3,6 miljoonaa hehtaaria (73 prosenttia) sijaitsee EU:ssa ja loput 1,3 miljoonaa hehtaaria (26 prosenttia) kolmansissa </w:t>
      </w:r>
      <w:r>
        <w:rPr>
          <w:rFonts w:ascii="Times New Roman" w:hAnsi="Times New Roman"/>
          <w:noProof/>
          <w:sz w:val="24"/>
        </w:rPr>
        <w:t>maissa. Biopolttoaineiden tuotantoon EU:ssa käytettiin viljelymaasta kaikkiaan 3,1 prosenttia (kun viljelymaan kokonaispinta-alaksi EU:ssa arvioidaan 115 miljoonaa hehtaaria), ja rapsin viljelyn osuus kaikesta biopolttoaineiden tuotantoon käytetystä maapin</w:t>
      </w:r>
      <w:r>
        <w:rPr>
          <w:rFonts w:ascii="Times New Roman" w:hAnsi="Times New Roman"/>
          <w:noProof/>
          <w:sz w:val="24"/>
        </w:rPr>
        <w:t>ta-alasta oli 56 prosenttia. Neljässä tärkeimmässä EU:n ulkopuolisessa maassa, joista tuodaan viljelykasveja EU:ssa kulutettujen biopolttoaineiden valmistukseen, eli Ukrainassa, Brasiliassa, Indonesiassa ja Malesiassa tähän tarkoitukseen käytettiin alle 0,</w:t>
      </w:r>
      <w:r>
        <w:rPr>
          <w:rFonts w:ascii="Times New Roman" w:hAnsi="Times New Roman"/>
          <w:noProof/>
          <w:sz w:val="24"/>
        </w:rPr>
        <w:t xml:space="preserve">5 prosenttia kaikesta viljelymaasta.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Jäsenvaltioiden toimittamien tietojen perusteella biopolttoaineiden liikennekäytöstä johtuva päästövähennys EU:ssa oli yhteensä 33,2 miljoonaa hiilidioksidiekvivalenttitonnia vuonna 2016. Kun otetaan huomioon viljelyka</w:t>
      </w:r>
      <w:r>
        <w:rPr>
          <w:rFonts w:ascii="Times New Roman" w:hAnsi="Times New Roman"/>
          <w:noProof/>
          <w:sz w:val="24"/>
        </w:rPr>
        <w:t>sveista saatavien raaka-aineiden määrän perusteella arvioidut, epäsuorasta maankäytön muutoksesta aiheutuvat päästöt vuodelta 2016 ja kerrotaan ne ILUC-direktiivistä saaduilla vastaavilla keskimääräisillä epäsuorasta maankäytön muutoksesta aiheutuvilla pää</w:t>
      </w:r>
      <w:r>
        <w:rPr>
          <w:rFonts w:ascii="Times New Roman" w:hAnsi="Times New Roman"/>
          <w:noProof/>
          <w:sz w:val="24"/>
        </w:rPr>
        <w:t>stöarvoilla, biopolttoaineiden liikennekäytöstä EU:ssa johtuva päästövähennys pienenee 11,8 miljoonaan hiilidioksidiekvivalenttitonniin (vaihteluväli 7,4–20,4 miljoonaa hiilidioksidiekvivalenttitonnia)</w:t>
      </w:r>
      <w:r>
        <w:rPr>
          <w:rFonts w:ascii="Times New Roman" w:hAnsi="Times New Roman"/>
          <w:noProof/>
          <w:sz w:val="24"/>
          <w:vertAlign w:val="superscript"/>
        </w:rPr>
        <w:footnoteReference w:id="36"/>
      </w:r>
      <w:r>
        <w:rPr>
          <w:rFonts w:ascii="Times New Roman" w:hAnsi="Times New Roman"/>
          <w:noProof/>
          <w:sz w:val="24"/>
        </w:rPr>
        <w:t xml:space="preserve">.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Komission äskettäin teettämässä uusimpien saatavill</w:t>
      </w:r>
      <w:r>
        <w:rPr>
          <w:rFonts w:ascii="Times New Roman" w:hAnsi="Times New Roman"/>
          <w:noProof/>
          <w:sz w:val="24"/>
        </w:rPr>
        <w:t>a olevien tieteellisten julkaisujen katsauksesta</w:t>
      </w:r>
      <w:r>
        <w:rPr>
          <w:rFonts w:ascii="Times New Roman" w:hAnsi="Times New Roman"/>
          <w:noProof/>
          <w:sz w:val="24"/>
          <w:vertAlign w:val="superscript"/>
        </w:rPr>
        <w:footnoteReference w:id="37"/>
      </w:r>
      <w:r>
        <w:rPr>
          <w:rFonts w:ascii="Times New Roman" w:hAnsi="Times New Roman"/>
          <w:noProof/>
          <w:sz w:val="24"/>
        </w:rPr>
        <w:t xml:space="preserve"> käy ilmi, että merkittävimmät epäsuorasta maankäytön muutoksesta aiheutuvat vaikutukset liittyvät biodieseliin, jonka epäsuorasta maankäytön muutoksesta aiheutuva mediaanipäästötaso on 52 hiilidioksidiekviv</w:t>
      </w:r>
      <w:r>
        <w:rPr>
          <w:rFonts w:ascii="Times New Roman" w:hAnsi="Times New Roman"/>
          <w:noProof/>
          <w:sz w:val="24"/>
        </w:rPr>
        <w:t>alenttigrammaa/MJ. Tässä kategoriassa korkeimmat arviot koskevat palmuöljyyn perustuvaa biodieseliä, jonka kohdalla myös tulokset vaihtelevat eniten. Elintarvike- ja rehukasvipohjaisen etanolin epäsuorasta maankäytön muutoksesta aiheutuva mediaanipäästötas</w:t>
      </w:r>
      <w:r>
        <w:rPr>
          <w:rFonts w:ascii="Times New Roman" w:hAnsi="Times New Roman"/>
          <w:noProof/>
          <w:sz w:val="24"/>
        </w:rPr>
        <w:t>o on 21 hiilidioksidi</w:t>
      </w:r>
      <w:r>
        <w:rPr>
          <w:rFonts w:ascii="Times New Roman" w:hAnsi="Times New Roman"/>
          <w:noProof/>
          <w:sz w:val="24"/>
        </w:rPr>
        <w:softHyphen/>
        <w:t xml:space="preserve">ekvivalenttigrammaa/MJ.  </w:t>
      </w:r>
      <w:r>
        <w:rPr>
          <w:rFonts w:ascii="Times New Roman" w:hAnsi="Times New Roman"/>
          <w:noProof/>
          <w:color w:val="000000"/>
          <w:sz w:val="24"/>
        </w:rPr>
        <w:t>Vertailun vuoksi mainittakoon, että uudelleenlaaditun uusiutuvia energialähteitä koskevan direktiivin liitteessä VIII luetellut epäsuorasta maankäytön muutoksesta aiheutuvat päästöt ovat alustavan arvion mukaa</w:t>
      </w:r>
      <w:r>
        <w:rPr>
          <w:rFonts w:ascii="Times New Roman" w:hAnsi="Times New Roman"/>
          <w:noProof/>
          <w:color w:val="000000"/>
          <w:sz w:val="24"/>
        </w:rPr>
        <w:t>n öljykasveilla 55, viljakasveilla ja muilla tärkkelyspitoisilla viljelykasveilla 12 ja sokerilla 13 hiilidioksidi</w:t>
      </w:r>
      <w:r>
        <w:rPr>
          <w:rFonts w:ascii="Times New Roman" w:hAnsi="Times New Roman"/>
          <w:noProof/>
          <w:color w:val="000000"/>
          <w:sz w:val="24"/>
        </w:rPr>
        <w:softHyphen/>
        <w:t xml:space="preserve">ekvivalenttigrammaa/MJ. Katsauksessa on muutakin tarkempaa tietoa biopolttoaineiden epäsuorista vaikutuksista.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EU:ssa kulutettujen biopoltto</w:t>
      </w:r>
      <w:r>
        <w:rPr>
          <w:rFonts w:ascii="Times New Roman" w:hAnsi="Times New Roman"/>
          <w:noProof/>
          <w:sz w:val="24"/>
        </w:rPr>
        <w:t>aineiden tuotannossa käytettyjen raaka-aineiden viljelystä saattaa koitua ympäristölle viljelypaikkakohtaisia haittavaikutuksia käytetyistä viljelymenetelmistä riippuen</w:t>
      </w:r>
      <w:r>
        <w:rPr>
          <w:rStyle w:val="FootnoteReference"/>
          <w:rFonts w:ascii="Times New Roman" w:hAnsi="Times New Roman"/>
          <w:noProof/>
          <w:sz w:val="24"/>
        </w:rPr>
        <w:footnoteReference w:id="38"/>
      </w:r>
      <w:r>
        <w:rPr>
          <w:rFonts w:ascii="Times New Roman" w:hAnsi="Times New Roman"/>
          <w:noProof/>
          <w:sz w:val="24"/>
        </w:rPr>
        <w:t>. Tilannekatsauksissaan useimmat jäsenvaltiot mainitsevat biopolttoaineiden tuotannossa</w:t>
      </w:r>
      <w:r>
        <w:rPr>
          <w:rFonts w:ascii="Times New Roman" w:hAnsi="Times New Roman"/>
          <w:noProof/>
          <w:sz w:val="24"/>
        </w:rPr>
        <w:t xml:space="preserve"> käytettyjen raaka-aineiden viljelyn muodostavan vain pienen osan kaikesta maataloustuotannosta, minkä vuoksi jäsenvaltiot katsovat myös viljelystä aiheutuvien ympäristövaikutusten olevan vähäisiä. Useat jäsenvaltiot toteavat, että biopolttoaineiden raaka-</w:t>
      </w:r>
      <w:r>
        <w:rPr>
          <w:rFonts w:ascii="Times New Roman" w:hAnsi="Times New Roman"/>
          <w:noProof/>
          <w:sz w:val="24"/>
        </w:rPr>
        <w:t>aineena käytettävien viljelykasvien tuotannosta ei pitäisi aiheutua enempää ympäristövaikutuksia kuin muustakaan kasvintuotannosta, koska kaiken maataloustuotannon ympäristövaikutuksia säännellään joka tapauksessa</w:t>
      </w:r>
      <w:r>
        <w:rPr>
          <w:rStyle w:val="FootnoteReference"/>
          <w:rFonts w:ascii="Times New Roman" w:hAnsi="Times New Roman"/>
          <w:noProof/>
          <w:sz w:val="24"/>
        </w:rPr>
        <w:footnoteReference w:id="39"/>
      </w:r>
      <w:r>
        <w:rPr>
          <w:rFonts w:ascii="Times New Roman" w:hAnsi="Times New Roman"/>
          <w:noProof/>
          <w:sz w:val="24"/>
        </w:rPr>
        <w:t>. EU:ssa kulutettujen biopolttoaineiden tu</w:t>
      </w:r>
      <w:r>
        <w:rPr>
          <w:rFonts w:ascii="Times New Roman" w:hAnsi="Times New Roman"/>
          <w:noProof/>
          <w:sz w:val="24"/>
        </w:rPr>
        <w:t>otannosta aiheutuvia ympäristövaikutuksia on arvioitu tarkemmin ulkopuolisessa tutkimuksessa</w:t>
      </w:r>
      <w:r>
        <w:rPr>
          <w:rStyle w:val="FootnoteReference"/>
          <w:rFonts w:ascii="Times New Roman" w:hAnsi="Times New Roman"/>
          <w:noProof/>
          <w:sz w:val="24"/>
        </w:rPr>
        <w:footnoteReference w:id="40"/>
      </w:r>
      <w:r>
        <w:rPr>
          <w:rFonts w:ascii="Times New Roman" w:hAnsi="Times New Roman"/>
          <w:noProof/>
          <w:sz w:val="24"/>
        </w:rPr>
        <w:t>. Komissio on julkaissut hiljattain kattavan raportin, jossa on uusinta tietoa ja arvioita siitä, mikä on elintarvike- ja rehukasvien tuotantoalojen laajenemisen m</w:t>
      </w:r>
      <w:r>
        <w:rPr>
          <w:rFonts w:ascii="Times New Roman" w:hAnsi="Times New Roman"/>
          <w:noProof/>
          <w:sz w:val="24"/>
        </w:rPr>
        <w:t>aailmanlaajuinen tilanne tällä hetkellä</w:t>
      </w:r>
      <w:r>
        <w:rPr>
          <w:rStyle w:val="FootnoteReference"/>
          <w:rFonts w:ascii="Times New Roman" w:hAnsi="Times New Roman"/>
          <w:noProof/>
          <w:sz w:val="24"/>
        </w:rPr>
        <w:footnoteReference w:id="41"/>
      </w:r>
      <w:r>
        <w:rPr>
          <w:rFonts w:ascii="Times New Roman" w:hAnsi="Times New Roman"/>
          <w:noProof/>
          <w:sz w:val="24"/>
        </w:rPr>
        <w:t>.</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EU:n bioenergian kestävyyttä koskevaa kehystä on vahvistettu uudelleenlaaditun uusiutuvia energialähteitä koskevan direktiivin puitteissa. Direktiivissä vahvistetaan erityisesti kansalliset rajat sellaisille biopol</w:t>
      </w:r>
      <w:r>
        <w:rPr>
          <w:rFonts w:ascii="Times New Roman" w:hAnsi="Times New Roman"/>
          <w:noProof/>
          <w:sz w:val="24"/>
        </w:rPr>
        <w:t>ttoaineille, bionesteille ja biomassapolttoaineille, joihin liittyy merkittäviä epäsuorasta maankäytön muutoksesta aiheutuvia vaikutuksia ja jotka on tuotettu ravinto- ja rehukasveista, joiden tuotantoalue on laajentunut merkittävästi paljon hiiltä sitoval</w:t>
      </w:r>
      <w:r>
        <w:rPr>
          <w:rFonts w:ascii="Times New Roman" w:hAnsi="Times New Roman"/>
          <w:noProof/>
          <w:sz w:val="24"/>
        </w:rPr>
        <w:t>le maalle. Nämä rajat alenevat asteittain nollaan vuoteen 2030 mennessä. Rajat vaikuttavat siihen, kuinka suuri osuus kyseisistä polttoaineista voidaan ottaa huomioon laskettaessa uusiutuvien energialähteiden kokonaisosuutta ja uusiutuvien polttoaineiden o</w:t>
      </w:r>
      <w:r>
        <w:rPr>
          <w:rFonts w:ascii="Times New Roman" w:hAnsi="Times New Roman"/>
          <w:noProof/>
          <w:sz w:val="24"/>
        </w:rPr>
        <w:t>suutta liikenteessä. Direktiivin nojalla on kuitenkin mahdollista poiketa kansallisista ylärajoista niiden biopolttoaineiden, bionesteiden ja biomassapolttoaineiden osalta, joiden epäsuorasta maankäytön muutoksesta aiheutuvien vaikutusten riskin on osoitet</w:t>
      </w:r>
      <w:r>
        <w:rPr>
          <w:rFonts w:ascii="Times New Roman" w:hAnsi="Times New Roman"/>
          <w:noProof/>
          <w:sz w:val="24"/>
        </w:rPr>
        <w:t>tu olevan alhainen</w:t>
      </w:r>
      <w:r>
        <w:rPr>
          <w:noProof/>
        </w:rPr>
        <w:t>.</w:t>
      </w:r>
      <w:r>
        <w:rPr>
          <w:rFonts w:ascii="Times New Roman" w:hAnsi="Times New Roman"/>
          <w:noProof/>
          <w:sz w:val="24"/>
        </w:rPr>
        <w:t xml:space="preserve">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Tämän toimintatavan täytäntöön panemiseksi komissio antoi 13. maaliskuuta 2019 delegoidun säädöksen</w:t>
      </w:r>
      <w:r>
        <w:rPr>
          <w:rStyle w:val="FootnoteReference"/>
          <w:rFonts w:ascii="Times New Roman" w:hAnsi="Times New Roman"/>
          <w:noProof/>
          <w:sz w:val="24"/>
        </w:rPr>
        <w:footnoteReference w:id="42"/>
      </w:r>
      <w:r>
        <w:rPr>
          <w:rFonts w:ascii="Times New Roman" w:hAnsi="Times New Roman"/>
          <w:noProof/>
          <w:sz w:val="24"/>
        </w:rPr>
        <w:t xml:space="preserve"> biopolttoaineista, joihin liittyy merkittävä tai vähäinen epäsuorasta maankäytön muutoksesta aiheutuvien vaikutusten riski. Säädös on tällä hetkellä neuvoston ja Euroopan parlamentin käsiteltävänä. EU:ssa on yleisesti päätetty keskittyä jatkossa edistämää</w:t>
      </w:r>
      <w:r>
        <w:rPr>
          <w:rFonts w:ascii="Times New Roman" w:hAnsi="Times New Roman"/>
          <w:noProof/>
          <w:sz w:val="24"/>
        </w:rPr>
        <w:t>n kehittyneitä biopolttoaineita ja muita vähähiilisiä polttoaineita, kuten uusiutuvista energialähteistä tuotettua sähköä sekä muuta kuin biologista alkuperää olevia uusiutuvia nestemäisiä ja kaasumaisia liikenteen polttoaineita. Kehittyneiden biopolttoain</w:t>
      </w:r>
      <w:r>
        <w:rPr>
          <w:rFonts w:ascii="Times New Roman" w:hAnsi="Times New Roman"/>
          <w:noProof/>
          <w:sz w:val="24"/>
        </w:rPr>
        <w:t>eiden markkinaosuus on vielä toistaiseksi varsin pieni, mutta tuotannon laajentamiseen liittyy merkittäviä mahdollisuuksia. Komissio jatkaa kehittyneiden biopolttoaineiden kehitystyön tukemista esimerkiksi tutkimalla mahdollisia uusia raaka-ainelähteitä. T</w:t>
      </w:r>
      <w:r>
        <w:rPr>
          <w:rFonts w:ascii="Times New Roman" w:hAnsi="Times New Roman"/>
          <w:noProof/>
          <w:sz w:val="24"/>
        </w:rPr>
        <w:t xml:space="preserve">ässä vaiheessa ei ole riittävää tieteellistä näyttöä, jolla voitaisiin perustella RED II </w:t>
      </w:r>
      <w:r>
        <w:rPr>
          <w:noProof/>
        </w:rPr>
        <w:noBreakHyphen/>
      </w:r>
      <w:r>
        <w:rPr>
          <w:rFonts w:ascii="Times New Roman" w:hAnsi="Times New Roman"/>
          <w:noProof/>
          <w:sz w:val="24"/>
        </w:rPr>
        <w:t>direktiivin liitteen IX mukaisen kehittyneiden biopolttoaineiden raaka-ainepohjan laajentaminen. Komissio aikoo kuitenkin arvioida, olisiko kehittyneiden biopolttoain</w:t>
      </w:r>
      <w:r>
        <w:rPr>
          <w:rFonts w:ascii="Times New Roman" w:hAnsi="Times New Roman"/>
          <w:noProof/>
          <w:sz w:val="24"/>
        </w:rPr>
        <w:t>eiden tuotantoon jatkossa mahdollista käyttää muitakin raaka-aineita</w:t>
      </w:r>
      <w:r>
        <w:rPr>
          <w:rStyle w:val="FootnoteReference"/>
          <w:rFonts w:ascii="Times New Roman" w:hAnsi="Times New Roman"/>
          <w:noProof/>
          <w:sz w:val="24"/>
        </w:rPr>
        <w:footnoteReference w:id="43"/>
      </w:r>
      <w:r>
        <w:rPr>
          <w:rFonts w:ascii="Times New Roman" w:hAnsi="Times New Roman"/>
          <w:noProof/>
          <w:sz w:val="24"/>
        </w:rPr>
        <w:t>.</w:t>
      </w:r>
    </w:p>
    <w:p w:rsidR="00063A0C" w:rsidRDefault="00907F5B">
      <w:pPr>
        <w:pStyle w:val="Heading2"/>
        <w:numPr>
          <w:ilvl w:val="0"/>
          <w:numId w:val="28"/>
        </w:numPr>
        <w:spacing w:after="120"/>
        <w:rPr>
          <w:noProof/>
        </w:rPr>
      </w:pPr>
      <w:r>
        <w:rPr>
          <w:noProof/>
        </w:rPr>
        <w:t xml:space="preserve">Komission hyväksymien vapaaehtoisten järjestelmien toiminta </w:t>
      </w:r>
    </w:p>
    <w:p w:rsidR="00063A0C" w:rsidRDefault="00907F5B">
      <w:pPr>
        <w:spacing w:before="240"/>
        <w:jc w:val="both"/>
        <w:rPr>
          <w:rFonts w:ascii="Times New Roman" w:eastAsia="Calibri" w:hAnsi="Times New Roman" w:cs="Times New Roman"/>
          <w:noProof/>
          <w:sz w:val="24"/>
          <w:szCs w:val="24"/>
        </w:rPr>
      </w:pPr>
      <w:r>
        <w:rPr>
          <w:rFonts w:ascii="Times New Roman" w:hAnsi="Times New Roman"/>
          <w:noProof/>
          <w:sz w:val="24"/>
        </w:rPr>
        <w:t xml:space="preserve">RED I </w:t>
      </w:r>
      <w:r>
        <w:rPr>
          <w:noProof/>
        </w:rPr>
        <w:noBreakHyphen/>
      </w:r>
      <w:r>
        <w:rPr>
          <w:rFonts w:ascii="Times New Roman" w:hAnsi="Times New Roman"/>
          <w:noProof/>
          <w:sz w:val="24"/>
        </w:rPr>
        <w:t>direktiivin nojalla komissiolla on valtuudet hyväksyä kansainvälisiä tai kansallisia sertifiointijärjestelmiä, joista</w:t>
      </w:r>
      <w:r>
        <w:rPr>
          <w:rFonts w:ascii="Times New Roman" w:hAnsi="Times New Roman"/>
          <w:noProof/>
          <w:sz w:val="24"/>
        </w:rPr>
        <w:t xml:space="preserve"> käytetään nimitystä vapaaehtoiset järjestelmät. Niiden avulla toimijat voivat osoittaa noudattavansa direktiivin biopolttoaineisiin ja bionesteisiin sovellettavia kestävyyttä ja kasvihuonekaasujen vähennyksiä koskevia kriteerejä. Vapaaehtoisia järjestelmi</w:t>
      </w:r>
      <w:r>
        <w:rPr>
          <w:rFonts w:ascii="Times New Roman" w:hAnsi="Times New Roman"/>
          <w:noProof/>
          <w:sz w:val="24"/>
        </w:rPr>
        <w:t>ä on tällä hetkellä hyväksytty 14</w:t>
      </w:r>
      <w:r>
        <w:rPr>
          <w:noProof/>
          <w:vertAlign w:val="superscript"/>
        </w:rPr>
        <w:footnoteReference w:id="44"/>
      </w:r>
      <w:r>
        <w:rPr>
          <w:rFonts w:ascii="Times New Roman" w:hAnsi="Times New Roman"/>
          <w:noProof/>
          <w:sz w:val="24"/>
        </w:rPr>
        <w:t>. Jäsenvaltioiden on hyväksyttävä näihin järjestelmiin osallistuvien toimijoiden hankkimat kestävyyskriteereitä koskevat todisteet. Tällä säännöksellä helpotetaan huomattavasti kestävyyskriteerien täytäntöönpanoa, sillä to</w:t>
      </w:r>
      <w:r>
        <w:rPr>
          <w:rFonts w:ascii="Times New Roman" w:hAnsi="Times New Roman"/>
          <w:noProof/>
          <w:sz w:val="24"/>
        </w:rPr>
        <w:t>imijat voivat toimittaa vaaditut todisteet kaikille EU:n jäsenvaltioille yhteisen hallinnollisen menettelyn mukaisesti</w:t>
      </w:r>
      <w:r>
        <w:rPr>
          <w:noProof/>
          <w:vertAlign w:val="superscript"/>
        </w:rPr>
        <w:footnoteReference w:id="45"/>
      </w:r>
      <w:r>
        <w:rPr>
          <w:rFonts w:ascii="Times New Roman" w:hAnsi="Times New Roman"/>
          <w:noProof/>
          <w:sz w:val="24"/>
        </w:rPr>
        <w:t>. Kaikista vapaaehtoisista järjestelmistä, joista on tehty päätös ja jotka ovat olleet toiminnassa viimeisten 12 kuukauden ajan, on toimi</w:t>
      </w:r>
      <w:r>
        <w:rPr>
          <w:rFonts w:ascii="Times New Roman" w:hAnsi="Times New Roman"/>
          <w:noProof/>
          <w:sz w:val="24"/>
        </w:rPr>
        <w:t>tettava vuosittain raportti komissiolle</w:t>
      </w:r>
      <w:r>
        <w:rPr>
          <w:rStyle w:val="FootnoteReference"/>
          <w:rFonts w:ascii="Times New Roman" w:hAnsi="Times New Roman"/>
          <w:noProof/>
          <w:sz w:val="24"/>
        </w:rPr>
        <w:footnoteReference w:id="46"/>
      </w:r>
      <w:r>
        <w:rPr>
          <w:rFonts w:ascii="Times New Roman" w:hAnsi="Times New Roman"/>
          <w:noProof/>
          <w:sz w:val="24"/>
        </w:rPr>
        <w:t xml:space="preserve">.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Vapaaehtoisista järjestelmistä on viime vuosina tullut tärkein väline, jolla EU:n biopolttoaineiden kestävyyskriteerien noudattaminen voidaan osoittaa. Kalenterivuoden 2017 aikana 21 429 kilotonnia nestemäisiä biopolttoaineita (mukaan lukien puhdas kasviöl</w:t>
      </w:r>
      <w:r>
        <w:rPr>
          <w:rFonts w:ascii="Times New Roman" w:hAnsi="Times New Roman"/>
          <w:noProof/>
          <w:sz w:val="24"/>
        </w:rPr>
        <w:t>jy), 140 045 tuhatta kuutiometriä biometaania (joka vastaa noin 100,8:a kilotonnia) ja 119 119 kilotonnia raaka-aineita on saanut sertifikaatin siitä, että ne noudattavat 17 artiklan 2–5 kohdassa säädettyjä EU:n kestävyyskriteereitä. Sertifioiduista nestem</w:t>
      </w:r>
      <w:r>
        <w:rPr>
          <w:rFonts w:ascii="Times New Roman" w:hAnsi="Times New Roman"/>
          <w:noProof/>
          <w:sz w:val="24"/>
        </w:rPr>
        <w:t>äisistä biopolttoaineista 12 198 kilotonnia (57 prosenttia kokonaismäärästä) oli biodieseliä ja 6 224 kilotonnia (29 prosenttia) oli bioetanolia. Muu osuus koostui vetykäsiteltyyn kasviöljyyn perustuvista biopolttoaineista (1 784 kilotonnia, kahdeksan pros</w:t>
      </w:r>
      <w:r>
        <w:rPr>
          <w:rFonts w:ascii="Times New Roman" w:hAnsi="Times New Roman"/>
          <w:noProof/>
          <w:sz w:val="24"/>
        </w:rPr>
        <w:t>enttia), puhtaasta kasviöljystä (1 053 kilotonnia, viisi prosenttia) ja muista polttoaineista. Määrällisesti biopolttoaineiden valmistukseen käytettiin sertifioiduista raaka-aineista eniten rapsia (27 prosenttia), palmuöljyä (16 prosenttia), käytettyä ruok</w:t>
      </w:r>
      <w:r>
        <w:rPr>
          <w:rFonts w:ascii="Times New Roman" w:hAnsi="Times New Roman"/>
          <w:noProof/>
          <w:sz w:val="24"/>
        </w:rPr>
        <w:t xml:space="preserve">aöljyä (13 prosenttia) ja maissia (12 prosenttia). </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Komissio hyväksyy ainoastaan järjestelmät, jotka täyttävät riittävät luotettavuutta, läpinäkyvyyttä ja riippumatonta tarkastusta koskevat vaatimukset. Tätä varten komissio tekee hyväksymistä hakeville vap</w:t>
      </w:r>
      <w:r>
        <w:rPr>
          <w:rFonts w:ascii="Times New Roman" w:hAnsi="Times New Roman"/>
          <w:noProof/>
          <w:sz w:val="24"/>
        </w:rPr>
        <w:t>aaehtoisille järjestelmille huolellisen arvioinnin</w:t>
      </w:r>
      <w:r>
        <w:rPr>
          <w:rStyle w:val="FootnoteReference"/>
          <w:rFonts w:ascii="Times New Roman" w:hAnsi="Times New Roman"/>
          <w:noProof/>
          <w:sz w:val="24"/>
        </w:rPr>
        <w:footnoteReference w:id="47"/>
      </w:r>
      <w:r>
        <w:rPr>
          <w:rFonts w:ascii="Times New Roman" w:hAnsi="Times New Roman"/>
          <w:noProof/>
          <w:sz w:val="24"/>
        </w:rPr>
        <w:t xml:space="preserve">. Näin varmistetaan muun muassa, että raaka-aineiden tuottajat noudattavat RED I </w:t>
      </w:r>
      <w:r>
        <w:rPr>
          <w:noProof/>
        </w:rPr>
        <w:noBreakHyphen/>
      </w:r>
      <w:r>
        <w:rPr>
          <w:rFonts w:ascii="Times New Roman" w:hAnsi="Times New Roman"/>
          <w:noProof/>
          <w:sz w:val="24"/>
        </w:rPr>
        <w:t>direktiivin kestävyyskriteerejä, kestävyysominaisuuksia koskevat tiedot voidaan jäljittää raaka-aineen alkuperään saakka, y</w:t>
      </w:r>
      <w:r>
        <w:rPr>
          <w:rFonts w:ascii="Times New Roman" w:hAnsi="Times New Roman"/>
          <w:noProof/>
          <w:sz w:val="24"/>
        </w:rPr>
        <w:t>rityksille tehdään tarkastus ennen kuin ne tulevat mukaan järjestelmään, takautuvia tarkastuksia tehdään säännöllisesti ja tarkastajat ovat riippumattomia ulkopuolisia.</w:t>
      </w:r>
    </w:p>
    <w:p w:rsidR="00063A0C" w:rsidRDefault="00907F5B">
      <w:pPr>
        <w:jc w:val="both"/>
        <w:rPr>
          <w:rFonts w:ascii="Times New Roman" w:eastAsia="Calibri" w:hAnsi="Times New Roman" w:cs="Times New Roman"/>
          <w:noProof/>
          <w:sz w:val="24"/>
          <w:szCs w:val="24"/>
        </w:rPr>
      </w:pPr>
      <w:r>
        <w:rPr>
          <w:rFonts w:ascii="Times New Roman" w:hAnsi="Times New Roman"/>
          <w:noProof/>
          <w:sz w:val="24"/>
        </w:rPr>
        <w:t>Vapaaehtoisten järjestelmien hallintoon on viime vuosina kohdistunut yhä enemmän julkis</w:t>
      </w:r>
      <w:r>
        <w:rPr>
          <w:rFonts w:ascii="Times New Roman" w:hAnsi="Times New Roman"/>
          <w:noProof/>
          <w:sz w:val="24"/>
        </w:rPr>
        <w:t>ta huomiota</w:t>
      </w:r>
      <w:r>
        <w:rPr>
          <w:rStyle w:val="FootnoteReference"/>
          <w:rFonts w:ascii="Times New Roman" w:hAnsi="Times New Roman"/>
          <w:noProof/>
          <w:sz w:val="24"/>
        </w:rPr>
        <w:footnoteReference w:id="48"/>
      </w:r>
      <w:r>
        <w:rPr>
          <w:rFonts w:ascii="Times New Roman" w:hAnsi="Times New Roman"/>
          <w:noProof/>
          <w:sz w:val="24"/>
        </w:rPr>
        <w:t xml:space="preserve">. RED II </w:t>
      </w:r>
      <w:r>
        <w:rPr>
          <w:noProof/>
        </w:rPr>
        <w:noBreakHyphen/>
      </w:r>
      <w:r>
        <w:rPr>
          <w:rFonts w:ascii="Times New Roman" w:hAnsi="Times New Roman"/>
          <w:noProof/>
          <w:sz w:val="24"/>
        </w:rPr>
        <w:t>direktiivillä haluttiin puuttua tämäntyyppisiin ongelmiin ja varmistaa luotettava täytäntöönpano. Sen vuoksi direktiivin 30 artiklassa säädetään bioenergian kestävyyskriteerien todentamista koskevien sääntöjen vahvistamisesta, muun mu</w:t>
      </w:r>
      <w:r>
        <w:rPr>
          <w:rFonts w:ascii="Times New Roman" w:hAnsi="Times New Roman"/>
          <w:noProof/>
          <w:sz w:val="24"/>
        </w:rPr>
        <w:t>assa vapaaehtoisten järjestelmien tarkemmasta kansallisen ja EU:n tason valvonnasta sekä kolmansien osapuolten suorittamista tarkastuksista. Direktiivin mukaan komissio antaa asianmukaisia luotettavuuteen, läpinäkyvyyteen ja riippumattomiin tarkastuksiin l</w:t>
      </w:r>
      <w:r>
        <w:rPr>
          <w:rFonts w:ascii="Times New Roman" w:hAnsi="Times New Roman"/>
          <w:noProof/>
          <w:sz w:val="24"/>
        </w:rPr>
        <w:t>iittyviä normeja koskevat yksityiskohtaiset soveltamissäännöt sekä edellyttää, että niitä noudatetaan kaikissa hyväksytyissä vapaaehtoisissa järjestelmissä. Komissio perustaa myös eurooppalaisen tietokannan kestävien biopolttoaineiden jäljitettävyyden para</w:t>
      </w:r>
      <w:r>
        <w:rPr>
          <w:rFonts w:ascii="Times New Roman" w:hAnsi="Times New Roman"/>
          <w:noProof/>
          <w:sz w:val="24"/>
        </w:rPr>
        <w:t xml:space="preserve">ntamiseksi. </w:t>
      </w:r>
    </w:p>
    <w:p w:rsidR="00063A0C" w:rsidRDefault="00063A0C">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2660"/>
        <w:gridCol w:w="2126"/>
        <w:gridCol w:w="1843"/>
        <w:gridCol w:w="2613"/>
      </w:tblGrid>
      <w:tr w:rsidR="00063A0C">
        <w:trPr>
          <w:trHeight w:val="435"/>
        </w:trPr>
        <w:tc>
          <w:tcPr>
            <w:tcW w:w="2660" w:type="dxa"/>
          </w:tcPr>
          <w:p w:rsidR="00063A0C" w:rsidRDefault="00907F5B">
            <w:pPr>
              <w:keepNext/>
              <w:jc w:val="center"/>
              <w:rPr>
                <w:rFonts w:ascii="Times New Roman" w:eastAsia="Calibri" w:hAnsi="Times New Roman" w:cs="Times New Roman"/>
                <w:b/>
                <w:bCs/>
                <w:noProof/>
                <w:sz w:val="20"/>
                <w:szCs w:val="20"/>
              </w:rPr>
            </w:pPr>
            <w:bookmarkStart w:id="12" w:name="RANGE!B1:E16"/>
            <w:r>
              <w:rPr>
                <w:rFonts w:ascii="Times New Roman" w:hAnsi="Times New Roman"/>
                <w:b/>
                <w:noProof/>
                <w:sz w:val="20"/>
              </w:rPr>
              <w:t>Vapaaehtoinen järjestelmä</w:t>
            </w:r>
            <w:bookmarkEnd w:id="12"/>
          </w:p>
        </w:tc>
        <w:tc>
          <w:tcPr>
            <w:tcW w:w="6582" w:type="dxa"/>
            <w:gridSpan w:val="3"/>
          </w:tcPr>
          <w:p w:rsidR="00063A0C" w:rsidRDefault="00907F5B">
            <w:pPr>
              <w:keepNext/>
              <w:jc w:val="center"/>
              <w:rPr>
                <w:rFonts w:ascii="Times New Roman" w:eastAsia="Calibri" w:hAnsi="Times New Roman" w:cs="Times New Roman"/>
                <w:b/>
                <w:bCs/>
                <w:noProof/>
                <w:sz w:val="20"/>
                <w:szCs w:val="20"/>
              </w:rPr>
            </w:pPr>
            <w:r>
              <w:rPr>
                <w:rFonts w:ascii="Times New Roman" w:hAnsi="Times New Roman"/>
                <w:b/>
                <w:noProof/>
                <w:sz w:val="20"/>
              </w:rPr>
              <w:t>Kohde</w:t>
            </w:r>
          </w:p>
        </w:tc>
      </w:tr>
      <w:tr w:rsidR="00063A0C">
        <w:trPr>
          <w:trHeight w:val="265"/>
        </w:trPr>
        <w:tc>
          <w:tcPr>
            <w:tcW w:w="2660" w:type="dxa"/>
          </w:tcPr>
          <w:p w:rsidR="00063A0C" w:rsidRDefault="00907F5B">
            <w:pPr>
              <w:keepNext/>
              <w:jc w:val="center"/>
              <w:rPr>
                <w:rFonts w:ascii="Times New Roman" w:eastAsia="Calibri" w:hAnsi="Times New Roman"/>
                <w:i/>
                <w:noProof/>
                <w:sz w:val="20"/>
              </w:rPr>
            </w:pPr>
            <w:r>
              <w:rPr>
                <w:rFonts w:ascii="Times New Roman" w:hAnsi="Times New Roman"/>
                <w:i/>
                <w:noProof/>
                <w:sz w:val="20"/>
              </w:rPr>
              <w:t>Nimi</w:t>
            </w:r>
          </w:p>
        </w:tc>
        <w:tc>
          <w:tcPr>
            <w:tcW w:w="2126" w:type="dxa"/>
          </w:tcPr>
          <w:p w:rsidR="00063A0C" w:rsidRDefault="00907F5B">
            <w:pPr>
              <w:keepNext/>
              <w:jc w:val="center"/>
              <w:rPr>
                <w:rFonts w:ascii="Times New Roman" w:eastAsia="Calibri" w:hAnsi="Times New Roman"/>
                <w:i/>
                <w:noProof/>
                <w:sz w:val="20"/>
              </w:rPr>
            </w:pPr>
            <w:r>
              <w:rPr>
                <w:rFonts w:ascii="Times New Roman" w:hAnsi="Times New Roman"/>
                <w:i/>
                <w:noProof/>
                <w:sz w:val="20"/>
              </w:rPr>
              <w:t>Raaka-aineen tyyppi</w:t>
            </w:r>
          </w:p>
        </w:tc>
        <w:tc>
          <w:tcPr>
            <w:tcW w:w="1843" w:type="dxa"/>
          </w:tcPr>
          <w:p w:rsidR="00063A0C" w:rsidRDefault="00907F5B">
            <w:pPr>
              <w:keepNext/>
              <w:jc w:val="center"/>
              <w:rPr>
                <w:rFonts w:ascii="Times New Roman" w:eastAsia="Calibri" w:hAnsi="Times New Roman"/>
                <w:i/>
                <w:noProof/>
                <w:sz w:val="20"/>
              </w:rPr>
            </w:pPr>
            <w:r>
              <w:rPr>
                <w:rFonts w:ascii="Times New Roman" w:hAnsi="Times New Roman"/>
                <w:i/>
                <w:noProof/>
                <w:sz w:val="20"/>
              </w:rPr>
              <w:t>Raaka-aineen alkuperä</w:t>
            </w:r>
          </w:p>
        </w:tc>
        <w:tc>
          <w:tcPr>
            <w:tcW w:w="2613" w:type="dxa"/>
          </w:tcPr>
          <w:p w:rsidR="00063A0C" w:rsidRDefault="00907F5B">
            <w:pPr>
              <w:keepNext/>
              <w:jc w:val="center"/>
              <w:rPr>
                <w:rFonts w:ascii="Times New Roman" w:eastAsia="Calibri" w:hAnsi="Times New Roman"/>
                <w:i/>
                <w:noProof/>
                <w:sz w:val="20"/>
              </w:rPr>
            </w:pPr>
            <w:r>
              <w:rPr>
                <w:rFonts w:ascii="Times New Roman" w:hAnsi="Times New Roman"/>
                <w:i/>
                <w:noProof/>
                <w:sz w:val="20"/>
              </w:rPr>
              <w:t>Järjestelmään kuuluva toimitusketjun osa</w:t>
            </w:r>
          </w:p>
        </w:tc>
      </w:tr>
      <w:tr w:rsidR="00063A0C">
        <w:trPr>
          <w:trHeight w:val="555"/>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International Sustainability and Carbon Certification (ISCC)</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Bonsucro EU</w:t>
            </w:r>
          </w:p>
        </w:tc>
        <w:tc>
          <w:tcPr>
            <w:tcW w:w="2126" w:type="dxa"/>
            <w:noWrap/>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Sokeriruoko</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555"/>
        </w:trPr>
        <w:tc>
          <w:tcPr>
            <w:tcW w:w="2660" w:type="dxa"/>
          </w:tcPr>
          <w:p w:rsidR="00063A0C" w:rsidRDefault="00907F5B">
            <w:pPr>
              <w:keepNext/>
              <w:rPr>
                <w:rFonts w:ascii="Times New Roman" w:eastAsia="Calibri" w:hAnsi="Times New Roman" w:cs="Times New Roman"/>
                <w:noProof/>
                <w:sz w:val="20"/>
                <w:szCs w:val="20"/>
                <w:lang w:val="es-ES"/>
              </w:rPr>
            </w:pPr>
            <w:r>
              <w:rPr>
                <w:rFonts w:ascii="Times New Roman" w:hAnsi="Times New Roman"/>
                <w:noProof/>
                <w:sz w:val="20"/>
                <w:lang w:val="es-ES"/>
              </w:rPr>
              <w:t>Roundtable on Sustainable Biomaterial EU RED  (RSB EU RED)</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RTRS EU RED</w:t>
            </w:r>
          </w:p>
        </w:tc>
        <w:tc>
          <w:tcPr>
            <w:tcW w:w="2126" w:type="dxa"/>
            <w:noWrap/>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Soija</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720"/>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 xml:space="preserve">U.S. Soybean Sustainability </w:t>
            </w:r>
            <w:r>
              <w:rPr>
                <w:rFonts w:ascii="Times New Roman" w:hAnsi="Times New Roman"/>
                <w:noProof/>
                <w:sz w:val="20"/>
                <w:lang w:val="en-GB"/>
              </w:rPr>
              <w:t>Assurance Protocol (SSAP)</w:t>
            </w:r>
          </w:p>
        </w:tc>
        <w:tc>
          <w:tcPr>
            <w:tcW w:w="2126" w:type="dxa"/>
            <w:noWrap/>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 xml:space="preserve">Soija </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Yhdysvallat</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Viljelystä vientipaikkaan</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Biomass Biofuels voluntary scheme (2BSvs)</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noWrap/>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690"/>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Scottish Quality Farm Assured Combinable Crops Limited (SQC)</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Kaikki vilja- ja öljykasvit</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Pohjoinen Iso-Britannia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Ensimmäiseen raaka-aineen jakelupaikkaan saakka</w:t>
            </w:r>
          </w:p>
        </w:tc>
      </w:tr>
      <w:tr w:rsidR="00063A0C">
        <w:trPr>
          <w:trHeight w:val="555"/>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Red Tractor Farm Assurance Combinable Crops &amp; Sugar Beet (Red Tractor)</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Vilja- ja öljykasvit, sokerijuurikas</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Yhdistynyt kuningaskunta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Ensimmäiseen raaka-aineen jakelupaikkaan saakka</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REDcert</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Eurooppa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Better Biomass</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538"/>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Gafta Trade Assurance Scheme</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 xml:space="preserve">Useita raaka-aineita </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maailma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Alkuperäketju tilan portilta ensimmäiseen jalostajaan saakka</w:t>
            </w:r>
          </w:p>
        </w:tc>
      </w:tr>
      <w:tr w:rsidR="00063A0C">
        <w:trPr>
          <w:trHeight w:val="360"/>
        </w:trPr>
        <w:tc>
          <w:tcPr>
            <w:tcW w:w="2660"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KZR</w:t>
            </w:r>
            <w:r>
              <w:rPr>
                <w:rFonts w:ascii="Times New Roman" w:hAnsi="Times New Roman"/>
                <w:noProof/>
                <w:sz w:val="20"/>
              </w:rPr>
              <w:t xml:space="preserve"> INiG System</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Useita raaka-aineita</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Eurooppa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Koko toimitusketju</w:t>
            </w:r>
          </w:p>
        </w:tc>
      </w:tr>
      <w:tr w:rsidR="00063A0C">
        <w:trPr>
          <w:trHeight w:val="766"/>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Trade Assurance Scheme for Combinable Crops (TASC)</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Yhdistämiskelpoiset viljelykasvit, kuten viljat, öljykasvit ja sokerijuurikas</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Yhdistynyt kuningaskunta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 xml:space="preserve">Alkuperäketju tilan portilta </w:t>
            </w:r>
            <w:r>
              <w:rPr>
                <w:rFonts w:ascii="Times New Roman" w:hAnsi="Times New Roman"/>
                <w:noProof/>
                <w:sz w:val="20"/>
              </w:rPr>
              <w:t>ensimmäiseen jalostajaan saakka</w:t>
            </w:r>
          </w:p>
        </w:tc>
      </w:tr>
      <w:tr w:rsidR="00063A0C">
        <w:trPr>
          <w:trHeight w:val="738"/>
        </w:trPr>
        <w:tc>
          <w:tcPr>
            <w:tcW w:w="2660" w:type="dxa"/>
          </w:tcPr>
          <w:p w:rsidR="00063A0C" w:rsidRDefault="00907F5B">
            <w:pPr>
              <w:keepNext/>
              <w:rPr>
                <w:rFonts w:ascii="Times New Roman" w:eastAsia="Calibri" w:hAnsi="Times New Roman" w:cs="Times New Roman"/>
                <w:noProof/>
                <w:sz w:val="20"/>
                <w:szCs w:val="20"/>
                <w:lang w:val="en-GB"/>
              </w:rPr>
            </w:pPr>
            <w:r>
              <w:rPr>
                <w:rFonts w:ascii="Times New Roman" w:hAnsi="Times New Roman"/>
                <w:noProof/>
                <w:sz w:val="20"/>
                <w:lang w:val="en-GB"/>
              </w:rPr>
              <w:t>Universal Feed Assurance Scheme (UFAS)</w:t>
            </w:r>
          </w:p>
        </w:tc>
        <w:tc>
          <w:tcPr>
            <w:tcW w:w="2126" w:type="dxa"/>
          </w:tcPr>
          <w:p w:rsidR="00063A0C" w:rsidRDefault="00907F5B">
            <w:pPr>
              <w:keepNext/>
              <w:rPr>
                <w:rFonts w:ascii="Times New Roman" w:eastAsia="Calibri" w:hAnsi="Times New Roman" w:cs="Times New Roman"/>
                <w:noProof/>
                <w:sz w:val="18"/>
                <w:szCs w:val="20"/>
              </w:rPr>
            </w:pPr>
            <w:r>
              <w:rPr>
                <w:rFonts w:ascii="Times New Roman" w:hAnsi="Times New Roman"/>
                <w:noProof/>
                <w:sz w:val="18"/>
              </w:rPr>
              <w:t>Rehun raaka-aineet ja rehuseokset sekä yhdistämiskelpoiset viljelykasvit</w:t>
            </w:r>
          </w:p>
        </w:tc>
        <w:tc>
          <w:tcPr>
            <w:tcW w:w="184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Yhdistynyt kuningaskunta</w:t>
            </w:r>
          </w:p>
        </w:tc>
        <w:tc>
          <w:tcPr>
            <w:tcW w:w="2613" w:type="dxa"/>
          </w:tcPr>
          <w:p w:rsidR="00063A0C" w:rsidRDefault="00907F5B">
            <w:pPr>
              <w:keepNext/>
              <w:rPr>
                <w:rFonts w:ascii="Times New Roman" w:eastAsia="Calibri" w:hAnsi="Times New Roman" w:cs="Times New Roman"/>
                <w:noProof/>
                <w:sz w:val="20"/>
                <w:szCs w:val="20"/>
              </w:rPr>
            </w:pPr>
            <w:r>
              <w:rPr>
                <w:rFonts w:ascii="Times New Roman" w:hAnsi="Times New Roman"/>
                <w:noProof/>
                <w:sz w:val="20"/>
              </w:rPr>
              <w:t>Alkuperäketju tilan portilta ensimmäiseen jalostajaan saakka</w:t>
            </w:r>
          </w:p>
        </w:tc>
      </w:tr>
    </w:tbl>
    <w:p w:rsidR="00063A0C" w:rsidRDefault="00907F5B">
      <w:pPr>
        <w:keepNext/>
        <w:jc w:val="both"/>
        <w:rPr>
          <w:rFonts w:ascii="Times New Roman" w:eastAsia="Calibri" w:hAnsi="Times New Roman" w:cs="Times New Roman"/>
          <w:i/>
          <w:noProof/>
          <w:sz w:val="24"/>
          <w:szCs w:val="24"/>
        </w:rPr>
      </w:pPr>
      <w:r>
        <w:rPr>
          <w:b/>
          <w:i/>
          <w:noProof/>
        </w:rPr>
        <w:t xml:space="preserve"> </w:t>
      </w:r>
      <w:r>
        <w:rPr>
          <w:rFonts w:ascii="Times New Roman" w:hAnsi="Times New Roman"/>
          <w:b/>
          <w:i/>
          <w:noProof/>
          <w:sz w:val="24"/>
        </w:rPr>
        <w:t>Taulukko 3</w:t>
      </w:r>
      <w:r>
        <w:rPr>
          <w:rFonts w:ascii="Times New Roman" w:hAnsi="Times New Roman"/>
          <w:i/>
          <w:noProof/>
          <w:sz w:val="24"/>
        </w:rPr>
        <w:t xml:space="preserve">: Komission </w:t>
      </w:r>
      <w:r>
        <w:rPr>
          <w:rFonts w:ascii="Times New Roman" w:hAnsi="Times New Roman"/>
          <w:i/>
          <w:noProof/>
          <w:sz w:val="24"/>
        </w:rPr>
        <w:t>tähän mennessä hyväksymät vapaaehtoiset järjestelmät.</w:t>
      </w:r>
    </w:p>
    <w:p w:rsidR="00063A0C" w:rsidRDefault="00907F5B">
      <w:pPr>
        <w:rPr>
          <w:rFonts w:ascii="Times New Roman" w:eastAsia="Calibri" w:hAnsi="Times New Roman" w:cs="Times New Roman"/>
          <w:b/>
          <w:noProof/>
          <w:sz w:val="24"/>
          <w:szCs w:val="24"/>
        </w:rPr>
      </w:pPr>
      <w:r>
        <w:rPr>
          <w:noProof/>
        </w:rPr>
        <w:br w:type="page"/>
      </w:r>
    </w:p>
    <w:p w:rsidR="00063A0C" w:rsidRDefault="00907F5B">
      <w:pPr>
        <w:pStyle w:val="Heading1"/>
        <w:rPr>
          <w:noProof/>
          <w:sz w:val="22"/>
        </w:rPr>
      </w:pPr>
      <w:bookmarkStart w:id="13" w:name="_Toc1149228"/>
      <w:r>
        <w:rPr>
          <w:noProof/>
        </w:rPr>
        <w:t>5. PÄÄTELMÄT</w:t>
      </w:r>
      <w:bookmarkEnd w:id="13"/>
    </w:p>
    <w:p w:rsidR="00063A0C" w:rsidRDefault="00907F5B">
      <w:pPr>
        <w:spacing w:after="120"/>
        <w:jc w:val="both"/>
        <w:rPr>
          <w:rFonts w:ascii="Times New Roman" w:hAnsi="Times New Roman" w:cs="Times New Roman"/>
          <w:noProof/>
          <w:sz w:val="24"/>
          <w:szCs w:val="24"/>
        </w:rPr>
      </w:pPr>
      <w:r>
        <w:rPr>
          <w:rFonts w:ascii="Times New Roman" w:hAnsi="Times New Roman"/>
          <w:noProof/>
          <w:sz w:val="24"/>
        </w:rPr>
        <w:t xml:space="preserve">EU on saavuttamassa vuodelle 2020 asetetun uusiutuvaa energiaa koskevan tavoitteensa. Uusiutuvan energian osuus EU:n energiapaletissa oli 17,52 prosenttia vuonna 2017. Uusiutuvaan </w:t>
      </w:r>
      <w:r>
        <w:rPr>
          <w:rFonts w:ascii="Times New Roman" w:hAnsi="Times New Roman"/>
          <w:noProof/>
          <w:sz w:val="24"/>
        </w:rPr>
        <w:t>energiaan tehtävät investoinnit ovat entistä useammin markkinaperusteisia, ja julkisen tuen osuus on laskussa. Syinä tähän ovat uusiutuvaan energiaan liittyvien teknologioiden kustannusten huomattava lasku sekä tukien väheneminen tukijärjestelmien kilpailu</w:t>
      </w:r>
      <w:r>
        <w:rPr>
          <w:rFonts w:ascii="Times New Roman" w:hAnsi="Times New Roman"/>
          <w:noProof/>
          <w:sz w:val="24"/>
        </w:rPr>
        <w:t>kyvyn lisääntyessä. Esimerkkinä ovat eri Euroopan maissa järjestetyt lukuisat huutokaupat, jotka voittaneella ehdokkaalla tukien osuus on hyvin pieni tai jopa nolla.</w:t>
      </w:r>
    </w:p>
    <w:p w:rsidR="00063A0C" w:rsidRDefault="00907F5B">
      <w:pPr>
        <w:spacing w:after="120"/>
        <w:jc w:val="both"/>
        <w:rPr>
          <w:rFonts w:ascii="Times New Roman" w:hAnsi="Times New Roman" w:cs="Times New Roman"/>
          <w:noProof/>
          <w:sz w:val="24"/>
          <w:szCs w:val="24"/>
        </w:rPr>
      </w:pPr>
      <w:r>
        <w:rPr>
          <w:rFonts w:ascii="Times New Roman" w:hAnsi="Times New Roman"/>
          <w:noProof/>
          <w:sz w:val="24"/>
        </w:rPr>
        <w:t>Uusiutuvien energialähteiden osuuden kasvuvauhti on kuitenkin hidastunut vuodesta 2014. EU</w:t>
      </w:r>
      <w:r>
        <w:rPr>
          <w:rFonts w:ascii="Times New Roman" w:hAnsi="Times New Roman"/>
          <w:noProof/>
          <w:sz w:val="24"/>
        </w:rPr>
        <w:t xml:space="preserve"> on edelleen saavuttamassa vuodelle 2020 asetetut uusiutuvaa energiaa koskevat tavoitteensa, mutta tämä edellyttää, että jäljellä olevana aikana toimia tehostetaan vielä. On syytä muistaa, että energiankulutuksen odotetaan tulevaisuudessa edelleen kasvavan</w:t>
      </w:r>
      <w:r>
        <w:rPr>
          <w:rFonts w:ascii="Times New Roman" w:hAnsi="Times New Roman"/>
          <w:noProof/>
          <w:sz w:val="24"/>
        </w:rPr>
        <w:t>. Vuonna 2017 yhteensä 11 jäsenvaltiossa uusiutuvan energian osuus oli jo ylittänyt kansallisen vuotta 2020 koskevan tavoitteen. Kymmenen muuta jäsenvaltiota saavutti tai ylitti uusiutuvia energialähteitä koskevaan direktiiviin perustuvan vuosien 2017–2018</w:t>
      </w:r>
      <w:r>
        <w:rPr>
          <w:rFonts w:ascii="Times New Roman" w:hAnsi="Times New Roman"/>
          <w:noProof/>
          <w:sz w:val="24"/>
        </w:rPr>
        <w:t xml:space="preserve"> keskimääräisen ohjeellisen kehityspolkunsa. Seitsemän jäsenvaltion (Belgia, Ranska, Irlanti, Luxemburg, Alankomaat, Puola ja Slovenia) on kuitenkin lisättävä toimenpiteitä, jos ne aikovat pysyä vuoden 2020 tavoitteeseen johtavalla vuosien 2017–2018 keskim</w:t>
      </w:r>
      <w:r>
        <w:rPr>
          <w:rFonts w:ascii="Times New Roman" w:hAnsi="Times New Roman"/>
          <w:noProof/>
          <w:sz w:val="24"/>
        </w:rPr>
        <w:t xml:space="preserve">ääräisellä ohjeellisella kehityspolullaan. </w:t>
      </w:r>
    </w:p>
    <w:p w:rsidR="00063A0C" w:rsidRDefault="00907F5B">
      <w:pPr>
        <w:jc w:val="both"/>
        <w:rPr>
          <w:rFonts w:ascii="Times New Roman" w:hAnsi="Times New Roman" w:cs="Times New Roman"/>
          <w:noProof/>
          <w:sz w:val="24"/>
          <w:szCs w:val="24"/>
        </w:rPr>
      </w:pPr>
      <w:r>
        <w:rPr>
          <w:rFonts w:ascii="Times New Roman" w:hAnsi="Times New Roman"/>
          <w:noProof/>
          <w:sz w:val="24"/>
        </w:rPr>
        <w:t>Useimpia jäsenvaltioita kannustetaan sekä tehostamaan uusiutuvien energialähteiden käyttöönottoa kaikilla kolmella alalla että leikkaamaan energiankulutustaan, jotta vuodelle 2020 asetetut uusiutuvaa energiaa kos</w:t>
      </w:r>
      <w:r>
        <w:rPr>
          <w:rFonts w:ascii="Times New Roman" w:hAnsi="Times New Roman"/>
          <w:noProof/>
          <w:sz w:val="24"/>
        </w:rPr>
        <w:t>kevat tavoitteet voidaan saavuttaa ja nämä tasot säilyttää perustasona vuodesta 2021 eteenpäin. Uusilla mallinnuksilla on osoitettu, että jotkin jäsenvaltiot eivät käyttöön otetuilla ja suunnitteilla olevilla uusiutuvaa energiaa koskevilla toimintapoliitti</w:t>
      </w:r>
      <w:r>
        <w:rPr>
          <w:rFonts w:ascii="Times New Roman" w:hAnsi="Times New Roman"/>
          <w:noProof/>
          <w:sz w:val="24"/>
        </w:rPr>
        <w:t>silla aloitteilla välttämättä kykene saavuttamaan sitovia kansallisia tavoitteitaan, jos huomioon otetaan vain kotimainen hankinta ilman yhteistyömekanismeja. Jäsenvaltioiden olisi myös harkittava mahdollisuutta hyödyntää uusiutuvia energialähteitä koskeva</w:t>
      </w:r>
      <w:r>
        <w:rPr>
          <w:rFonts w:ascii="Times New Roman" w:hAnsi="Times New Roman"/>
          <w:noProof/>
          <w:sz w:val="24"/>
        </w:rPr>
        <w:t xml:space="preserve">ssa direktiivissä säädettyjä tilastollisia siirtoja. Niiden avulla voidaan joko varmistaa onnistunut lopputulos tilanteessa, jossa jäsenvaltio on jäämässä tavoitteestaan, tai myydä mahdollinen ylijäämä toisille jäsenvaltioille. Komissio on valmis tukemaan </w:t>
      </w:r>
      <w:r>
        <w:rPr>
          <w:rFonts w:ascii="Times New Roman" w:hAnsi="Times New Roman"/>
          <w:noProof/>
          <w:sz w:val="24"/>
        </w:rPr>
        <w:t xml:space="preserve">jäsenvaltioita aktiivisesti tässä asiassa ja helpottamaan tarvittavaa yhteistyötä. </w:t>
      </w:r>
    </w:p>
    <w:p w:rsidR="00063A0C" w:rsidRDefault="00907F5B">
      <w:pPr>
        <w:spacing w:after="120"/>
        <w:jc w:val="both"/>
        <w:rPr>
          <w:rFonts w:ascii="Times New Roman" w:hAnsi="Times New Roman" w:cs="Times New Roman"/>
          <w:noProof/>
          <w:sz w:val="24"/>
          <w:szCs w:val="24"/>
        </w:rPr>
      </w:pPr>
      <w:r>
        <w:rPr>
          <w:rFonts w:ascii="Times New Roman" w:hAnsi="Times New Roman"/>
          <w:noProof/>
          <w:sz w:val="24"/>
        </w:rPr>
        <w:t xml:space="preserve">Tässä yhteydessä on ryhdytty uusiin toimenpiteisiin kaikilla tasoilla ja koko Euroopan unionin alueella. Tähän liittyvät työ, jota tehdään komission perustamassa </w:t>
      </w:r>
      <w:r>
        <w:rPr>
          <w:rFonts w:ascii="Times New Roman" w:hAnsi="Times New Roman"/>
          <w:noProof/>
          <w:sz w:val="24"/>
        </w:rPr>
        <w:t>energiatehokkuutta käsittelevässä työryhmässä, uudet uusiutuvaa energiaa koskevat huutokaupat, jotka on jo julkistettu useissa jäsenvaltioissa (esimerkiksi Ranskassa, Alankomaissa ja Portugalissa), sekä yritysten suorien sähkönhankintasopimusten laajempi h</w:t>
      </w:r>
      <w:r>
        <w:rPr>
          <w:rFonts w:ascii="Times New Roman" w:hAnsi="Times New Roman"/>
          <w:noProof/>
          <w:sz w:val="24"/>
        </w:rPr>
        <w:t>yödyntäminen, minkä ansiosta eurooppalaisyritykset hankkivat vuonna 2018 ennätysmäärän tuulivoimakapasiteettia. Näiden toimenpiteiden uskotaan tuottavan tuloksia lähivuosina.</w:t>
      </w:r>
    </w:p>
    <w:p w:rsidR="00063A0C" w:rsidRDefault="00907F5B">
      <w:pPr>
        <w:jc w:val="both"/>
        <w:rPr>
          <w:rFonts w:ascii="Times New Roman" w:hAnsi="Times New Roman" w:cs="Times New Roman"/>
          <w:noProof/>
          <w:sz w:val="24"/>
          <w:szCs w:val="24"/>
        </w:rPr>
      </w:pPr>
      <w:r>
        <w:rPr>
          <w:rFonts w:ascii="Times New Roman" w:hAnsi="Times New Roman"/>
          <w:noProof/>
          <w:sz w:val="24"/>
        </w:rPr>
        <w:t>EU:ssa kulutetut biopolttoaineet tuotetaan edelleen suurelta osin kotimaisista ra</w:t>
      </w:r>
      <w:r>
        <w:rPr>
          <w:rFonts w:ascii="Times New Roman" w:hAnsi="Times New Roman"/>
          <w:noProof/>
          <w:sz w:val="24"/>
        </w:rPr>
        <w:t>aka-aineista. EU:n kestävyyskriteereillä on onnistuttu minimoimaan biopolttoaineisiin liittyvien merkittävien välittömien ympäristövaikutusten riski riippumatta siitä, ovatko biopolttoaineet kotimaista tuotantoa vai tuodaanko ne kolmansista maista. Euroopa</w:t>
      </w:r>
      <w:r>
        <w:rPr>
          <w:rFonts w:ascii="Times New Roman" w:hAnsi="Times New Roman"/>
          <w:noProof/>
          <w:sz w:val="24"/>
        </w:rPr>
        <w:t>n komission hyväksymistä vapaaehtoisista järjestelmistä on viime vuosina tullut tärkein väline, jolla voidaan osoittaa EU:n biopolttoaineiden kestävyyskriteerien noudattaminen, minkä vuoksi järjestelmät ovat olleet entistä useammin julkisen huomion kohteen</w:t>
      </w:r>
      <w:r>
        <w:rPr>
          <w:rFonts w:ascii="Times New Roman" w:hAnsi="Times New Roman"/>
          <w:noProof/>
          <w:sz w:val="24"/>
        </w:rPr>
        <w:t xml:space="preserve">a. RED II </w:t>
      </w:r>
      <w:r>
        <w:rPr>
          <w:noProof/>
        </w:rPr>
        <w:noBreakHyphen/>
      </w:r>
      <w:r>
        <w:rPr>
          <w:rFonts w:ascii="Times New Roman" w:hAnsi="Times New Roman"/>
          <w:noProof/>
          <w:sz w:val="24"/>
        </w:rPr>
        <w:t>direktiivissä on lisäksi entistä vahvempia kestävyyskriteereitä, jotka koskevat bioenergian kaikkia käyttökohteita (paitsi biopolttoaineiden, myös lämmön- ja sähköntuotannossa käytetyn biomassan ja biokaasun osalta). Näihin kriteereihin sisältyy</w:t>
      </w:r>
      <w:r>
        <w:rPr>
          <w:rFonts w:ascii="Times New Roman" w:hAnsi="Times New Roman"/>
          <w:noProof/>
          <w:sz w:val="24"/>
        </w:rPr>
        <w:t xml:space="preserve"> uusi lähestymistapa, jolla rajoitetaan sellaisten biopolttoaineiden käyttöä, joihin liittyy merkittävä epäsuorasta maankäytön muutoksesta aiheutuvien vaikutusten riski. Vapaaehtoisten järjestelmien hallinnointia on vahvistettu myös kolmannen osapuolen suo</w:t>
      </w:r>
      <w:r>
        <w:rPr>
          <w:rFonts w:ascii="Times New Roman" w:hAnsi="Times New Roman"/>
          <w:noProof/>
          <w:sz w:val="24"/>
        </w:rPr>
        <w:t>rittamien tarkastusten luotettavuuden osalta.</w:t>
      </w:r>
    </w:p>
    <w:sectPr w:rsidR="00063A0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0C" w:rsidRDefault="00907F5B">
      <w:pPr>
        <w:spacing w:after="0" w:line="240" w:lineRule="auto"/>
      </w:pPr>
      <w:r>
        <w:separator/>
      </w:r>
    </w:p>
  </w:endnote>
  <w:endnote w:type="continuationSeparator" w:id="0">
    <w:p w:rsidR="00063A0C" w:rsidRDefault="00907F5B">
      <w:pPr>
        <w:spacing w:after="0" w:line="240" w:lineRule="auto"/>
      </w:pPr>
      <w:r>
        <w:continuationSeparator/>
      </w:r>
    </w:p>
  </w:endnote>
  <w:endnote w:type="continuationNotice" w:id="1">
    <w:p w:rsidR="00063A0C" w:rsidRDefault="00063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907F5B">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8997"/>
      <w:docPartObj>
        <w:docPartGallery w:val="Page Numbers (Bottom of Page)"/>
        <w:docPartUnique/>
      </w:docPartObj>
    </w:sdtPr>
    <w:sdtEndPr>
      <w:rPr>
        <w:noProof/>
      </w:rPr>
    </w:sdtEndPr>
    <w:sdtContent>
      <w:p w:rsidR="00063A0C" w:rsidRDefault="00907F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3A0C" w:rsidRDefault="00063A0C">
    <w:pPr>
      <w:pStyle w:val="Footer"/>
      <w:tabs>
        <w:tab w:val="center" w:pos="4638"/>
      </w:tabs>
      <w:rPr>
        <w:rFonts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0C" w:rsidRDefault="00907F5B">
      <w:pPr>
        <w:spacing w:after="0" w:line="240" w:lineRule="auto"/>
      </w:pPr>
      <w:r>
        <w:separator/>
      </w:r>
    </w:p>
  </w:footnote>
  <w:footnote w:type="continuationSeparator" w:id="0">
    <w:p w:rsidR="00063A0C" w:rsidRDefault="00907F5B">
      <w:pPr>
        <w:spacing w:after="0" w:line="240" w:lineRule="auto"/>
      </w:pPr>
      <w:r>
        <w:continuationSeparator/>
      </w:r>
    </w:p>
  </w:footnote>
  <w:footnote w:type="continuationNotice" w:id="1">
    <w:p w:rsidR="00063A0C" w:rsidRDefault="00063A0C">
      <w:pPr>
        <w:spacing w:after="0" w:line="240" w:lineRule="auto"/>
      </w:pPr>
    </w:p>
  </w:footnote>
  <w:footnote w:id="2">
    <w:p w:rsidR="00063A0C" w:rsidRDefault="00907F5B">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rPr>
        <w:t xml:space="preserve"> </w:t>
      </w:r>
      <w:hyperlink r:id="rId1">
        <w:r>
          <w:rPr>
            <w:rStyle w:val="Hyperlink"/>
            <w:rFonts w:ascii="Times New Roman" w:hAnsi="Times New Roman" w:cs="Times New Roman"/>
          </w:rPr>
          <w:t>https://ec.europa.eu/energy/en/topics/energ</w:t>
        </w:r>
        <w:r>
          <w:rPr>
            <w:rStyle w:val="Hyperlink"/>
            <w:rFonts w:ascii="Times New Roman" w:hAnsi="Times New Roman" w:cs="Times New Roman"/>
          </w:rPr>
          <w:t>y-strategy-and-energy-union/clean-energy-all-europeans</w:t>
        </w:r>
      </w:hyperlink>
      <w:r>
        <w:rPr>
          <w:rFonts w:ascii="Times New Roman" w:hAnsi="Times New Roman" w:cs="Times New Roman"/>
        </w:rPr>
        <w:t xml:space="preserve"> </w:t>
      </w:r>
    </w:p>
  </w:footnote>
  <w:footnote w:id="3">
    <w:p w:rsidR="00063A0C" w:rsidRDefault="00907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Euroopan parlamentin ja neuvoston direktiivi 2009/28/EY, annettu 23 päivänä huhtikuuta 2009, uusiutuvista lähteistä peräisin olevan energian käytön edistämisestä, EUVL L 140, 5.6.2009, s. 16–62. </w:t>
      </w:r>
    </w:p>
  </w:footnote>
  <w:footnote w:id="4">
    <w:p w:rsidR="00063A0C" w:rsidRDefault="00907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
        <w:r>
          <w:rPr>
            <w:rStyle w:val="Hyperlink"/>
            <w:rFonts w:ascii="Times New Roman" w:hAnsi="Times New Roman" w:cs="Times New Roman"/>
          </w:rPr>
          <w:t>https://www.eea.europa.eu/publications/renewable-energy-in-europe-2018</w:t>
        </w:r>
      </w:hyperlink>
      <w:r>
        <w:rPr>
          <w:rFonts w:ascii="Times New Roman" w:hAnsi="Times New Roman" w:cs="Times New Roman"/>
        </w:rPr>
        <w:t xml:space="preserve"> </w:t>
      </w:r>
    </w:p>
  </w:footnote>
  <w:footnote w:id="5">
    <w:p w:rsidR="00063A0C" w:rsidRDefault="00907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773: Puhdas maapallo kaikille. Eurooppalainen visio kukoistavasta, nykyaikaisesta, kilpailukykyisestä ja ilmastoneutraalista taloudesta.</w:t>
      </w:r>
    </w:p>
  </w:footnote>
  <w:footnote w:id="6">
    <w:p w:rsidR="00063A0C" w:rsidRDefault="00907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Eurostat.</w:t>
      </w:r>
    </w:p>
  </w:footnote>
  <w:footnote w:id="7">
    <w:p w:rsidR="00063A0C" w:rsidRDefault="00907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Energinet.dk-verkkosivuston lehdistötiedote 31.8.2018.</w:t>
      </w:r>
    </w:p>
  </w:footnote>
  <w:footnote w:id="8">
    <w:p w:rsidR="00063A0C" w:rsidRDefault="00907F5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hyperlink r:id="rId3">
        <w:r>
          <w:rPr>
            <w:rStyle w:val="Hyperlink"/>
            <w:rFonts w:ascii="Times New Roman" w:hAnsi="Times New Roman"/>
            <w:color w:val="000000" w:themeColor="text1"/>
          </w:rPr>
          <w:t>https://www.eea.europa.eu/publications/renewable-energy-in-europe-2018/</w:t>
        </w:r>
      </w:hyperlink>
      <w:r>
        <w:rPr>
          <w:rFonts w:ascii="Times New Roman" w:hAnsi="Times New Roman"/>
          <w:color w:val="000000" w:themeColor="text1"/>
        </w:rPr>
        <w:t xml:space="preserve"> </w:t>
      </w:r>
    </w:p>
  </w:footnote>
  <w:footnote w:id="9">
    <w:p w:rsidR="00063A0C" w:rsidRDefault="00907F5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Euroopan ympäristökeskuksen vuotta 2017 koskevat arviot.</w:t>
      </w:r>
    </w:p>
  </w:footnote>
  <w:footnote w:id="10">
    <w:p w:rsidR="00063A0C" w:rsidRDefault="00907F5B">
      <w:pPr>
        <w:pStyle w:val="FootnoteText"/>
        <w:rPr>
          <w:rFonts w:ascii="Times New Roman" w:hAnsi="Times New Roman" w:cs="Times New Roman"/>
          <w:lang w:val="en-IE"/>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JRC (2017), Monitoring R&amp;I in Low-Carbon Energy Technologies, </w:t>
      </w:r>
      <w:hyperlink r:id="rId4">
        <w:r>
          <w:rPr>
            <w:rStyle w:val="Hyperlink"/>
            <w:rFonts w:ascii="Times New Roman" w:hAnsi="Times New Roman"/>
            <w:color w:val="auto"/>
            <w:lang w:val="en-GB"/>
          </w:rPr>
          <w:t>http://publications.jrc.ec.europa.eu/repository/handle/JRC105642</w:t>
        </w:r>
      </w:hyperlink>
      <w:r>
        <w:rPr>
          <w:rFonts w:ascii="Times New Roman" w:hAnsi="Times New Roman"/>
          <w:lang w:val="en-GB"/>
        </w:rPr>
        <w:t xml:space="preserve">   </w:t>
      </w:r>
    </w:p>
  </w:footnote>
  <w:footnote w:id="11">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Yhdysvallat, Japani, Etelä-Korea ja Kiina.</w:t>
      </w:r>
    </w:p>
  </w:footnote>
  <w:footnote w:id="12">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IRENA (2019), Report on </w:t>
      </w:r>
      <w:hyperlink r:id="rId5">
        <w:r>
          <w:rPr>
            <w:rStyle w:val="Hyperlink"/>
            <w:rFonts w:ascii="Times New Roman" w:hAnsi="Times New Roman"/>
            <w:color w:val="auto"/>
            <w:u w:val="none"/>
          </w:rPr>
          <w:t>Innovation landscape for a renewable-powered future: Solutions to integrate variable renewables</w:t>
        </w:r>
      </w:hyperlink>
      <w:r>
        <w:rPr>
          <w:rStyle w:val="Hyperlink"/>
          <w:rFonts w:ascii="Times New Roman" w:hAnsi="Times New Roman"/>
          <w:color w:val="auto"/>
          <w:u w:val="none"/>
        </w:rPr>
        <w:t xml:space="preserve">, </w:t>
      </w:r>
      <w:r>
        <w:rPr>
          <w:rStyle w:val="Emphasis"/>
          <w:rFonts w:ascii="Times New Roman" w:hAnsi="Times New Roman"/>
          <w:i w:val="0"/>
        </w:rPr>
        <w:t>julkaistu Brysselissä 19.2.2019.</w:t>
      </w:r>
    </w:p>
  </w:footnote>
  <w:footnote w:id="13">
    <w:p w:rsidR="00063A0C" w:rsidRDefault="00907F5B">
      <w:pPr>
        <w:pStyle w:val="FootnoteText"/>
        <w:rPr>
          <w:rFonts w:ascii="Times New Roman" w:hAnsi="Times New Roman" w:cs="Times New Roman"/>
          <w:color w:val="000000" w:themeColor="text1"/>
          <w:lang w:val="en-GB"/>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JRC (2017), Supply chain of renewable energy technologies in Europe.</w:t>
      </w:r>
    </w:p>
  </w:footnote>
  <w:footnote w:id="14">
    <w:p w:rsidR="00063A0C" w:rsidRDefault="00907F5B">
      <w:pPr>
        <w:pStyle w:val="FootnoteText"/>
        <w:rPr>
          <w:rFonts w:ascii="Times New Roman" w:hAnsi="Times New Roman" w:cs="Times New Roman"/>
          <w:color w:val="000000" w:themeColor="text1"/>
          <w:lang w:val="en-GB"/>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Hoogland, O., Van der Lijn, N., Rademaekers, K., Gentili, P., Colozza, P., Morichi, C. (2017), Assessment of Photovoltaics (PV). Task F – Strategies to rebuild European PV sector; Trinomics.</w:t>
      </w:r>
    </w:p>
  </w:footnote>
  <w:footnote w:id="15">
    <w:p w:rsidR="00063A0C" w:rsidRDefault="00907F5B">
      <w:pPr>
        <w:pStyle w:val="FootnoteText"/>
        <w:rPr>
          <w:lang w:val="en-GB"/>
        </w:rPr>
      </w:pPr>
      <w:r>
        <w:rPr>
          <w:rStyle w:val="FootnoteReference"/>
        </w:rPr>
        <w:footnoteRef/>
      </w:r>
      <w:r>
        <w:rPr>
          <w:lang w:val="en-GB"/>
        </w:rPr>
        <w:t xml:space="preserve"> </w:t>
      </w:r>
      <w:hyperlink r:id="rId6">
        <w:r>
          <w:rPr>
            <w:rStyle w:val="Hyperlink"/>
            <w:rFonts w:ascii="Times New Roman" w:hAnsi="Times New Roman"/>
            <w:lang w:val="en-GB"/>
          </w:rPr>
          <w:t>https://ec.europa.eu/energy/en/topics/technology-and-innovation/strategic-energy-technology-plan</w:t>
        </w:r>
      </w:hyperlink>
      <w:r>
        <w:rPr>
          <w:lang w:val="en-GB"/>
        </w:rPr>
        <w:t xml:space="preserve"> </w:t>
      </w:r>
    </w:p>
  </w:footnote>
  <w:footnote w:id="16">
    <w:p w:rsidR="00063A0C" w:rsidRDefault="00907F5B">
      <w:pPr>
        <w:pStyle w:val="FootnoteText"/>
        <w:rPr>
          <w:rFonts w:ascii="Times New Roman" w:hAnsi="Times New Roman" w:cs="Times New Roman"/>
          <w:color w:val="000000" w:themeColor="text1"/>
          <w:lang w:val="en-GB"/>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Eurobserv’ER:n vuoden 2018 barometri (2019). https://www.eurobserv-er.org/18th-annual-overview-baromet</w:t>
      </w:r>
      <w:r>
        <w:rPr>
          <w:rFonts w:ascii="Times New Roman" w:hAnsi="Times New Roman"/>
          <w:color w:val="000000" w:themeColor="text1"/>
          <w:lang w:val="en-GB"/>
        </w:rPr>
        <w:t>er/</w:t>
      </w:r>
    </w:p>
  </w:footnote>
  <w:footnote w:id="17">
    <w:p w:rsidR="00063A0C" w:rsidRDefault="00907F5B">
      <w:pPr>
        <w:pStyle w:val="FootnoteText"/>
        <w:rPr>
          <w:rFonts w:ascii="Times New Roman" w:hAnsi="Times New Roman" w:cs="Times New Roman"/>
          <w:color w:val="000000" w:themeColor="text1"/>
          <w:lang w:val="en-GB"/>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https://ec.europa.eu/energy/en/data-analysis/energy-prices-and-costs</w:t>
      </w:r>
    </w:p>
  </w:footnote>
  <w:footnote w:id="18">
    <w:p w:rsidR="00063A0C" w:rsidRDefault="00907F5B">
      <w:pPr>
        <w:pStyle w:val="FootnoteText"/>
        <w:rPr>
          <w:lang w:val="en-US"/>
        </w:rPr>
      </w:pPr>
      <w:r>
        <w:rPr>
          <w:rStyle w:val="FootnoteReference"/>
          <w:rFonts w:ascii="Times New Roman" w:hAnsi="Times New Roman"/>
        </w:rPr>
        <w:footnoteRef/>
      </w:r>
      <w:r>
        <w:rPr>
          <w:rFonts w:ascii="Times New Roman" w:hAnsi="Times New Roman"/>
          <w:lang w:val="en-GB"/>
        </w:rPr>
        <w:t xml:space="preserve"> IRENA (2019), </w:t>
      </w:r>
      <w:r>
        <w:rPr>
          <w:rFonts w:ascii="Times New Roman" w:hAnsi="Times New Roman"/>
          <w:color w:val="333333"/>
          <w:lang w:val="en-GB"/>
        </w:rPr>
        <w:t>A New World: the geopolitics of the energy transformation.</w:t>
      </w:r>
    </w:p>
  </w:footnote>
  <w:footnote w:id="19">
    <w:p w:rsidR="00063A0C" w:rsidRDefault="00907F5B">
      <w:pPr>
        <w:autoSpaceDE w:val="0"/>
        <w:autoSpaceDN w:val="0"/>
        <w:adjustRightInd w:val="0"/>
        <w:spacing w:after="0" w:line="240" w:lineRule="auto"/>
        <w:rPr>
          <w:rFonts w:ascii="Times New Roman" w:hAnsi="Times New Roman" w:cs="Times New Roman"/>
          <w:lang w:val="en-GB"/>
        </w:rPr>
      </w:pPr>
      <w:r>
        <w:rPr>
          <w:rStyle w:val="FootnoteReference"/>
          <w:rFonts w:ascii="Times New Roman" w:hAnsi="Times New Roman"/>
          <w:color w:val="000000" w:themeColor="text1"/>
          <w:sz w:val="20"/>
        </w:rPr>
        <w:footnoteRef/>
      </w:r>
      <w:r>
        <w:rPr>
          <w:rFonts w:ascii="Times New Roman" w:hAnsi="Times New Roman"/>
          <w:color w:val="000000" w:themeColor="text1"/>
          <w:sz w:val="20"/>
          <w:lang w:val="en-GB"/>
        </w:rPr>
        <w:t xml:space="preserve"> IRENA (2018), Off-grid Renewable Energy Solutions: Global and Regional Status and Trends.</w:t>
      </w:r>
    </w:p>
  </w:footnote>
  <w:footnote w:id="20">
    <w:p w:rsidR="00063A0C" w:rsidRDefault="00907F5B">
      <w:pPr>
        <w:pStyle w:val="FootnoteText"/>
        <w:rPr>
          <w:rFonts w:ascii="Times New Roman" w:hAnsi="Times New Roman" w:cs="Times New Roman"/>
          <w:lang w:val="en-GB"/>
        </w:rPr>
      </w:pPr>
      <w:r>
        <w:rPr>
          <w:rStyle w:val="FootnoteReference"/>
          <w:rFonts w:ascii="Times New Roman" w:hAnsi="Times New Roman"/>
          <w:color w:val="000000" w:themeColor="text1"/>
        </w:rPr>
        <w:footnoteRef/>
      </w:r>
      <w:r>
        <w:rPr>
          <w:rFonts w:ascii="Times New Roman" w:hAnsi="Times New Roman"/>
          <w:color w:val="000000" w:themeColor="text1"/>
          <w:lang w:val="en-GB"/>
        </w:rPr>
        <w:t xml:space="preserve"> IEA (2017), </w:t>
      </w:r>
      <w:r>
        <w:rPr>
          <w:rFonts w:ascii="Times New Roman" w:hAnsi="Times New Roman"/>
          <w:color w:val="000000" w:themeColor="text1"/>
          <w:lang w:val="en-GB"/>
        </w:rPr>
        <w:t>WEO-2017 Special Report: Energy Access Outlook.</w:t>
      </w:r>
    </w:p>
  </w:footnote>
  <w:footnote w:id="21">
    <w:p w:rsidR="00063A0C" w:rsidRPr="00907F5B" w:rsidRDefault="00907F5B">
      <w:pPr>
        <w:pStyle w:val="FootnoteText"/>
        <w:rPr>
          <w:rFonts w:ascii="Times New Roman" w:hAnsi="Times New Roman" w:cs="Times New Roman"/>
          <w:lang w:val="fr-BE"/>
        </w:rPr>
      </w:pPr>
      <w:r>
        <w:rPr>
          <w:rStyle w:val="FootnoteReference"/>
          <w:rFonts w:ascii="Times New Roman" w:hAnsi="Times New Roman"/>
        </w:rPr>
        <w:footnoteRef/>
      </w:r>
      <w:r w:rsidRPr="00907F5B">
        <w:rPr>
          <w:rFonts w:ascii="Times New Roman" w:hAnsi="Times New Roman"/>
          <w:lang w:val="fr-BE"/>
        </w:rPr>
        <w:t xml:space="preserve"> Direktiivi (EU) 2015/1513.</w:t>
      </w:r>
    </w:p>
  </w:footnote>
  <w:footnote w:id="22">
    <w:p w:rsidR="00063A0C" w:rsidRPr="00907F5B" w:rsidRDefault="00907F5B">
      <w:pPr>
        <w:pStyle w:val="FootnoteText"/>
        <w:rPr>
          <w:rFonts w:ascii="Times New Roman" w:hAnsi="Times New Roman" w:cs="Times New Roman"/>
          <w:lang w:val="fr-BE"/>
        </w:rPr>
      </w:pPr>
      <w:r>
        <w:rPr>
          <w:rStyle w:val="FootnoteReference"/>
          <w:rFonts w:ascii="Times New Roman" w:hAnsi="Times New Roman"/>
        </w:rPr>
        <w:footnoteRef/>
      </w:r>
      <w:r w:rsidRPr="00907F5B">
        <w:rPr>
          <w:rFonts w:ascii="Times New Roman" w:hAnsi="Times New Roman"/>
          <w:lang w:val="fr-BE"/>
        </w:rPr>
        <w:t xml:space="preserve"> </w:t>
      </w:r>
      <w:hyperlink r:id="rId7">
        <w:r w:rsidRPr="00907F5B">
          <w:rPr>
            <w:rStyle w:val="Hyperlink"/>
            <w:rFonts w:ascii="Times New Roman" w:hAnsi="Times New Roman"/>
            <w:lang w:val="fr-BE"/>
          </w:rPr>
          <w:t>https://ec.europa.eu/energy/en/topics/renewable-energy/progress-reports</w:t>
        </w:r>
      </w:hyperlink>
      <w:r w:rsidRPr="00907F5B">
        <w:rPr>
          <w:rFonts w:ascii="Times New Roman" w:hAnsi="Times New Roman"/>
          <w:lang w:val="fr-BE"/>
        </w:rPr>
        <w:t xml:space="preserve"> </w:t>
      </w:r>
    </w:p>
  </w:footnote>
  <w:footnote w:id="23">
    <w:p w:rsidR="00063A0C" w:rsidRPr="00907F5B" w:rsidRDefault="00907F5B">
      <w:pPr>
        <w:pStyle w:val="FootnoteText"/>
        <w:rPr>
          <w:lang w:val="fr-BE"/>
        </w:rPr>
      </w:pPr>
      <w:r>
        <w:rPr>
          <w:rStyle w:val="FootnoteReference"/>
          <w:rFonts w:ascii="Times New Roman" w:hAnsi="Times New Roman"/>
        </w:rPr>
        <w:footnoteRef/>
      </w:r>
      <w:r w:rsidRPr="00907F5B">
        <w:rPr>
          <w:rFonts w:ascii="Times New Roman" w:hAnsi="Times New Roman"/>
          <w:lang w:val="fr-BE"/>
        </w:rPr>
        <w:t xml:space="preserve"> </w:t>
      </w:r>
      <w:hyperlink r:id="rId8">
        <w:r w:rsidRPr="00907F5B">
          <w:rPr>
            <w:rStyle w:val="Hyperlink"/>
            <w:rFonts w:ascii="Times New Roman" w:hAnsi="Times New Roman"/>
            <w:lang w:val="fr-BE"/>
          </w:rPr>
          <w:t>https://ec.europa.eu/energy/en/topics/renewable-energy/national-action-plans</w:t>
        </w:r>
      </w:hyperlink>
      <w:r w:rsidRPr="00907F5B">
        <w:rPr>
          <w:rFonts w:ascii="Times New Roman" w:hAnsi="Times New Roman"/>
          <w:lang w:val="fr-BE"/>
        </w:rPr>
        <w:t xml:space="preserve">   </w:t>
      </w:r>
    </w:p>
  </w:footnote>
  <w:footnote w:id="24">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SHARES (2017). Laskelmassa on käytetty RED I </w:t>
      </w:r>
      <w:r>
        <w:noBreakHyphen/>
      </w:r>
      <w:r>
        <w:rPr>
          <w:rFonts w:ascii="Times New Roman" w:hAnsi="Times New Roman"/>
        </w:rPr>
        <w:t>direktiivissä määritettyj</w:t>
      </w:r>
      <w:r>
        <w:rPr>
          <w:rFonts w:ascii="Times New Roman" w:hAnsi="Times New Roman"/>
        </w:rPr>
        <w:t>ä kertoimia.</w:t>
      </w:r>
    </w:p>
  </w:footnote>
  <w:footnote w:id="25">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Mukaan lukien Norja.</w:t>
      </w:r>
    </w:p>
  </w:footnote>
  <w:footnote w:id="26">
    <w:p w:rsidR="00063A0C" w:rsidRDefault="00907F5B">
      <w:pPr>
        <w:pStyle w:val="FootnoteText"/>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7">
    <w:p w:rsidR="00063A0C" w:rsidRDefault="00907F5B">
      <w:pPr>
        <w:pStyle w:val="FootnoteText"/>
        <w:rPr>
          <w:rFonts w:ascii="Times New Roman" w:hAnsi="Times New Roman" w:cs="Times New Roman"/>
          <w:lang w:val="en-GB"/>
        </w:rPr>
      </w:pPr>
      <w:r>
        <w:rPr>
          <w:rStyle w:val="FootnoteReference"/>
        </w:rPr>
        <w:footnoteRef/>
      </w:r>
      <w:r>
        <w:rPr>
          <w:lang w:val="en-GB"/>
        </w:rPr>
        <w:t xml:space="preserve"> </w:t>
      </w:r>
      <w:r>
        <w:rPr>
          <w:rFonts w:ascii="Times New Roman" w:hAnsi="Times New Roman"/>
          <w:lang w:val="en-GB"/>
        </w:rPr>
        <w:t xml:space="preserve">Navigant (2019), </w:t>
      </w:r>
      <w:hyperlink r:id="rId10">
        <w:r>
          <w:rPr>
            <w:rStyle w:val="Hyperlink"/>
            <w:rFonts w:ascii="Times New Roman" w:hAnsi="Times New Roman"/>
            <w:lang w:val="en-GB"/>
          </w:rPr>
          <w:t>Technical assistance in realisation of the 4th report on progress of renewable energy in the EU, final r</w:t>
        </w:r>
        <w:r>
          <w:rPr>
            <w:rStyle w:val="Hyperlink"/>
            <w:rFonts w:ascii="Times New Roman" w:hAnsi="Times New Roman"/>
            <w:lang w:val="en-GB"/>
          </w:rPr>
          <w:t>eport.</w:t>
        </w:r>
      </w:hyperlink>
      <w:r>
        <w:rPr>
          <w:rFonts w:ascii="Times New Roman" w:hAnsi="Times New Roman"/>
          <w:lang w:val="en-GB"/>
        </w:rPr>
        <w:t xml:space="preserve"> </w:t>
      </w:r>
    </w:p>
  </w:footnote>
  <w:footnote w:id="28">
    <w:p w:rsidR="00063A0C" w:rsidRDefault="00907F5B">
      <w:pPr>
        <w:pStyle w:val="FootnoteText"/>
      </w:pPr>
      <w:r>
        <w:rPr>
          <w:rStyle w:val="FootnoteReference"/>
        </w:rPr>
        <w:footnoteRef/>
      </w:r>
      <w:r>
        <w:t xml:space="preserve"> </w:t>
      </w:r>
      <w:r>
        <w:rPr>
          <w:rFonts w:ascii="Times New Roman" w:hAnsi="Times New Roman"/>
        </w:rPr>
        <w:t>Taulukossa ovat mukana vain jäsenvaltiot, jotka antoivat nämä tiedot tilannekatsauksissaan.</w:t>
      </w:r>
    </w:p>
  </w:footnote>
  <w:footnote w:id="29">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Skenaarioiden laskemisessa käytettiin Green-X-malliin kuuluvaa sovellusta. Green-X on uusiutuvaa energiaa koskevien eurooppalaisten poliittisten välinei</w:t>
      </w:r>
      <w:r>
        <w:rPr>
          <w:rFonts w:ascii="Times New Roman" w:hAnsi="Times New Roman"/>
        </w:rPr>
        <w:t xml:space="preserve">den simulointityökalu. </w:t>
      </w:r>
      <w:hyperlink r:id="rId11">
        <w:r>
          <w:rPr>
            <w:rStyle w:val="Hyperlink"/>
            <w:rFonts w:ascii="Times New Roman" w:hAnsi="Times New Roman"/>
          </w:rPr>
          <w:t>https://green-x.at/</w:t>
        </w:r>
      </w:hyperlink>
    </w:p>
  </w:footnote>
  <w:footnote w:id="30">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Vaihteluväli kuvastaa epävarmuutta, joka liittyy uusiutuvan energian tulevan käytön malliperustaisen arvioinnin keskeiseen syöttöparametriin. Ratkaisevassa asemassa ovat en</w:t>
      </w:r>
      <w:r>
        <w:rPr>
          <w:rFonts w:ascii="Times New Roman" w:hAnsi="Times New Roman"/>
        </w:rPr>
        <w:t>ergian tuleva kysyntä (ja sen kasvu) sekä toimintapolitiikan toteutuminen.</w:t>
      </w:r>
    </w:p>
  </w:footnote>
  <w:footnote w:id="31">
    <w:p w:rsidR="00063A0C" w:rsidRDefault="00907F5B">
      <w:pPr>
        <w:pStyle w:val="FootnoteText"/>
        <w:rPr>
          <w:lang w:val="en-GB"/>
        </w:rPr>
      </w:pPr>
      <w:r>
        <w:rPr>
          <w:rStyle w:val="FootnoteReference"/>
        </w:rPr>
        <w:footnoteRef/>
      </w:r>
      <w:r>
        <w:rPr>
          <w:lang w:val="en-GB"/>
        </w:rPr>
        <w:t xml:space="preserve"> </w:t>
      </w:r>
      <w:r>
        <w:rPr>
          <w:rFonts w:ascii="Times New Roman" w:hAnsi="Times New Roman"/>
          <w:lang w:val="en-GB"/>
        </w:rPr>
        <w:t xml:space="preserve">Navigant (2019), </w:t>
      </w:r>
      <w:hyperlink r:id="rId12">
        <w:r>
          <w:rPr>
            <w:rStyle w:val="Hyperlink"/>
            <w:rFonts w:ascii="Times New Roman" w:hAnsi="Times New Roman"/>
            <w:lang w:val="en-GB"/>
          </w:rPr>
          <w:t>Technical assistance in realisation of the 4th report on progress of renewable energy in the EU, final report.</w:t>
        </w:r>
      </w:hyperlink>
    </w:p>
  </w:footnote>
  <w:footnote w:id="32">
    <w:p w:rsidR="00063A0C" w:rsidRDefault="00907F5B">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https://ec.europa.eu/energy/en/topics/energy-strategy-and-energy-union/governance-energy-union/national-energy-climate</w:t>
      </w:r>
      <w:r>
        <w:rPr>
          <w:rFonts w:ascii="Times New Roman" w:hAnsi="Times New Roman"/>
          <w:lang w:val="en-GB"/>
        </w:rPr>
        <w:t>-plans</w:t>
      </w:r>
    </w:p>
  </w:footnote>
  <w:footnote w:id="33">
    <w:p w:rsidR="00063A0C" w:rsidRDefault="00907F5B">
      <w:pPr>
        <w:pStyle w:val="FootnoteText"/>
        <w:rPr>
          <w:lang w:val="en-US"/>
        </w:rPr>
      </w:pPr>
      <w:r>
        <w:rPr>
          <w:rStyle w:val="FootnoteReference"/>
          <w:rFonts w:ascii="Times New Roman" w:hAnsi="Times New Roman"/>
        </w:rPr>
        <w:footnoteRef/>
      </w:r>
      <w:r>
        <w:rPr>
          <w:rFonts w:ascii="Times New Roman" w:hAnsi="Times New Roman"/>
          <w:lang w:val="en-GB"/>
        </w:rPr>
        <w:t xml:space="preserve"> Navigant (2019).</w:t>
      </w:r>
    </w:p>
  </w:footnote>
  <w:footnote w:id="34">
    <w:p w:rsidR="00063A0C" w:rsidRDefault="00907F5B">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Tässä luvussa esitettyjen tietojen ja arvioiden pääasiallinen lähde on Navigant (2019), Technical assistance in realisation of the 2018 report on biofuels sustainability.</w:t>
      </w:r>
    </w:p>
  </w:footnote>
  <w:footnote w:id="35">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Biopolttoaineiden raaka-aineita analysoitaessa on otettu huomioon biopolttoaineiden ja niiden raaka-aineiden kansainvälinen kauppa sekä muuntohyötysuhde.</w:t>
      </w:r>
    </w:p>
  </w:footnote>
  <w:footnote w:id="36">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Laskelma pohjautuu direktiivin (EU) 2018/2001 liitteessä VIII oleviin biopolttoaineiden, bionesteid</w:t>
      </w:r>
      <w:r>
        <w:rPr>
          <w:rFonts w:ascii="Times New Roman" w:hAnsi="Times New Roman"/>
        </w:rPr>
        <w:t>en ja biomassapolttoaineiden raaka-aineisiin liittyvästä epäsuorasta maankäytön muutoksesta aiheutuviin alustaviin päästöarvioihin (grammaa hiilidioksidiekvivalenttia/MJ). Lisätietoa asiakirjassa Navigant (2019).</w:t>
      </w:r>
    </w:p>
  </w:footnote>
  <w:footnote w:id="37">
    <w:p w:rsidR="00063A0C" w:rsidRDefault="00907F5B">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Wageningen Research, Netherlands Environm</w:t>
      </w:r>
      <w:r>
        <w:rPr>
          <w:rFonts w:ascii="Times New Roman" w:hAnsi="Times New Roman"/>
          <w:lang w:val="en-GB"/>
        </w:rPr>
        <w:t>ental Assessment Agency ja CENER (2017), Study on reporting requirements on biofuels and bioliquids stemming from the Directive (EU) 2015/1513.</w:t>
      </w:r>
    </w:p>
  </w:footnote>
  <w:footnote w:id="38">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On kuitenkin syytä huomata, että saatavilla ei ole viljelypaikkakohtaisia tietoja tai sellaisia tietoja, jotka </w:t>
      </w:r>
      <w:r>
        <w:rPr>
          <w:rFonts w:ascii="Times New Roman" w:hAnsi="Times New Roman"/>
        </w:rPr>
        <w:t>koskisivat erityisesti biopolttoaineiden raaka-aineiden viljelystä aiheutuvia paikallisia ympäristövaikutuksia.</w:t>
      </w:r>
    </w:p>
  </w:footnote>
  <w:footnote w:id="39">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Todettakoon, että nykyisellä yhteisellä maatalouspolitiikalla tuetaan osaltaan biologisen monimuotoisuuden säilymistä ja edistetään kestävien </w:t>
      </w:r>
      <w:r>
        <w:rPr>
          <w:rFonts w:ascii="Times New Roman" w:hAnsi="Times New Roman"/>
        </w:rPr>
        <w:t>viljelyjärjestelmien käyttöönottoa erilaisten toisiaan täydentävien toimien avulla. Yksi vuoden 2020 jälkeisen yhteisen maatalouspolitiikan erityistavoitteista on luonnon monimuotoisuuden suojelemisen ja ekosysteemipalvelujen edistäminen sekä elinympäristö</w:t>
      </w:r>
      <w:r>
        <w:rPr>
          <w:rFonts w:ascii="Times New Roman" w:hAnsi="Times New Roman"/>
        </w:rPr>
        <w:t>jen ja maisemien säilyttäminen. Tällä politiikalla pyritään nostamaan ympäristö- ja ilmastotavoitetasoa yhä korkeammalle.</w:t>
      </w:r>
    </w:p>
  </w:footnote>
  <w:footnote w:id="40">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Navigant (2019).</w:t>
      </w:r>
    </w:p>
  </w:footnote>
  <w:footnote w:id="41">
    <w:p w:rsidR="00063A0C" w:rsidRDefault="00907F5B">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Euroopan komissio (2019), Report on the status of production expansion of relevant food and feed crops worldwide.</w:t>
      </w:r>
    </w:p>
  </w:footnote>
  <w:footnote w:id="42">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C(2019) 2055 final.</w:t>
      </w:r>
    </w:p>
  </w:footnote>
  <w:footnote w:id="43">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Direktiivin liitteessä IX olevassa A ja B osassa olevaa raaka-aineiden luetteloa tarkastellaan kesäkuuhun 2021 mennessä. Tässä yhteydessä päätetään, lisätäänkö luetteloon uusia, tiukat vaatimukset täyttäviä raaka-aineita.</w:t>
      </w:r>
    </w:p>
  </w:footnote>
  <w:footnote w:id="44">
    <w:p w:rsidR="00063A0C" w:rsidRDefault="00907F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w:t>
      </w:r>
      <w:r>
        <w:rPr>
          <w:rFonts w:ascii="Times New Roman" w:hAnsi="Times New Roman"/>
        </w:rPr>
        <w:t>/ec.europa.eu/energy/sites/ener/files/documents/voluntary_schemes_overview_february_2019.pdf</w:t>
      </w:r>
    </w:p>
  </w:footnote>
  <w:footnote w:id="45">
    <w:p w:rsidR="00063A0C" w:rsidRDefault="00907F5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Komission tiedonannossa vapaaehtoisista järjestelmistä ja oletusarvoista (2010/C 160/01) esitetään periaatteet sille, miten komissio hoitaa tehtäviään, joihin ky</w:t>
      </w:r>
      <w:r>
        <w:rPr>
          <w:rFonts w:ascii="Times New Roman" w:hAnsi="Times New Roman"/>
        </w:rPr>
        <w:t>seiset päätökset perustuvat. Asiakirjaa on täydennetty tiedonannolla EU:n biopolttoaineiden ja bionesteiden kestävyysjärjestelmän täytäntöönpanosta käytännössä (2010/C 160/02).</w:t>
      </w:r>
    </w:p>
  </w:footnote>
  <w:footnote w:id="46">
    <w:p w:rsidR="00063A0C" w:rsidRDefault="00907F5B">
      <w:pPr>
        <w:pStyle w:val="FootnoteText"/>
        <w:jc w:val="both"/>
        <w:rPr>
          <w:lang w:val="en-GB"/>
        </w:rPr>
      </w:pPr>
      <w:r>
        <w:rPr>
          <w:rStyle w:val="FootnoteReference"/>
          <w:rFonts w:ascii="Times New Roman" w:hAnsi="Times New Roman"/>
        </w:rPr>
        <w:footnoteRef/>
      </w:r>
      <w:r>
        <w:rPr>
          <w:rFonts w:ascii="Times New Roman" w:hAnsi="Times New Roman"/>
          <w:lang w:val="en-GB"/>
        </w:rPr>
        <w:t xml:space="preserve"> Navigant (2019), Review of voluntary scheme annual reports.</w:t>
      </w:r>
    </w:p>
  </w:footnote>
  <w:footnote w:id="47">
    <w:p w:rsidR="00063A0C" w:rsidRDefault="00907F5B">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rPr>
        <w:t xml:space="preserve">Vapaaehtoisten </w:t>
      </w:r>
      <w:r>
        <w:rPr>
          <w:rFonts w:ascii="Times New Roman" w:hAnsi="Times New Roman"/>
        </w:rPr>
        <w:t>järjestelmien hyväksymismenettelystä on tarkempia tietoja komission verkkosivustolla osoitteessa</w:t>
      </w:r>
      <w:r>
        <w:rPr>
          <w:rStyle w:val="Hyperlink"/>
          <w:rFonts w:ascii="Times New Roman" w:hAnsi="Times New Roman"/>
          <w:sz w:val="16"/>
        </w:rPr>
        <w:t xml:space="preserve"> </w:t>
      </w:r>
      <w:hyperlink r:id="rId13">
        <w:r>
          <w:rPr>
            <w:rStyle w:val="Hyperlink"/>
            <w:rFonts w:ascii="Times New Roman" w:hAnsi="Times New Roman"/>
          </w:rPr>
          <w:t>https://ec.europa.eu/energy/en/topics/renewable-energy/bio</w:t>
        </w:r>
        <w:r>
          <w:rPr>
            <w:rStyle w:val="Hyperlink"/>
            <w:rFonts w:ascii="Times New Roman" w:hAnsi="Times New Roman"/>
          </w:rPr>
          <w:t>fuels/voluntary-schemes</w:t>
        </w:r>
      </w:hyperlink>
      <w:r>
        <w:rPr>
          <w:rStyle w:val="Hyperlink"/>
          <w:rFonts w:ascii="Times New Roman" w:hAnsi="Times New Roman"/>
        </w:rPr>
        <w:t>.</w:t>
      </w:r>
    </w:p>
  </w:footnote>
  <w:footnote w:id="48">
    <w:p w:rsidR="00063A0C" w:rsidRDefault="00907F5B">
      <w:pPr>
        <w:pStyle w:val="FootnoteText"/>
        <w:jc w:val="both"/>
      </w:pPr>
      <w:r>
        <w:rPr>
          <w:rStyle w:val="FootnoteReference"/>
          <w:rFonts w:ascii="Times New Roman" w:hAnsi="Times New Roman"/>
        </w:rPr>
        <w:footnoteRef/>
      </w:r>
      <w:r>
        <w:rPr>
          <w:rFonts w:ascii="Times New Roman" w:hAnsi="Times New Roman"/>
        </w:rPr>
        <w:t xml:space="preserve"> Euroopan tilintarkastustuomioistuin (2016), Erityiskertomus N:o 18/2016: The EU system for the certification of sustainable biofuels.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063A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907F5B">
    <w:pPr>
      <w:pStyle w:val="Header"/>
    </w:pPr>
    <w:r>
      <w:rPr>
        <w:noProof/>
        <w:lang w:val="fr-BE" w:eastAsia="fr-BE" w:bidi="ar-SA"/>
      </w:rPr>
      <w:drawing>
        <wp:anchor distT="0" distB="0" distL="114300" distR="114300" simplePos="0" relativeHeight="251658242" behindDoc="0" locked="1" layoutInCell="1" allowOverlap="1">
          <wp:simplePos x="0" y="0"/>
          <wp:positionH relativeFrom="page">
            <wp:posOffset>3625850</wp:posOffset>
          </wp:positionH>
          <wp:positionV relativeFrom="page">
            <wp:posOffset>395605</wp:posOffset>
          </wp:positionV>
          <wp:extent cx="2520000" cy="576000"/>
          <wp:effectExtent l="0" t="0" r="0" b="0"/>
          <wp:wrapNone/>
          <wp:docPr id="3" name="Bild 109"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COFYS Logo WTTS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0000" cy="576000"/>
                  </a:xfrm>
                  <a:prstGeom prst="rect">
                    <a:avLst/>
                  </a:prstGeom>
                  <a:noFill/>
                  <a:ln>
                    <a:noFill/>
                  </a:ln>
                </pic:spPr>
              </pic:pic>
            </a:graphicData>
          </a:graphic>
        </wp:anchor>
      </w:drawing>
    </w:r>
    <w:r>
      <w:rPr>
        <w:noProof/>
        <w:lang w:val="fr-BE" w:eastAsia="fr-BE" w:bidi="ar-SA"/>
      </w:rPr>
      <w:drawing>
        <wp:anchor distT="0" distB="0" distL="114300" distR="114300" simplePos="0" relativeHeight="251658241" behindDoc="0" locked="1" layoutInCell="1" allowOverlap="1">
          <wp:simplePos x="0" y="0"/>
          <wp:positionH relativeFrom="page">
            <wp:posOffset>3625850</wp:posOffset>
          </wp:positionH>
          <wp:positionV relativeFrom="page">
            <wp:posOffset>395605</wp:posOffset>
          </wp:positionV>
          <wp:extent cx="2520000" cy="575122"/>
          <wp:effectExtent l="0" t="0" r="0" b="0"/>
          <wp:wrapNone/>
          <wp:docPr id="4" name="Bild 102"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FYS Logo WTTS b/w" hidden="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0000" cy="575122"/>
                  </a:xfrm>
                  <a:prstGeom prst="rect">
                    <a:avLst/>
                  </a:prstGeom>
                  <a:noFill/>
                  <a:ln>
                    <a:noFill/>
                  </a:ln>
                </pic:spPr>
              </pic:pic>
            </a:graphicData>
          </a:graphic>
        </wp:anchor>
      </w:drawing>
    </w:r>
    <w:r>
      <w:rPr>
        <w:noProof/>
        <w:lang w:val="fr-BE" w:eastAsia="fr-BE" w:bidi="ar-SA"/>
      </w:rPr>
      <w:drawing>
        <wp:anchor distT="0" distB="0" distL="114300" distR="114300" simplePos="0" relativeHeight="251658240" behindDoc="0" locked="1" layoutInCell="1" allowOverlap="1">
          <wp:simplePos x="0" y="0"/>
          <wp:positionH relativeFrom="page">
            <wp:posOffset>4086225</wp:posOffset>
          </wp:positionH>
          <wp:positionV relativeFrom="page">
            <wp:posOffset>450215</wp:posOffset>
          </wp:positionV>
          <wp:extent cx="1969200" cy="723600"/>
          <wp:effectExtent l="0" t="0" r="0" b="635"/>
          <wp:wrapNone/>
          <wp:docPr id="5" name="Bild 99"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FYS Logo b/w" hidden="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69200" cy="7236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0C" w:rsidRDefault="00907F5B">
    <w:pPr>
      <w:pStyle w:val="Header"/>
    </w:pPr>
    <w:r>
      <w:rPr>
        <w:noProof/>
        <w:lang w:val="fr-BE" w:eastAsia="fr-BE" w:bidi="ar-SA"/>
      </w:rPr>
      <w:drawing>
        <wp:anchor distT="0" distB="0" distL="114300" distR="114300" simplePos="0" relativeHeight="251658244"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6" name="Bild 80"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OFYS Logo b/w" hidden="1"/>
                  <pic:cNvPicPr>
                    <a:picLocks noChangeAspect="1" noChangeArrowheads="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r>
      <w:rPr>
        <w:noProof/>
        <w:lang w:val="fr-BE" w:eastAsia="fr-BE" w:bidi="ar-SA"/>
      </w:rPr>
      <w:drawing>
        <wp:anchor distT="0" distB="0" distL="114300" distR="114300" simplePos="0" relativeHeight="251658243" behindDoc="0" locked="1" layoutInCell="1" allowOverlap="1">
          <wp:simplePos x="0" y="0"/>
          <wp:positionH relativeFrom="page">
            <wp:posOffset>4086225</wp:posOffset>
          </wp:positionH>
          <wp:positionV relativeFrom="page">
            <wp:posOffset>450215</wp:posOffset>
          </wp:positionV>
          <wp:extent cx="2516505" cy="717550"/>
          <wp:effectExtent l="0" t="0" r="0" b="6350"/>
          <wp:wrapNone/>
          <wp:docPr id="7" name="Bild 79" descr="ECOFY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OFYS Logo Colour" hidden="1"/>
                  <pic:cNvPicPr>
                    <a:picLocks noChangeAspect="1" noChangeArrowheads="1"/>
                  </pic:cNvPicPr>
                </pic:nvPicPr>
                <pic:blipFill>
                  <a:blip r:embed="rId2">
                    <a:extLst>
                      <a:ext uri="{28A0092B-C50C-407E-A947-70E740481C1C}">
                        <a14:useLocalDpi xmlns:a14="http://schemas.microsoft.com/office/drawing/2010/main" val="0"/>
                      </a:ext>
                    </a:extLst>
                  </a:blip>
                  <a:srcRect l="1335" t="4370" r="1335" b="4370"/>
                  <a:stretch>
                    <a:fillRect/>
                  </a:stretch>
                </pic:blipFill>
                <pic:spPr bwMode="auto">
                  <a:xfrm>
                    <a:off x="0" y="0"/>
                    <a:ext cx="251650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AF"/>
    <w:multiLevelType w:val="hybridMultilevel"/>
    <w:tmpl w:val="B464EC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D9715E"/>
    <w:multiLevelType w:val="hybridMultilevel"/>
    <w:tmpl w:val="980221A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C21EE"/>
    <w:multiLevelType w:val="hybridMultilevel"/>
    <w:tmpl w:val="C760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33CB"/>
    <w:multiLevelType w:val="hybridMultilevel"/>
    <w:tmpl w:val="6CC41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B41578"/>
    <w:multiLevelType w:val="hybridMultilevel"/>
    <w:tmpl w:val="AB9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A39"/>
    <w:multiLevelType w:val="hybridMultilevel"/>
    <w:tmpl w:val="A6FC826A"/>
    <w:lvl w:ilvl="0" w:tplc="D8642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13306"/>
    <w:multiLevelType w:val="hybridMultilevel"/>
    <w:tmpl w:val="50647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30E6AF9"/>
    <w:multiLevelType w:val="hybridMultilevel"/>
    <w:tmpl w:val="5D76CBDE"/>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BAA"/>
    <w:multiLevelType w:val="hybridMultilevel"/>
    <w:tmpl w:val="11566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967031"/>
    <w:multiLevelType w:val="hybridMultilevel"/>
    <w:tmpl w:val="D4C4DE1A"/>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6EAB"/>
    <w:multiLevelType w:val="hybridMultilevel"/>
    <w:tmpl w:val="E30840D4"/>
    <w:lvl w:ilvl="0" w:tplc="8EC0EF94">
      <w:start w:val="1"/>
      <w:numFmt w:val="bullet"/>
      <w:lvlText w:val=""/>
      <w:lvlJc w:val="left"/>
      <w:pPr>
        <w:tabs>
          <w:tab w:val="num" w:pos="720"/>
        </w:tabs>
        <w:ind w:left="720" w:hanging="360"/>
      </w:pPr>
      <w:rPr>
        <w:rFonts w:ascii="Wingdings" w:hAnsi="Wingdings" w:hint="default"/>
      </w:rPr>
    </w:lvl>
    <w:lvl w:ilvl="1" w:tplc="81A05D08">
      <w:start w:val="244"/>
      <w:numFmt w:val="bullet"/>
      <w:lvlText w:val="•"/>
      <w:lvlJc w:val="left"/>
      <w:pPr>
        <w:tabs>
          <w:tab w:val="num" w:pos="1440"/>
        </w:tabs>
        <w:ind w:left="1440" w:hanging="360"/>
      </w:pPr>
      <w:rPr>
        <w:rFonts w:ascii="Arial" w:hAnsi="Arial" w:hint="default"/>
      </w:rPr>
    </w:lvl>
    <w:lvl w:ilvl="2" w:tplc="6CFA2202" w:tentative="1">
      <w:start w:val="1"/>
      <w:numFmt w:val="bullet"/>
      <w:lvlText w:val=""/>
      <w:lvlJc w:val="left"/>
      <w:pPr>
        <w:tabs>
          <w:tab w:val="num" w:pos="2160"/>
        </w:tabs>
        <w:ind w:left="2160" w:hanging="360"/>
      </w:pPr>
      <w:rPr>
        <w:rFonts w:ascii="Wingdings" w:hAnsi="Wingdings" w:hint="default"/>
      </w:rPr>
    </w:lvl>
    <w:lvl w:ilvl="3" w:tplc="0E0091D2" w:tentative="1">
      <w:start w:val="1"/>
      <w:numFmt w:val="bullet"/>
      <w:lvlText w:val=""/>
      <w:lvlJc w:val="left"/>
      <w:pPr>
        <w:tabs>
          <w:tab w:val="num" w:pos="2880"/>
        </w:tabs>
        <w:ind w:left="2880" w:hanging="360"/>
      </w:pPr>
      <w:rPr>
        <w:rFonts w:ascii="Wingdings" w:hAnsi="Wingdings" w:hint="default"/>
      </w:rPr>
    </w:lvl>
    <w:lvl w:ilvl="4" w:tplc="CED67C7A" w:tentative="1">
      <w:start w:val="1"/>
      <w:numFmt w:val="bullet"/>
      <w:lvlText w:val=""/>
      <w:lvlJc w:val="left"/>
      <w:pPr>
        <w:tabs>
          <w:tab w:val="num" w:pos="3600"/>
        </w:tabs>
        <w:ind w:left="3600" w:hanging="360"/>
      </w:pPr>
      <w:rPr>
        <w:rFonts w:ascii="Wingdings" w:hAnsi="Wingdings" w:hint="default"/>
      </w:rPr>
    </w:lvl>
    <w:lvl w:ilvl="5" w:tplc="DCFA0DDE" w:tentative="1">
      <w:start w:val="1"/>
      <w:numFmt w:val="bullet"/>
      <w:lvlText w:val=""/>
      <w:lvlJc w:val="left"/>
      <w:pPr>
        <w:tabs>
          <w:tab w:val="num" w:pos="4320"/>
        </w:tabs>
        <w:ind w:left="4320" w:hanging="360"/>
      </w:pPr>
      <w:rPr>
        <w:rFonts w:ascii="Wingdings" w:hAnsi="Wingdings" w:hint="default"/>
      </w:rPr>
    </w:lvl>
    <w:lvl w:ilvl="6" w:tplc="6E66DE3E" w:tentative="1">
      <w:start w:val="1"/>
      <w:numFmt w:val="bullet"/>
      <w:lvlText w:val=""/>
      <w:lvlJc w:val="left"/>
      <w:pPr>
        <w:tabs>
          <w:tab w:val="num" w:pos="5040"/>
        </w:tabs>
        <w:ind w:left="5040" w:hanging="360"/>
      </w:pPr>
      <w:rPr>
        <w:rFonts w:ascii="Wingdings" w:hAnsi="Wingdings" w:hint="default"/>
      </w:rPr>
    </w:lvl>
    <w:lvl w:ilvl="7" w:tplc="82D6BF40" w:tentative="1">
      <w:start w:val="1"/>
      <w:numFmt w:val="bullet"/>
      <w:lvlText w:val=""/>
      <w:lvlJc w:val="left"/>
      <w:pPr>
        <w:tabs>
          <w:tab w:val="num" w:pos="5760"/>
        </w:tabs>
        <w:ind w:left="5760" w:hanging="360"/>
      </w:pPr>
      <w:rPr>
        <w:rFonts w:ascii="Wingdings" w:hAnsi="Wingdings" w:hint="default"/>
      </w:rPr>
    </w:lvl>
    <w:lvl w:ilvl="8" w:tplc="819810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C9A"/>
    <w:multiLevelType w:val="hybridMultilevel"/>
    <w:tmpl w:val="8EEA27E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3260FC"/>
    <w:multiLevelType w:val="hybridMultilevel"/>
    <w:tmpl w:val="E3086BCC"/>
    <w:lvl w:ilvl="0" w:tplc="08090017">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B3F5C66"/>
    <w:multiLevelType w:val="hybridMultilevel"/>
    <w:tmpl w:val="212856A8"/>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C31C9"/>
    <w:multiLevelType w:val="hybridMultilevel"/>
    <w:tmpl w:val="4B5451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016EB"/>
    <w:multiLevelType w:val="hybridMultilevel"/>
    <w:tmpl w:val="D4D6AEFE"/>
    <w:lvl w:ilvl="0" w:tplc="EE12E508">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1C7667"/>
    <w:multiLevelType w:val="hybridMultilevel"/>
    <w:tmpl w:val="4F086370"/>
    <w:lvl w:ilvl="0" w:tplc="0809000F">
      <w:start w:val="1"/>
      <w:numFmt w:val="decimal"/>
      <w:lvlText w:val="%1."/>
      <w:lvlJc w:val="left"/>
      <w:pPr>
        <w:ind w:left="720" w:hanging="360"/>
      </w:pPr>
      <w:rPr>
        <w:rFonts w:hint="default"/>
      </w:rPr>
    </w:lvl>
    <w:lvl w:ilvl="1" w:tplc="E9421F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29AA"/>
    <w:multiLevelType w:val="hybridMultilevel"/>
    <w:tmpl w:val="275E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4"/>
  </w:num>
  <w:num w:numId="12">
    <w:abstractNumId w:val="13"/>
  </w:num>
  <w:num w:numId="13">
    <w:abstractNumId w:val="12"/>
  </w:num>
  <w:num w:numId="14">
    <w:abstractNumId w:val="10"/>
  </w:num>
  <w:num w:numId="15">
    <w:abstractNumId w:val="16"/>
  </w:num>
  <w:num w:numId="16">
    <w:abstractNumId w:val="17"/>
  </w:num>
  <w:num w:numId="17">
    <w:abstractNumId w:val="8"/>
  </w:num>
  <w:num w:numId="18">
    <w:abstractNumId w:val="6"/>
  </w:num>
  <w:num w:numId="19">
    <w:abstractNumId w:val="3"/>
  </w:num>
  <w:num w:numId="20">
    <w:abstractNumId w:val="2"/>
  </w:num>
  <w:num w:numId="21">
    <w:abstractNumId w:val="15"/>
  </w:num>
  <w:num w:numId="22">
    <w:abstractNumId w:val="15"/>
  </w:num>
  <w:num w:numId="23">
    <w:abstractNumId w:val="15"/>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lvlOverride w:ilvl="0">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96B002-5211-4E95-BF61-DC45DE1B2E74"/>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usiutuvan energian tilannekatsaus"/>
    <w:docVar w:name="LW_TYPE.DOC.CP" w:val="KOMISSION KERTOMUS EUROOPAN PARLAMENTILLE, NEUVOSTOLLE, EUROOPAN TALOUS- JA SOSIAALIKOMITEALLE JA ALUEIDEN KOMITEALLE"/>
  </w:docVars>
  <w:rsids>
    <w:rsidRoot w:val="00063A0C"/>
    <w:rsid w:val="00063A0C"/>
    <w:rsid w:val="00907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B9B4F3-9ECB-4A58-A8F4-BE75EF6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fi-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sz w:val="20"/>
      <w:szCs w:val="20"/>
    </w:rPr>
  </w:style>
  <w:style w:type="character" w:styleId="FootnoteReference">
    <w:name w:val="footnote reference"/>
    <w:aliases w:val="number,SUPERS,Footnote Reference Superscript,stylish,Footnote symbol,Footnote Reference Number,Footnote reference number,note TESI,-E Fußnotenzeichen,ftref,EN Footnote Reference,(Diplomarbeit FZ),(Diplomarbeit FZ)1,(Diplomarbeit FZ)2"/>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customStyle="1" w:styleId="Tablestylegreen2">
    <w:name w:val="Tablestyle_green2"/>
    <w:basedOn w:val="TableNormal"/>
    <w:pPr>
      <w:spacing w:before="100" w:beforeAutospacing="1" w:after="100" w:afterAutospacing="1" w:line="240" w:lineRule="auto"/>
      <w:contextualSpacing/>
    </w:pPr>
    <w:rPr>
      <w:rFonts w:ascii="Arial" w:eastAsia="Times New Roman" w:hAnsi="Arial" w:cs="Times New Roman"/>
      <w:color w:val="000000"/>
      <w:sz w:val="16"/>
      <w:szCs w:val="18"/>
    </w:rPr>
    <w:tblPr>
      <w:tblStyleRowBandSize w:val="1"/>
      <w:tblStyleColBandSize w:val="1"/>
      <w:tblInd w:w="108" w:type="dxa"/>
      <w:tblBorders>
        <w:bottom w:val="single" w:sz="18" w:space="0" w:color="648C1A"/>
      </w:tblBorders>
    </w:tblPr>
    <w:tcPr>
      <w:vAlign w:val="center"/>
    </w:tcPr>
    <w:tblStylePr w:type="firstRow">
      <w:rPr>
        <w:rFonts w:ascii="Arial" w:hAnsi="Arial"/>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Arial" w:hAnsi="Arial"/>
        <w:sz w:val="16"/>
      </w:rPr>
      <w:tblPr/>
      <w:tcPr>
        <w:tcBorders>
          <w:top w:val="nil"/>
          <w:left w:val="single" w:sz="4" w:space="0" w:color="8B8D8E"/>
          <w:bottom w:val="single" w:sz="18" w:space="0" w:color="648C1A"/>
          <w:right w:val="single" w:sz="4" w:space="0" w:color="8B8D8E"/>
          <w:insideH w:val="nil"/>
          <w:insideV w:val="single" w:sz="4" w:space="0" w:color="8B8D8E"/>
          <w:tl2br w:val="nil"/>
          <w:tr2bl w:val="nil"/>
        </w:tcBorders>
      </w:tcPr>
    </w:tblStylePr>
    <w:tblStylePr w:type="firstCol">
      <w:rPr>
        <w:rFonts w:ascii="Arial" w:hAnsi="Arial"/>
        <w:b/>
        <w:i w:val="0"/>
        <w:color w:val="FFFFFF"/>
        <w:sz w:val="16"/>
      </w:rPr>
      <w:tblPr/>
      <w:tcPr>
        <w:tcBorders>
          <w:bottom w:val="nil"/>
          <w:insideH w:val="single" w:sz="4" w:space="0" w:color="FFFFFF" w:themeColor="background1"/>
        </w:tcBorders>
        <w:shd w:val="clear" w:color="auto" w:fill="648C1A"/>
      </w:tc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Arial" w:hAnsi="Arial"/>
      </w:rPr>
    </w:tblStylePr>
    <w:tblStylePr w:type="nwCell">
      <w:rPr>
        <w:rFonts w:ascii="Arial" w:hAnsi="Arial"/>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eCell">
      <w:rPr>
        <w:rFonts w:ascii="Arial" w:hAnsi="Arial"/>
      </w:rPr>
    </w:tblStylePr>
    <w:tblStylePr w:type="swCell">
      <w:rPr>
        <w:rFonts w:ascii="Arial" w:hAnsi="Arial"/>
      </w:rPr>
      <w:tblPr/>
      <w:tcPr>
        <w:tcBorders>
          <w:top w:val="single" w:sz="4" w:space="0" w:color="FFFFFF"/>
          <w:left w:val="single" w:sz="4" w:space="0" w:color="7AB800"/>
          <w:bottom w:val="single" w:sz="18" w:space="0" w:color="648C1A"/>
          <w:right w:val="single" w:sz="4" w:space="0" w:color="7AB800"/>
          <w:insideH w:val="nil"/>
          <w:insideV w:val="nil"/>
          <w:tl2br w:val="nil"/>
          <w:tr2bl w:val="nil"/>
        </w:tcBorders>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
    <w:name w:val="m"/>
    <w:basedOn w:val="Normal"/>
    <w:pPr>
      <w:jc w:val="both"/>
    </w:pPr>
    <w:rPr>
      <w:rFonts w:ascii="Times New Roman" w:hAnsi="Times New Roman" w:cs="Times New Roman"/>
      <w:b/>
      <w:sz w:val="24"/>
      <w:szCs w:val="24"/>
      <w:u w:val="single"/>
    </w:rPr>
  </w:style>
  <w:style w:type="character" w:customStyle="1" w:styleId="Heading1Char">
    <w:name w:val="Heading 1 Char"/>
    <w:basedOn w:val="DefaultParagraphFont"/>
    <w:link w:val="Heading1"/>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itleChar"/>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itleChar"/>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itleChar"/>
    <w:link w:val="HeaderSensitivity"/>
    <w:rPr>
      <w:rFonts w:ascii="Times New Roman" w:eastAsiaTheme="majorEastAsia" w:hAnsi="Times New Roman" w:cs="Times New Roman"/>
      <w:b/>
      <w:spacing w:val="-10"/>
      <w:kern w:val="28"/>
      <w:sz w:val="32"/>
      <w:szCs w:val="56"/>
    </w:rPr>
  </w:style>
  <w:style w:type="table" w:customStyle="1" w:styleId="Tablestylegreen">
    <w:name w:val="Tablestyle_green"/>
    <w:basedOn w:val="TableNormal"/>
    <w:pPr>
      <w:spacing w:before="100" w:beforeAutospacing="1" w:after="100" w:afterAutospacing="1" w:line="283" w:lineRule="atLeast"/>
      <w:contextualSpacing/>
    </w:pPr>
    <w:rPr>
      <w:rFonts w:ascii="Verdana" w:eastAsia="Times New Roman" w:hAnsi="Verdana" w:cs="Times New Roman"/>
      <w:color w:val="000000"/>
      <w:sz w:val="16"/>
      <w:szCs w:val="20"/>
    </w:rPr>
    <w:tblPr>
      <w:tblStyleRowBandSize w:val="1"/>
      <w:tblStyleColBandSize w:val="1"/>
      <w:tblInd w:w="108" w:type="dxa"/>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sz w:val="16"/>
      </w:rPr>
    </w:tblStylePr>
    <w:tblStylePr w:type="lastCol">
      <w:rPr>
        <w:rFonts w:ascii="Cambria" w:hAnsi="Cambria"/>
        <w:sz w:val="16"/>
      </w:rPr>
    </w:tblStylePr>
    <w:tblStylePr w:type="band1Vert">
      <w:rPr>
        <w:rFonts w:ascii="Cambria" w:hAnsi="Cambria"/>
        <w:sz w:val="16"/>
      </w:rPr>
    </w:tblStylePr>
    <w:tblStylePr w:type="band2Vert">
      <w:rPr>
        <w:rFonts w:ascii="Cambria" w:hAnsi="Cambria"/>
        <w:sz w:val="16"/>
      </w:r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Cambria" w:hAnsi="Cambria"/>
        <w:sz w:val="16"/>
      </w:rPr>
    </w:tblStylePr>
    <w:tblStylePr w:type="nwCell">
      <w:rPr>
        <w:rFonts w:ascii="Cambria" w:hAnsi="Cambria"/>
        <w:sz w:val="16"/>
      </w:rPr>
    </w:tblStylePr>
    <w:tblStylePr w:type="seCell">
      <w:rPr>
        <w:rFonts w:ascii="Cambria" w:hAnsi="Cambria"/>
        <w:sz w:val="16"/>
      </w:rPr>
    </w:tblStylePr>
    <w:tblStylePr w:type="swCell">
      <w:rPr>
        <w:rFonts w:ascii="Cambria" w:hAnsi="Cambria"/>
        <w:sz w:val="16"/>
      </w:r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645">
      <w:bodyDiv w:val="1"/>
      <w:marLeft w:val="0"/>
      <w:marRight w:val="0"/>
      <w:marTop w:val="0"/>
      <w:marBottom w:val="0"/>
      <w:divBdr>
        <w:top w:val="none" w:sz="0" w:space="0" w:color="auto"/>
        <w:left w:val="none" w:sz="0" w:space="0" w:color="auto"/>
        <w:bottom w:val="none" w:sz="0" w:space="0" w:color="auto"/>
        <w:right w:val="none" w:sz="0" w:space="0" w:color="auto"/>
      </w:divBdr>
    </w:div>
    <w:div w:id="164974368">
      <w:bodyDiv w:val="1"/>
      <w:marLeft w:val="0"/>
      <w:marRight w:val="0"/>
      <w:marTop w:val="0"/>
      <w:marBottom w:val="0"/>
      <w:divBdr>
        <w:top w:val="none" w:sz="0" w:space="0" w:color="auto"/>
        <w:left w:val="none" w:sz="0" w:space="0" w:color="auto"/>
        <w:bottom w:val="none" w:sz="0" w:space="0" w:color="auto"/>
        <w:right w:val="none" w:sz="0" w:space="0" w:color="auto"/>
      </w:divBdr>
    </w:div>
    <w:div w:id="225191113">
      <w:bodyDiv w:val="1"/>
      <w:marLeft w:val="0"/>
      <w:marRight w:val="0"/>
      <w:marTop w:val="0"/>
      <w:marBottom w:val="0"/>
      <w:divBdr>
        <w:top w:val="none" w:sz="0" w:space="0" w:color="auto"/>
        <w:left w:val="none" w:sz="0" w:space="0" w:color="auto"/>
        <w:bottom w:val="none" w:sz="0" w:space="0" w:color="auto"/>
        <w:right w:val="none" w:sz="0" w:space="0" w:color="auto"/>
      </w:divBdr>
    </w:div>
    <w:div w:id="320473223">
      <w:bodyDiv w:val="1"/>
      <w:marLeft w:val="0"/>
      <w:marRight w:val="0"/>
      <w:marTop w:val="0"/>
      <w:marBottom w:val="0"/>
      <w:divBdr>
        <w:top w:val="none" w:sz="0" w:space="0" w:color="auto"/>
        <w:left w:val="none" w:sz="0" w:space="0" w:color="auto"/>
        <w:bottom w:val="none" w:sz="0" w:space="0" w:color="auto"/>
        <w:right w:val="none" w:sz="0" w:space="0" w:color="auto"/>
      </w:divBdr>
    </w:div>
    <w:div w:id="394857189">
      <w:bodyDiv w:val="1"/>
      <w:marLeft w:val="0"/>
      <w:marRight w:val="0"/>
      <w:marTop w:val="0"/>
      <w:marBottom w:val="0"/>
      <w:divBdr>
        <w:top w:val="none" w:sz="0" w:space="0" w:color="auto"/>
        <w:left w:val="none" w:sz="0" w:space="0" w:color="auto"/>
        <w:bottom w:val="none" w:sz="0" w:space="0" w:color="auto"/>
        <w:right w:val="none" w:sz="0" w:space="0" w:color="auto"/>
      </w:divBdr>
      <w:divsChild>
        <w:div w:id="902058367">
          <w:marLeft w:val="446"/>
          <w:marRight w:val="0"/>
          <w:marTop w:val="0"/>
          <w:marBottom w:val="0"/>
          <w:divBdr>
            <w:top w:val="none" w:sz="0" w:space="0" w:color="auto"/>
            <w:left w:val="none" w:sz="0" w:space="0" w:color="auto"/>
            <w:bottom w:val="none" w:sz="0" w:space="0" w:color="auto"/>
            <w:right w:val="none" w:sz="0" w:space="0" w:color="auto"/>
          </w:divBdr>
        </w:div>
        <w:div w:id="1232037879">
          <w:marLeft w:val="1166"/>
          <w:marRight w:val="0"/>
          <w:marTop w:val="120"/>
          <w:marBottom w:val="0"/>
          <w:divBdr>
            <w:top w:val="none" w:sz="0" w:space="0" w:color="auto"/>
            <w:left w:val="none" w:sz="0" w:space="0" w:color="auto"/>
            <w:bottom w:val="none" w:sz="0" w:space="0" w:color="auto"/>
            <w:right w:val="none" w:sz="0" w:space="0" w:color="auto"/>
          </w:divBdr>
        </w:div>
        <w:div w:id="1272587569">
          <w:marLeft w:val="1166"/>
          <w:marRight w:val="0"/>
          <w:marTop w:val="120"/>
          <w:marBottom w:val="0"/>
          <w:divBdr>
            <w:top w:val="none" w:sz="0" w:space="0" w:color="auto"/>
            <w:left w:val="none" w:sz="0" w:space="0" w:color="auto"/>
            <w:bottom w:val="none" w:sz="0" w:space="0" w:color="auto"/>
            <w:right w:val="none" w:sz="0" w:space="0" w:color="auto"/>
          </w:divBdr>
        </w:div>
        <w:div w:id="1600016838">
          <w:marLeft w:val="1166"/>
          <w:marRight w:val="0"/>
          <w:marTop w:val="120"/>
          <w:marBottom w:val="0"/>
          <w:divBdr>
            <w:top w:val="none" w:sz="0" w:space="0" w:color="auto"/>
            <w:left w:val="none" w:sz="0" w:space="0" w:color="auto"/>
            <w:bottom w:val="none" w:sz="0" w:space="0" w:color="auto"/>
            <w:right w:val="none" w:sz="0" w:space="0" w:color="auto"/>
          </w:divBdr>
        </w:div>
        <w:div w:id="1443575271">
          <w:marLeft w:val="1166"/>
          <w:marRight w:val="0"/>
          <w:marTop w:val="120"/>
          <w:marBottom w:val="0"/>
          <w:divBdr>
            <w:top w:val="none" w:sz="0" w:space="0" w:color="auto"/>
            <w:left w:val="none" w:sz="0" w:space="0" w:color="auto"/>
            <w:bottom w:val="none" w:sz="0" w:space="0" w:color="auto"/>
            <w:right w:val="none" w:sz="0" w:space="0" w:color="auto"/>
          </w:divBdr>
        </w:div>
        <w:div w:id="2097700191">
          <w:marLeft w:val="446"/>
          <w:marRight w:val="0"/>
          <w:marTop w:val="0"/>
          <w:marBottom w:val="0"/>
          <w:divBdr>
            <w:top w:val="none" w:sz="0" w:space="0" w:color="auto"/>
            <w:left w:val="none" w:sz="0" w:space="0" w:color="auto"/>
            <w:bottom w:val="none" w:sz="0" w:space="0" w:color="auto"/>
            <w:right w:val="none" w:sz="0" w:space="0" w:color="auto"/>
          </w:divBdr>
        </w:div>
        <w:div w:id="346250767">
          <w:marLeft w:val="446"/>
          <w:marRight w:val="0"/>
          <w:marTop w:val="0"/>
          <w:marBottom w:val="0"/>
          <w:divBdr>
            <w:top w:val="none" w:sz="0" w:space="0" w:color="auto"/>
            <w:left w:val="none" w:sz="0" w:space="0" w:color="auto"/>
            <w:bottom w:val="none" w:sz="0" w:space="0" w:color="auto"/>
            <w:right w:val="none" w:sz="0" w:space="0" w:color="auto"/>
          </w:divBdr>
        </w:div>
        <w:div w:id="593049214">
          <w:marLeft w:val="446"/>
          <w:marRight w:val="0"/>
          <w:marTop w:val="0"/>
          <w:marBottom w:val="0"/>
          <w:divBdr>
            <w:top w:val="none" w:sz="0" w:space="0" w:color="auto"/>
            <w:left w:val="none" w:sz="0" w:space="0" w:color="auto"/>
            <w:bottom w:val="none" w:sz="0" w:space="0" w:color="auto"/>
            <w:right w:val="none" w:sz="0" w:space="0" w:color="auto"/>
          </w:divBdr>
        </w:div>
      </w:divsChild>
    </w:div>
    <w:div w:id="461772440">
      <w:bodyDiv w:val="1"/>
      <w:marLeft w:val="0"/>
      <w:marRight w:val="0"/>
      <w:marTop w:val="0"/>
      <w:marBottom w:val="0"/>
      <w:divBdr>
        <w:top w:val="none" w:sz="0" w:space="0" w:color="auto"/>
        <w:left w:val="none" w:sz="0" w:space="0" w:color="auto"/>
        <w:bottom w:val="none" w:sz="0" w:space="0" w:color="auto"/>
        <w:right w:val="none" w:sz="0" w:space="0" w:color="auto"/>
      </w:divBdr>
    </w:div>
    <w:div w:id="657808420">
      <w:bodyDiv w:val="1"/>
      <w:marLeft w:val="0"/>
      <w:marRight w:val="0"/>
      <w:marTop w:val="0"/>
      <w:marBottom w:val="0"/>
      <w:divBdr>
        <w:top w:val="none" w:sz="0" w:space="0" w:color="auto"/>
        <w:left w:val="none" w:sz="0" w:space="0" w:color="auto"/>
        <w:bottom w:val="none" w:sz="0" w:space="0" w:color="auto"/>
        <w:right w:val="none" w:sz="0" w:space="0" w:color="auto"/>
      </w:divBdr>
    </w:div>
    <w:div w:id="790173814">
      <w:bodyDiv w:val="1"/>
      <w:marLeft w:val="0"/>
      <w:marRight w:val="0"/>
      <w:marTop w:val="0"/>
      <w:marBottom w:val="0"/>
      <w:divBdr>
        <w:top w:val="none" w:sz="0" w:space="0" w:color="auto"/>
        <w:left w:val="none" w:sz="0" w:space="0" w:color="auto"/>
        <w:bottom w:val="none" w:sz="0" w:space="0" w:color="auto"/>
        <w:right w:val="none" w:sz="0" w:space="0" w:color="auto"/>
      </w:divBdr>
      <w:divsChild>
        <w:div w:id="105933229">
          <w:marLeft w:val="0"/>
          <w:marRight w:val="0"/>
          <w:marTop w:val="0"/>
          <w:marBottom w:val="0"/>
          <w:divBdr>
            <w:top w:val="none" w:sz="0" w:space="0" w:color="auto"/>
            <w:left w:val="none" w:sz="0" w:space="0" w:color="auto"/>
            <w:bottom w:val="none" w:sz="0" w:space="0" w:color="auto"/>
            <w:right w:val="none" w:sz="0" w:space="0" w:color="auto"/>
          </w:divBdr>
        </w:div>
        <w:div w:id="723679239">
          <w:marLeft w:val="0"/>
          <w:marRight w:val="0"/>
          <w:marTop w:val="0"/>
          <w:marBottom w:val="0"/>
          <w:divBdr>
            <w:top w:val="none" w:sz="0" w:space="0" w:color="auto"/>
            <w:left w:val="none" w:sz="0" w:space="0" w:color="auto"/>
            <w:bottom w:val="none" w:sz="0" w:space="0" w:color="auto"/>
            <w:right w:val="none" w:sz="0" w:space="0" w:color="auto"/>
          </w:divBdr>
        </w:div>
        <w:div w:id="1353192411">
          <w:marLeft w:val="0"/>
          <w:marRight w:val="0"/>
          <w:marTop w:val="0"/>
          <w:marBottom w:val="0"/>
          <w:divBdr>
            <w:top w:val="none" w:sz="0" w:space="0" w:color="auto"/>
            <w:left w:val="none" w:sz="0" w:space="0" w:color="auto"/>
            <w:bottom w:val="none" w:sz="0" w:space="0" w:color="auto"/>
            <w:right w:val="none" w:sz="0" w:space="0" w:color="auto"/>
          </w:divBdr>
        </w:div>
        <w:div w:id="1339038297">
          <w:marLeft w:val="0"/>
          <w:marRight w:val="0"/>
          <w:marTop w:val="0"/>
          <w:marBottom w:val="0"/>
          <w:divBdr>
            <w:top w:val="none" w:sz="0" w:space="0" w:color="auto"/>
            <w:left w:val="none" w:sz="0" w:space="0" w:color="auto"/>
            <w:bottom w:val="none" w:sz="0" w:space="0" w:color="auto"/>
            <w:right w:val="none" w:sz="0" w:space="0" w:color="auto"/>
          </w:divBdr>
        </w:div>
        <w:div w:id="1463038868">
          <w:marLeft w:val="0"/>
          <w:marRight w:val="0"/>
          <w:marTop w:val="0"/>
          <w:marBottom w:val="0"/>
          <w:divBdr>
            <w:top w:val="none" w:sz="0" w:space="0" w:color="auto"/>
            <w:left w:val="none" w:sz="0" w:space="0" w:color="auto"/>
            <w:bottom w:val="none" w:sz="0" w:space="0" w:color="auto"/>
            <w:right w:val="none" w:sz="0" w:space="0" w:color="auto"/>
          </w:divBdr>
        </w:div>
        <w:div w:id="1090080788">
          <w:marLeft w:val="0"/>
          <w:marRight w:val="0"/>
          <w:marTop w:val="0"/>
          <w:marBottom w:val="0"/>
          <w:divBdr>
            <w:top w:val="none" w:sz="0" w:space="0" w:color="auto"/>
            <w:left w:val="none" w:sz="0" w:space="0" w:color="auto"/>
            <w:bottom w:val="none" w:sz="0" w:space="0" w:color="auto"/>
            <w:right w:val="none" w:sz="0" w:space="0" w:color="auto"/>
          </w:divBdr>
        </w:div>
      </w:divsChild>
    </w:div>
    <w:div w:id="870532033">
      <w:bodyDiv w:val="1"/>
      <w:marLeft w:val="0"/>
      <w:marRight w:val="0"/>
      <w:marTop w:val="0"/>
      <w:marBottom w:val="0"/>
      <w:divBdr>
        <w:top w:val="none" w:sz="0" w:space="0" w:color="auto"/>
        <w:left w:val="none" w:sz="0" w:space="0" w:color="auto"/>
        <w:bottom w:val="none" w:sz="0" w:space="0" w:color="auto"/>
        <w:right w:val="none" w:sz="0" w:space="0" w:color="auto"/>
      </w:divBdr>
    </w:div>
    <w:div w:id="892428815">
      <w:bodyDiv w:val="1"/>
      <w:marLeft w:val="0"/>
      <w:marRight w:val="0"/>
      <w:marTop w:val="0"/>
      <w:marBottom w:val="0"/>
      <w:divBdr>
        <w:top w:val="none" w:sz="0" w:space="0" w:color="auto"/>
        <w:left w:val="none" w:sz="0" w:space="0" w:color="auto"/>
        <w:bottom w:val="none" w:sz="0" w:space="0" w:color="auto"/>
        <w:right w:val="none" w:sz="0" w:space="0" w:color="auto"/>
      </w:divBdr>
    </w:div>
    <w:div w:id="902184038">
      <w:bodyDiv w:val="1"/>
      <w:marLeft w:val="0"/>
      <w:marRight w:val="0"/>
      <w:marTop w:val="0"/>
      <w:marBottom w:val="0"/>
      <w:divBdr>
        <w:top w:val="none" w:sz="0" w:space="0" w:color="auto"/>
        <w:left w:val="none" w:sz="0" w:space="0" w:color="auto"/>
        <w:bottom w:val="none" w:sz="0" w:space="0" w:color="auto"/>
        <w:right w:val="none" w:sz="0" w:space="0" w:color="auto"/>
      </w:divBdr>
    </w:div>
    <w:div w:id="1181815246">
      <w:bodyDiv w:val="1"/>
      <w:marLeft w:val="0"/>
      <w:marRight w:val="0"/>
      <w:marTop w:val="0"/>
      <w:marBottom w:val="0"/>
      <w:divBdr>
        <w:top w:val="none" w:sz="0" w:space="0" w:color="auto"/>
        <w:left w:val="none" w:sz="0" w:space="0" w:color="auto"/>
        <w:bottom w:val="none" w:sz="0" w:space="0" w:color="auto"/>
        <w:right w:val="none" w:sz="0" w:space="0" w:color="auto"/>
      </w:divBdr>
    </w:div>
    <w:div w:id="1253509040">
      <w:bodyDiv w:val="1"/>
      <w:marLeft w:val="0"/>
      <w:marRight w:val="0"/>
      <w:marTop w:val="0"/>
      <w:marBottom w:val="0"/>
      <w:divBdr>
        <w:top w:val="none" w:sz="0" w:space="0" w:color="auto"/>
        <w:left w:val="none" w:sz="0" w:space="0" w:color="auto"/>
        <w:bottom w:val="none" w:sz="0" w:space="0" w:color="auto"/>
        <w:right w:val="none" w:sz="0" w:space="0" w:color="auto"/>
      </w:divBdr>
    </w:div>
    <w:div w:id="1385910443">
      <w:bodyDiv w:val="1"/>
      <w:marLeft w:val="0"/>
      <w:marRight w:val="0"/>
      <w:marTop w:val="0"/>
      <w:marBottom w:val="0"/>
      <w:divBdr>
        <w:top w:val="none" w:sz="0" w:space="0" w:color="auto"/>
        <w:left w:val="none" w:sz="0" w:space="0" w:color="auto"/>
        <w:bottom w:val="none" w:sz="0" w:space="0" w:color="auto"/>
        <w:right w:val="none" w:sz="0" w:space="0" w:color="auto"/>
      </w:divBdr>
    </w:div>
    <w:div w:id="1740126237">
      <w:bodyDiv w:val="1"/>
      <w:marLeft w:val="0"/>
      <w:marRight w:val="0"/>
      <w:marTop w:val="0"/>
      <w:marBottom w:val="0"/>
      <w:divBdr>
        <w:top w:val="none" w:sz="0" w:space="0" w:color="auto"/>
        <w:left w:val="none" w:sz="0" w:space="0" w:color="auto"/>
        <w:bottom w:val="none" w:sz="0" w:space="0" w:color="auto"/>
        <w:right w:val="none" w:sz="0" w:space="0" w:color="auto"/>
      </w:divBdr>
    </w:div>
    <w:div w:id="1965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renewable-energy/national-action-plans" TargetMode="External"/><Relationship Id="rId13" Type="http://schemas.openxmlformats.org/officeDocument/2006/relationships/hyperlink" Target="https://ec.europa.eu/energy/en/topics/renewable-energy/biofuels/voluntary-schemes" TargetMode="External"/><Relationship Id="rId3" Type="http://schemas.openxmlformats.org/officeDocument/2006/relationships/hyperlink" Target="https://www.eea.europa.eu/publications/renewable-energy-in-europe-2018/" TargetMode="External"/><Relationship Id="rId7" Type="http://schemas.openxmlformats.org/officeDocument/2006/relationships/hyperlink" Target="https://ec.europa.eu/energy/en/topics/renewable-energy/progress-reports" TargetMode="External"/><Relationship Id="rId12" Type="http://schemas.openxmlformats.org/officeDocument/2006/relationships/hyperlink" Target="https://ec.europa.eu/energy/sites/ener/files/documents/technical_assistance_in_realisation_of_the_4th_report_on_progress_of_renewable_energy_in_the_eu-final_report.pdf" TargetMode="External"/><Relationship Id="rId2" Type="http://schemas.openxmlformats.org/officeDocument/2006/relationships/hyperlink" Target="https://www.eea.europa.eu/publications/renewable-energy-in-europe-2018" TargetMode="External"/><Relationship Id="rId1" Type="http://schemas.openxmlformats.org/officeDocument/2006/relationships/hyperlink" Target="https://ec.europa.eu/energy/en/topics/energy-strategy-and-energy-union/clean-energy-all-europeans" TargetMode="External"/><Relationship Id="rId6" Type="http://schemas.openxmlformats.org/officeDocument/2006/relationships/hyperlink" Target="https://ec.europa.eu/energy/en/topics/technology-and-innovation/strategic-energy-technology-plan" TargetMode="External"/><Relationship Id="rId11" Type="http://schemas.openxmlformats.org/officeDocument/2006/relationships/hyperlink" Target="https://green-x.at/" TargetMode="External"/><Relationship Id="rId5" Type="http://schemas.openxmlformats.org/officeDocument/2006/relationships/hyperlink" Target="https://irena.org/publications/2019/Feb/Innovation-landscape-for-a-renewable-powered-future" TargetMode="External"/><Relationship Id="rId10" Type="http://schemas.openxmlformats.org/officeDocument/2006/relationships/hyperlink" Target="https://ec.europa.eu/energy/sites/ener/files/documents/technical_assistance_in_realisation_of_the_4th_report_on_progress_of_renewable_energy_in_the_eu-final_report.pdf" TargetMode="External"/><Relationship Id="rId4" Type="http://schemas.openxmlformats.org/officeDocument/2006/relationships/hyperlink" Target="http://publications.jrc.ec.europa.eu/repository/handle/JRC105642" TargetMode="External"/><Relationship Id="rId9" Type="http://schemas.openxmlformats.org/officeDocument/2006/relationships/hyperlink" Target="https://ec.europa.eu/energy/en/topics/renewable-energy/progress-report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4F0F68B67CF1945B8B4A078243B88F3" ma:contentTypeVersion="1" ma:contentTypeDescription="Create a new document in this library." ma:contentTypeScope="" ma:versionID="37c2f5fd27b3e91ad37b4e6c7f736fd8">
  <xsd:schema xmlns:xsd="http://www.w3.org/2001/XMLSchema" xmlns:xs="http://www.w3.org/2001/XMLSchema" xmlns:p="http://schemas.microsoft.com/office/2006/metadata/properties" xmlns:ns3="201b05e8-1b4f-451b-82dc-925fd82222d6" targetNamespace="http://schemas.microsoft.com/office/2006/metadata/properties" ma:root="true" ma:fieldsID="16ef9ff56465373dd39a16ec5d63ee94" ns3:_="">
    <xsd:import namespace="201b05e8-1b4f-451b-82dc-925fd82222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05e8-1b4f-451b-82dc-925fd82222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01b05e8-1b4f-451b-82dc-925fd82222d6" xsi:nil="true"/>
    <EC_Collab_Status xmlns="201b05e8-1b4f-451b-82dc-925fd82222d6">Not Started</EC_Collab_Status>
    <EC_Collab_DocumentLanguage xmlns="201b05e8-1b4f-451b-82dc-925fd82222d6">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13D722-B8B6-49F5-8C14-46C143A28125}">
  <ds:schemaRefs>
    <ds:schemaRef ds:uri="http://schemas.microsoft.com/sharepoint/v3/contenttype/forms"/>
  </ds:schemaRefs>
</ds:datastoreItem>
</file>

<file path=customXml/itemProps2.xml><?xml version="1.0" encoding="utf-8"?>
<ds:datastoreItem xmlns:ds="http://schemas.openxmlformats.org/officeDocument/2006/customXml" ds:itemID="{53DE0A63-2D4F-4242-96BD-7AE45F24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05e8-1b4f-451b-82dc-925fd822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53A68-698E-46B4-9BA1-4254F2386410}">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201b05e8-1b4f-451b-82dc-925fd82222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FB4565-BAA4-4A8F-A2B7-05D998E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19</Pages>
  <Words>4740</Words>
  <Characters>38212</Characters>
  <Application>Microsoft Office Word</Application>
  <DocSecurity>0</DocSecurity>
  <Lines>1032</Lines>
  <Paragraphs>536</Paragraphs>
  <ScaleCrop>false</ScaleCrop>
  <HeadingPairs>
    <vt:vector size="2" baseType="variant">
      <vt:variant>
        <vt:lpstr>Title</vt:lpstr>
      </vt:variant>
      <vt:variant>
        <vt:i4>1</vt:i4>
      </vt:variant>
    </vt:vector>
  </HeadingPairs>
  <TitlesOfParts>
    <vt:vector size="1" baseType="lpstr">
      <vt:lpstr>RES progress report</vt:lpstr>
    </vt:vector>
  </TitlesOfParts>
  <Manager/>
  <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progress report</dc:title>
  <dc:creator/>
  <cp:lastModifiedBy>KITRIMI Efstathia (SG)</cp:lastModifiedBy>
  <cp:revision>22</cp:revision>
  <cp:lastPrinted>2019-03-13T15:57:00Z</cp:lastPrinted>
  <dcterms:created xsi:type="dcterms:W3CDTF">2019-03-28T10:38:00Z</dcterms:created>
  <dcterms:modified xsi:type="dcterms:W3CDTF">2019-04-08T08:32:00Z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0x010100258AA79CEB83498886A3A086811232500084F0F68B67CF1945B8B4A078243B88F3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