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E183AB-F42C-4C05-8B86-EA2A20B3242D"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 xml:space="preserve">Fiskeripartnerskabsaftalen mellem Det Europæiske Fællesskab og Republikken Guinea-Bissau (i det følgende benævnt "aftalen") trådte i kraft den 15. april 2008. Den seneste protokol til aftalen trådte i kraft den 24. november 2014 og udløb den 23. november 2017. </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1"/>
      </w:r>
      <w:r>
        <w:rPr>
          <w:noProof/>
        </w:rPr>
        <w:t xml:space="preserve"> har Kommissionen ført forhandlinger med regeringen for Republikken Guinea-Bissau (i det følgende benævnt "Guinea-Bissau") med henblik på at indgå en ny protokol til fiskeripartnerskabsaftalen mellem Det Europæiske Fællesskab og Republikken Guinea-Bissau</w:t>
      </w:r>
      <w:r>
        <w:rPr>
          <w:rStyle w:val="FootnoteReference"/>
          <w:noProof/>
        </w:rPr>
        <w:footnoteReference w:id="2"/>
      </w:r>
      <w:r>
        <w:rPr>
          <w:noProof/>
        </w:rPr>
        <w:t>. Efter afslutningen af disse forhandlinger blev der den 15. november 2018 paraferet en ny protokol. Protokollen dækker en periode på fem år fra datoen for dens midlertidige anvendelse, dvs. fra den dato, hvor den er undertegnet, jf. artikel 16.</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after="240"/>
        <w:rPr>
          <w:noProof/>
        </w:rPr>
      </w:pPr>
      <w:r>
        <w:rPr>
          <w:noProof/>
        </w:rPr>
        <w:t>I overensstemmelse med prioriteterne for reformen af fiskeripolitikken</w:t>
      </w:r>
      <w:r>
        <w:rPr>
          <w:rStyle w:val="FootnoteReference"/>
          <w:noProof/>
        </w:rPr>
        <w:footnoteReference w:id="3"/>
      </w:r>
      <w:r>
        <w:rPr>
          <w:noProof/>
        </w:rPr>
        <w:t xml:space="preserve"> skaber den nye protokol fiskerimuligheder for EU-fartøjer i Guinea-Bissaus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Republikken Guinea-Bissau at arbejde tættere sammen om at fremme en ansvarlig udnyttelse af fiskeressourcerne i Guinea-Bissaus farvande og støtte Guinea-Bissaus bestræbelser på at udvikle sin blå økonomi, hvilket er i begge parters interesse. </w:t>
      </w:r>
    </w:p>
    <w:p>
      <w:pPr>
        <w:spacing w:before="0" w:after="240"/>
        <w:rPr>
          <w:noProof/>
        </w:rPr>
      </w:pPr>
      <w:r>
        <w:rPr>
          <w:noProof/>
        </w:rPr>
        <w:t>I protokollen er der fastsat fiskerimuligheder for følgende kategorier:</w:t>
      </w:r>
    </w:p>
    <w:p>
      <w:pPr>
        <w:pStyle w:val="Point0number"/>
        <w:numPr>
          <w:ilvl w:val="0"/>
          <w:numId w:val="18"/>
        </w:numPr>
        <w:spacing w:before="0"/>
        <w:rPr>
          <w:noProof/>
        </w:rPr>
      </w:pPr>
      <w:r>
        <w:rPr>
          <w:noProof/>
        </w:rPr>
        <w:t>frysetrawlere til rejefiskeri</w:t>
      </w:r>
    </w:p>
    <w:p>
      <w:pPr>
        <w:pStyle w:val="Point0number"/>
        <w:numPr>
          <w:ilvl w:val="0"/>
          <w:numId w:val="18"/>
        </w:numPr>
        <w:rPr>
          <w:noProof/>
        </w:rPr>
      </w:pPr>
      <w:r>
        <w:rPr>
          <w:noProof/>
        </w:rPr>
        <w:t>frysetrawlere til fiskeri efter fisk og blæksprutte</w:t>
      </w:r>
    </w:p>
    <w:p>
      <w:pPr>
        <w:pStyle w:val="Point0number"/>
        <w:rPr>
          <w:noProof/>
        </w:rPr>
      </w:pPr>
      <w:r>
        <w:rPr>
          <w:noProof/>
        </w:rPr>
        <w:t>trawlere til fiskeri efter små pelagiske arter</w:t>
      </w:r>
    </w:p>
    <w:p>
      <w:pPr>
        <w:pStyle w:val="Point0number"/>
        <w:rPr>
          <w:noProof/>
        </w:rPr>
      </w:pPr>
      <w:r>
        <w:rPr>
          <w:noProof/>
        </w:rPr>
        <w:t>notfartøjer med fryseanlæg til tunfiskeri og langlinefartøjer</w:t>
      </w:r>
    </w:p>
    <w:p>
      <w:pPr>
        <w:pStyle w:val="Point0number"/>
        <w:rPr>
          <w:noProof/>
        </w:rPr>
      </w:pPr>
      <w:r>
        <w:rPr>
          <w:noProof/>
        </w:rPr>
        <w:t>stangfartøjer til tunfiskeri.</w:t>
      </w:r>
    </w:p>
    <w:p>
      <w:pPr>
        <w:spacing w:before="0" w:after="240"/>
        <w:rPr>
          <w:noProof/>
        </w:rPr>
      </w:pPr>
      <w:r>
        <w:rPr>
          <w:noProof/>
        </w:rPr>
        <w:t>For de første tre kategorier udtrykkes fiskerimulighederne i fiskeriindsats (BRT) i de første to år og i fangstbegrænsning (TAC) i e sidste tre år.</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Guinea-Bissau indgår som led i EU's optræden udadtil over for AVS-landene, og der tages navnlig hensyn til Unionens mål vedrørende respekt for de demokratiske principper og menneskerettighederne.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keepNext/>
        <w:rPr>
          <w:noProof/>
          <w:sz w:val="22"/>
        </w:rPr>
      </w:pPr>
      <w:r>
        <w:rPr>
          <w:noProof/>
        </w:rPr>
        <w:t xml:space="preserve">Det valgte retsgrundlag er traktaten om Den Europæiske Unions funktionsmåde, som i artikel 43, stk. 2, indeholder bestemmelser om den fælles fiskeripolitik og i artikel 218, stk. 5, indeholder bestemmelser om den relevante fase af proceduren for forhandling og indgåelse af aftaler mellem Unionen og tredjelande. </w:t>
      </w:r>
    </w:p>
    <w:p>
      <w:pPr>
        <w:pStyle w:val="ManualHeading2"/>
        <w:rPr>
          <w:rFonts w:eastAsia="Arial Unicode MS"/>
          <w:noProof/>
          <w:u w:color="000000"/>
          <w:bdr w:val="nil"/>
        </w:rPr>
      </w:pPr>
      <w:r>
        <w:rPr>
          <w:noProof/>
        </w:rPr>
        <w:t>•</w:t>
      </w:r>
      <w:r>
        <w:rPr>
          <w:noProof/>
        </w:rPr>
        <w:tab/>
        <w:t>Nærhedsprincippet (for områder, der ikke er omfattet af enekompetence)</w:t>
      </w:r>
    </w:p>
    <w:p>
      <w:pPr>
        <w:keepNext/>
        <w:rPr>
          <w:noProof/>
          <w:sz w:val="22"/>
        </w:rPr>
      </w:pPr>
      <w:r>
        <w:rPr>
          <w:noProof/>
        </w:rPr>
        <w:t>Forslaget hører under Den Europæiske Unions enekompetence.</w:t>
      </w:r>
    </w:p>
    <w:p>
      <w:pPr>
        <w:pStyle w:val="ManualHeading2"/>
        <w:rPr>
          <w:rFonts w:eastAsia="Arial Unicode MS"/>
          <w:noProof/>
          <w:u w:color="000000"/>
          <w:bdr w:val="nil"/>
        </w:rPr>
      </w:pPr>
      <w:r>
        <w:rPr>
          <w:noProof/>
        </w:rPr>
        <w:t>•</w:t>
      </w:r>
      <w:r>
        <w:rPr>
          <w:noProof/>
        </w:rPr>
        <w:tab/>
        <w:t>Proportionalitetsprincippet</w:t>
      </w:r>
    </w:p>
    <w:p>
      <w:pPr>
        <w:keepNext/>
        <w:rPr>
          <w:noProof/>
          <w:sz w:val="22"/>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bestemmelserne om finansiel bistand til tredjelande, der er fastsat i forordningens artikel 32.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Kommissionen foretog i 2016 en efterfølgende evaluering af den gældende protokol til fiskeripartnerskabsaftalen mellem Den Europæiske Union og Guinea-Bissau samt en forudgående evaluering af en eventuel fornyelse af protokollen. Resultaterne af evalueringen er beskrevet i et særskilt arbejdsdokument</w:t>
      </w:r>
      <w:r>
        <w:rPr>
          <w:rStyle w:val="FootnoteReference"/>
          <w:noProof/>
        </w:rPr>
        <w:footnoteReference w:id="4"/>
      </w:r>
      <w:r>
        <w:rPr>
          <w:noProof/>
        </w:rPr>
        <w:t>.</w:t>
      </w:r>
    </w:p>
    <w:p>
      <w:pPr>
        <w:rPr>
          <w:noProof/>
        </w:rPr>
      </w:pPr>
      <w:r>
        <w:rPr>
          <w:noProof/>
        </w:rPr>
        <w:t xml:space="preserve">I evalueringen blev det konkluderet, at EU's tunfiskerisektor har en stor interesse i fiskeriet i Guinea-Bissau, og at en fornyelse af protokollen vil bidrage til at styrke tilsynet, kontrollen og overvågningen og til at forbedre fiskeriforvaltningen i regionen. </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Guinea-Bissaus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rPr>
          <w:noProof/>
        </w:rPr>
      </w:pPr>
      <w:r>
        <w:rPr>
          <w:noProof/>
        </w:rPr>
        <w:t>Den Europæiske Unions årlige finansielle modydelse beløber sig til 15 600 000 EUR baseret på:</w:t>
      </w:r>
    </w:p>
    <w:p>
      <w:pPr>
        <w:rPr>
          <w:noProof/>
        </w:rPr>
      </w:pPr>
      <w:r>
        <w:rPr>
          <w:noProof/>
        </w:rPr>
        <w:t>a) et årligt beløb for adgang til fiskeressourcerne for de kategorier, der er fastsat i protokollen, på 11 600 000 EUR pr. år i hele protokollens gyldighedsperiode.</w:t>
      </w:r>
    </w:p>
    <w:p>
      <w:pPr>
        <w:rPr>
          <w:noProof/>
        </w:rPr>
      </w:pPr>
      <w:r>
        <w:rPr>
          <w:noProof/>
        </w:rPr>
        <w:t>b) støtte til udviklingen af sektorpolitikken for fiskeriet og den blå økonomi i Guinea-Bissau for et beløb på 4 000 000 EUR om året i hele protokollens gyldighedsperiode. Denne støtte stemmer overens med målene for den nationale politik hvad angår en bæredygtig forvaltning af fiskeressourcerne i kyst- og havområderne i hele protokollens gyldighedsperiode.</w:t>
      </w:r>
    </w:p>
    <w:p>
      <w:pPr>
        <w:rPr>
          <w:noProof/>
        </w:rPr>
      </w:pPr>
      <w:r>
        <w:rPr>
          <w:noProof/>
        </w:rPr>
        <w:t>Det årlige beløb til forpligtelses- og betalingsbevillinger fastsættes under den årlige budgetprocedure, herunder den reserve for protokoller, der endnu ikke er i kraft ved årets start</w:t>
      </w:r>
      <w:r>
        <w:rPr>
          <w:rStyle w:val="FootnoteReference"/>
          <w:noProof/>
        </w:rPr>
        <w:footnoteReference w:id="5"/>
      </w:r>
      <w:r>
        <w:rPr>
          <w:noProof/>
        </w:rPr>
        <w: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De nærmere regler for overvågningen er fastsat i protokollen.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 xml:space="preserve">om undertegnelse på Unionens vegne og midlertidig anvendelse af protokollen til gennemførelse af fiskeripartnerskabsaftalen mellem Det Europæiske Fællesskab og Republikken Guinea-Bissau (2019-2024)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17. marts 2008 vedtog Rådet forordning (EF) nr. 241/2008</w:t>
      </w:r>
      <w:r>
        <w:rPr>
          <w:rStyle w:val="FootnoteReference"/>
          <w:noProof/>
        </w:rPr>
        <w:footnoteReference w:id="6"/>
      </w:r>
      <w:r>
        <w:rPr>
          <w:noProof/>
        </w:rPr>
        <w:t xml:space="preserve"> om indgåelse af en fiskeripartnerskabsaftale mellem Det Europæiske Fællesskab og Republikken Guinea-Bissau (i det følgende benævnt "aftalen")</w:t>
      </w:r>
      <w:r>
        <w:rPr>
          <w:rStyle w:val="FootnoteReference"/>
          <w:noProof/>
        </w:rPr>
        <w:footnoteReference w:id="7"/>
      </w:r>
      <w:r>
        <w:rPr>
          <w:noProof/>
        </w:rPr>
        <w:t>, der trådte i kraft den 15. april 2008, og som derefter stiltiende er blevet fornyet og stadig er i kraft.</w:t>
      </w:r>
    </w:p>
    <w:p>
      <w:pPr>
        <w:pStyle w:val="ManualConsidrant"/>
        <w:rPr>
          <w:noProof/>
        </w:rPr>
      </w:pPr>
      <w:r>
        <w:t>(2)</w:t>
      </w:r>
      <w:r>
        <w:tab/>
      </w:r>
      <w:r>
        <w:rPr>
          <w:noProof/>
        </w:rPr>
        <w:t>Den foregående protokol til aftalen udløb den 23. november 2017.</w:t>
      </w:r>
    </w:p>
    <w:p>
      <w:pPr>
        <w:pStyle w:val="ManualConsidrant"/>
        <w:rPr>
          <w:noProof/>
        </w:rPr>
      </w:pPr>
      <w:r>
        <w:t>(3)</w:t>
      </w:r>
      <w:r>
        <w:tab/>
      </w:r>
      <w:r>
        <w:rPr>
          <w:noProof/>
        </w:rPr>
        <w:t>Kommissionen har på Den Europæiske Unions vegne ført forhandlinger om en ny protokol til gennemførelse af aftalen (i det følgende benævnt "protokollen"). Efter afslutningen af forhandlingerne blev protokollen paraferet den 15. november 2018.</w:t>
      </w:r>
    </w:p>
    <w:p>
      <w:pPr>
        <w:pStyle w:val="ManualConsidrant"/>
        <w:rPr>
          <w:noProof/>
        </w:rPr>
      </w:pPr>
      <w:r>
        <w:t>(4)</w:t>
      </w:r>
      <w:r>
        <w:tab/>
      </w:r>
      <w:r>
        <w:rPr>
          <w:noProof/>
        </w:rPr>
        <w:t>Formålet med protokollen er at gøre det muligt for Den Europæiske Union og at Republikken Guinea-Bissau arbejde tættere sammen om at fremme en bæredygtig fiskeripolitik, en ansvarlig udnyttelse af fiskeressourcerne i Guinea-Bissaus farvande og Guinea-Bissaus bestræbelser på at udvikle en blå økonomi.</w:t>
      </w:r>
    </w:p>
    <w:p>
      <w:pPr>
        <w:pStyle w:val="ManualConsidrant"/>
        <w:rPr>
          <w:noProof/>
        </w:rPr>
      </w:pPr>
      <w:r>
        <w:t>(5)</w:t>
      </w:r>
      <w:r>
        <w:tab/>
      </w:r>
      <w:r>
        <w:rPr>
          <w:noProof/>
        </w:rPr>
        <w:t xml:space="preserve">Protokollen bør godkendes på Unionens vegne med forbehold af dens senere indgåelse. </w:t>
      </w:r>
    </w:p>
    <w:p>
      <w:pPr>
        <w:pStyle w:val="ManualConsidrant"/>
        <w:rPr>
          <w:noProof/>
        </w:rPr>
      </w:pPr>
      <w:r>
        <w:t>(6)</w:t>
      </w:r>
      <w:r>
        <w:tab/>
      </w:r>
      <w:r>
        <w:rPr>
          <w:noProof/>
        </w:rPr>
        <w:t>For at sikre, at EU-fartøjerne hurtigt kan påbegynde fiskeriet, bør protokollen anvendes midlertidigt straks fra undertegnelsen, indtil den træder i kraft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Undertegnelsen af protokollen om gennemførelse af fiskeripartnerskabsaftalen mellem Det Europæiske Fællesskab og Republikken Guinea-Bissau (2019-2024) (i det følgende benævnt "protokollen") godkendes af Unionen med forbehold af nævnte protokols indgåelse.</w:t>
      </w:r>
    </w:p>
    <w:p>
      <w:pPr>
        <w:rPr>
          <w:noProof/>
        </w:rPr>
      </w:pPr>
      <w:r>
        <w:rPr>
          <w:noProof/>
        </w:rPr>
        <w:t>Teksten til protokollen er knyttet til denne afgørelse.</w:t>
      </w:r>
    </w:p>
    <w:p>
      <w:pPr>
        <w:pStyle w:val="Titrearticle"/>
        <w:rPr>
          <w:noProof/>
        </w:rPr>
      </w:pPr>
      <w:r>
        <w:rPr>
          <w:noProof/>
        </w:rPr>
        <w:t>Artikel 2</w:t>
      </w:r>
    </w:p>
    <w:p>
      <w:pPr>
        <w:rPr>
          <w:noProof/>
        </w:rPr>
      </w:pPr>
      <w:r>
        <w:rPr>
          <w:noProof/>
        </w:rPr>
        <w:t xml:space="preserve">Generalsekretariatet for Rådet udarbejder fuldmagtsinstrumentet til undertegnelse af protokollen med forbehold af dens indgåelse til den eller de personer, som forhandleren af protokollen har udpeget. </w:t>
      </w:r>
    </w:p>
    <w:p>
      <w:pPr>
        <w:pStyle w:val="Titrearticle"/>
        <w:rPr>
          <w:noProof/>
        </w:rPr>
      </w:pPr>
      <w:r>
        <w:rPr>
          <w:noProof/>
        </w:rPr>
        <w:t>Artikel 3</w:t>
      </w:r>
    </w:p>
    <w:p>
      <w:pPr>
        <w:keepNext/>
        <w:rPr>
          <w:noProof/>
        </w:rPr>
      </w:pPr>
      <w:r>
        <w:rPr>
          <w:noProof/>
        </w:rPr>
        <w:t>I henhold til protokollens artikel 16 anvendes protokollen midlertidigt fra datoen for dens undertegnelse, indtil den træder i kraft.</w:t>
      </w:r>
    </w:p>
    <w:p>
      <w:pPr>
        <w:pStyle w:val="Titrearticle"/>
        <w:rPr>
          <w:noProof/>
        </w:rPr>
      </w:pPr>
      <w:r>
        <w:rPr>
          <w:noProof/>
        </w:rPr>
        <w:t>Artikel 4</w:t>
      </w:r>
    </w:p>
    <w:p>
      <w:pPr>
        <w:keepNext/>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w:t>
      </w:r>
    </w:p>
    <w:p>
      <w:pPr>
        <w:pStyle w:val="ManualHeading2"/>
        <w:rPr>
          <w:b w:val="0"/>
          <w:noProof/>
        </w:rPr>
      </w:pPr>
      <w:r>
        <w:rPr>
          <w:noProof/>
        </w:rPr>
        <w:tab/>
      </w:r>
      <w:r>
        <w:rPr>
          <w:b w:val="0"/>
          <w:noProof/>
        </w:rPr>
        <w:t>1.3.</w:t>
      </w:r>
      <w:r>
        <w:rPr>
          <w:noProof/>
        </w:rPr>
        <w:tab/>
      </w:r>
      <w:r>
        <w:rPr>
          <w:b w:val="0"/>
          <w:noProof/>
        </w:rPr>
        <w:t xml:space="preserve">Forslaget/initiativet vedrører: </w:t>
      </w:r>
    </w:p>
    <w:p>
      <w:pPr>
        <w:pStyle w:val="ManualHeading2"/>
        <w:rPr>
          <w:b w:val="0"/>
          <w:noProof/>
        </w:rPr>
      </w:pPr>
      <w:r>
        <w:rPr>
          <w:noProof/>
        </w:rPr>
        <w:tab/>
      </w:r>
      <w:r>
        <w:rPr>
          <w:b w:val="0"/>
          <w:noProof/>
        </w:rPr>
        <w:t>1.4.</w:t>
      </w:r>
      <w:r>
        <w:rPr>
          <w:noProof/>
        </w:rPr>
        <w:tab/>
      </w:r>
      <w:r>
        <w:rPr>
          <w:b w:val="0"/>
          <w:noProof/>
        </w:rPr>
        <w:t xml:space="preserve">Målsætning(er) </w:t>
      </w:r>
    </w:p>
    <w:p>
      <w:pPr>
        <w:pStyle w:val="ManualHeading3"/>
        <w:rPr>
          <w:noProof/>
        </w:rPr>
      </w:pPr>
      <w:r>
        <w:rPr>
          <w:noProof/>
        </w:rPr>
        <w:tab/>
        <w:t>1.4.1.</w:t>
      </w:r>
      <w:r>
        <w:rPr>
          <w:noProof/>
        </w:rPr>
        <w:tab/>
        <w:t>Generel(le) formål</w:t>
      </w:r>
    </w:p>
    <w:p>
      <w:pPr>
        <w:pStyle w:val="ManualHeading3"/>
        <w:rPr>
          <w:noProof/>
        </w:rPr>
      </w:pPr>
      <w:r>
        <w:rPr>
          <w:noProof/>
        </w:rPr>
        <w:tab/>
        <w:t>1.4.2.</w:t>
      </w:r>
      <w:r>
        <w:rPr>
          <w:noProof/>
        </w:rPr>
        <w:tab/>
        <w:t>Specifikt/specifikke formål</w:t>
      </w:r>
    </w:p>
    <w:p>
      <w:pPr>
        <w:pStyle w:val="ManualHeading3"/>
        <w:rPr>
          <w:noProof/>
        </w:rPr>
      </w:pPr>
      <w:r>
        <w:rPr>
          <w:noProof/>
        </w:rPr>
        <w:tab/>
        <w:t>1.4.3.</w:t>
      </w:r>
      <w:r>
        <w:rPr>
          <w:noProof/>
        </w:rPr>
        <w:tab/>
        <w:t>Forventede resultater og virkninger</w:t>
      </w:r>
    </w:p>
    <w:p>
      <w:pPr>
        <w:pStyle w:val="ManualHeading3"/>
        <w:rPr>
          <w:noProof/>
        </w:rPr>
      </w:pPr>
      <w:r>
        <w:rPr>
          <w:noProof/>
        </w:rPr>
        <w:tab/>
        <w:t>1.4.4.</w:t>
      </w:r>
      <w:r>
        <w:rPr>
          <w:noProof/>
        </w:rPr>
        <w:tab/>
        <w:t>Resultatindikatorer</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3"/>
        <w:rPr>
          <w:noProof/>
        </w:rPr>
      </w:pPr>
      <w:r>
        <w:rPr>
          <w:noProof/>
        </w:rPr>
        <w:tab/>
        <w:t>1.5.1.</w:t>
      </w:r>
      <w:r>
        <w:rPr>
          <w:noProof/>
        </w:rPr>
        <w:tab/>
        <w:t>Behov, der skal opfyldes på kort eller lang sigt, herunder en detaljeret tidsplan for iværksættelsen af initiativet</w:t>
      </w:r>
    </w:p>
    <w:p>
      <w:pPr>
        <w:pStyle w:val="ManualHeading3"/>
        <w:rPr>
          <w:noProof/>
        </w:rPr>
      </w:pPr>
      <w:r>
        <w:rPr>
          <w:noProof/>
        </w:rPr>
        <w:tab/>
        <w:t>1.5.2.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ManualHeading3"/>
        <w:rPr>
          <w:noProof/>
        </w:rPr>
      </w:pPr>
      <w:r>
        <w:rPr>
          <w:noProof/>
        </w:rPr>
        <w:tab/>
        <w:t>1.5.3.</w:t>
      </w:r>
      <w:r>
        <w:rPr>
          <w:noProof/>
        </w:rPr>
        <w:tab/>
        <w:t>Erfaringer fra lignende foranstaltninger</w:t>
      </w:r>
    </w:p>
    <w:p>
      <w:pPr>
        <w:pStyle w:val="ManualHeading3"/>
        <w:rPr>
          <w:noProof/>
        </w:rPr>
      </w:pPr>
      <w:r>
        <w:rPr>
          <w:noProof/>
        </w:rPr>
        <w:tab/>
        <w:t>1.5.4.</w:t>
      </w:r>
      <w:r>
        <w:rPr>
          <w:noProof/>
        </w:rPr>
        <w:tab/>
        <w:t>Forenelighed med den flerårige finansielle ramme og mulige synergivirkninger med andre relevante instrumenter</w:t>
      </w:r>
    </w:p>
    <w:p>
      <w:pPr>
        <w:pStyle w:val="ManualHeading3"/>
        <w:rPr>
          <w:noProof/>
        </w:rPr>
      </w:pPr>
      <w:r>
        <w:rPr>
          <w:noProof/>
        </w:rPr>
        <w:tab/>
        <w:t>1.5.5.</w:t>
      </w:r>
      <w:r>
        <w:rPr>
          <w:noProof/>
        </w:rPr>
        <w:tab/>
        <w:t>Vurdering af de forskellige tilgængelige finansieringsmuligheder, herunder muligheden for omfordeling</w:t>
      </w:r>
    </w:p>
    <w:p>
      <w:pPr>
        <w:pStyle w:val="ManualHeading2"/>
        <w:rPr>
          <w:b w:val="0"/>
          <w:noProof/>
        </w:rPr>
      </w:pPr>
      <w:r>
        <w:rPr>
          <w:noProof/>
        </w:rPr>
        <w:tab/>
      </w:r>
      <w:r>
        <w:rPr>
          <w:b w:val="0"/>
          <w:noProof/>
        </w:rPr>
        <w:t>1.6.</w:t>
      </w:r>
      <w:r>
        <w:rPr>
          <w:noProof/>
        </w:rPr>
        <w:tab/>
      </w:r>
      <w:r>
        <w:rPr>
          <w:b w:val="0"/>
          <w:noProof/>
        </w:rPr>
        <w:t>Forslagets/initiativets varighed og finansielle virkninger</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Påtænkt(e) forvaltningsmetode(r)</w:t>
      </w:r>
      <w:r>
        <w:rPr>
          <w:noProof/>
        </w:rPr>
        <w:tab/>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Forvaltnings- og kontrolsystem(er)</w:t>
      </w:r>
    </w:p>
    <w:p>
      <w:pPr>
        <w:pStyle w:val="ManualHeading3"/>
        <w:rPr>
          <w:noProof/>
        </w:rPr>
      </w:pPr>
      <w:r>
        <w:rPr>
          <w:noProof/>
        </w:rPr>
        <w:tab/>
        <w:t>2.2.1.</w:t>
      </w:r>
      <w:r>
        <w:rPr>
          <w:noProof/>
        </w:rPr>
        <w:tab/>
        <w:t>Begrundelse for den/de påtænkte forvaltningsmetode(r), finansieringsmekanisme(r), betalingsvilkår og kontrolstrategi</w:t>
      </w:r>
    </w:p>
    <w:p>
      <w:pPr>
        <w:pStyle w:val="ManualHeading3"/>
        <w:rPr>
          <w:noProof/>
        </w:rPr>
      </w:pPr>
      <w:r>
        <w:rPr>
          <w:noProof/>
        </w:rPr>
        <w:tab/>
        <w:t>2.2.2.</w:t>
      </w:r>
      <w:r>
        <w:rPr>
          <w:noProof/>
        </w:rPr>
        <w:tab/>
        <w:t>Oplysninger om de udpegede risici og det/de interne kontrolsystem(er), der etableres for at afbøde dem</w:t>
      </w:r>
    </w:p>
    <w:p>
      <w:pPr>
        <w:pStyle w:val="ManualHeading3"/>
        <w:rPr>
          <w:noProof/>
        </w:rPr>
      </w:pPr>
      <w:r>
        <w:rPr>
          <w:noProof/>
        </w:rPr>
        <w:tab/>
        <w:t>2.2.3.</w:t>
      </w:r>
      <w:r>
        <w:rPr>
          <w:noProof/>
        </w:rPr>
        <w:tab/>
        <w:t>Vurdering af og begrundelse for kontrolforanstaltningernes omkostningseffektivitet (forholdet mellem kontrolomkostningerne og værdien af de forvaltede midler) samt vurdering af den forventede risiko for fejl (ved betaling og ved afslutning)</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Forslagets anslåede finansielle virkninger for bevillingerne</w:t>
      </w:r>
    </w:p>
    <w:p>
      <w:pPr>
        <w:pStyle w:val="ManualHeading3"/>
        <w:rPr>
          <w:noProof/>
        </w:rPr>
      </w:pPr>
      <w:r>
        <w:rPr>
          <w:noProof/>
        </w:rPr>
        <w:tab/>
        <w:t>3.2.1.</w:t>
      </w:r>
      <w:r>
        <w:rPr>
          <w:noProof/>
        </w:rPr>
        <w:tab/>
        <w:t xml:space="preserve">Sammenfatning af de anslåede virkninger for aktionsbevillingerne </w:t>
      </w:r>
    </w:p>
    <w:p>
      <w:pPr>
        <w:pStyle w:val="ManualHeading3"/>
        <w:rPr>
          <w:noProof/>
        </w:rPr>
      </w:pPr>
      <w:r>
        <w:rPr>
          <w:noProof/>
        </w:rPr>
        <w:tab/>
        <w:t>3.2.2.</w:t>
      </w:r>
      <w:r>
        <w:rPr>
          <w:noProof/>
        </w:rPr>
        <w:tab/>
        <w:t xml:space="preserve">Anslåede resultater finansieret med aktionsbevillinger </w:t>
      </w:r>
    </w:p>
    <w:p>
      <w:pPr>
        <w:pStyle w:val="ManualHeading3"/>
        <w:rPr>
          <w:noProof/>
        </w:rPr>
      </w:pPr>
      <w:r>
        <w:rPr>
          <w:noProof/>
        </w:rPr>
        <w:tab/>
        <w:t>3.2.3.</w:t>
      </w:r>
      <w:r>
        <w:rPr>
          <w:noProof/>
        </w:rPr>
        <w:tab/>
        <w:t>Sammenfatning af de 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FINANSIERINGSOVERSIGT</w:t>
      </w:r>
    </w:p>
    <w:p>
      <w:pPr>
        <w:pStyle w:val="ManualHeading1"/>
        <w:rPr>
          <w:noProof/>
        </w:rPr>
      </w:pPr>
      <w:bookmarkStart w:id="1" w:name="_Toc514938007"/>
      <w:bookmarkStart w:id="2" w:name="_Toc520485025"/>
      <w:r>
        <w:t>1.</w:t>
      </w:r>
      <w:r>
        <w:tab/>
      </w:r>
      <w:r>
        <w:rPr>
          <w:noProof/>
        </w:rPr>
        <w:t>FORSLAGETS/INITIATIVETS RAMME</w:t>
      </w:r>
      <w:bookmarkEnd w:id="1"/>
      <w:bookmarkEnd w:id="2"/>
      <w:r>
        <w:rPr>
          <w:noProof/>
        </w:rPr>
        <w:t xml:space="preserve"> </w:t>
      </w:r>
    </w:p>
    <w:p>
      <w:pPr>
        <w:pStyle w:val="ManualHeading2"/>
        <w:rPr>
          <w:noProof/>
        </w:rPr>
      </w:pPr>
      <w:bookmarkStart w:id="3" w:name="_Toc514938008"/>
      <w:bookmarkStart w:id="4" w:name="_Toc520485026"/>
      <w:r>
        <w:t>1.1.</w:t>
      </w:r>
      <w:r>
        <w:tab/>
      </w:r>
      <w:r>
        <w:rPr>
          <w:noProof/>
        </w:rPr>
        <w:t>Forslagets/initiativets betegnelse</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Forslag til Rådets afgørelse om undertegnelse på Unionens vegne og midlertidig anvendelse af protokollen til gennemførelse af fiskeripartnerskabsaftalen mellem Det Europæiske Fællesskab og Republikken Guinea-Bissau.</w:t>
      </w:r>
    </w:p>
    <w:p>
      <w:pPr>
        <w:pStyle w:val="ManualHeading2"/>
        <w:rPr>
          <w:noProof/>
        </w:rPr>
      </w:pPr>
      <w:bookmarkStart w:id="5" w:name="_Toc514938011"/>
      <w:bookmarkStart w:id="6" w:name="_Toc520485027"/>
      <w:r>
        <w:t>1.2.</w:t>
      </w:r>
      <w:r>
        <w:tab/>
      </w:r>
      <w:r>
        <w:rPr>
          <w:noProof/>
        </w:rPr>
        <w:t>Berørt(e) politikområde(r)</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anliggender og fiskeri</w:t>
      </w:r>
    </w:p>
    <w:p>
      <w:pPr>
        <w:pStyle w:val="Text1"/>
        <w:pBdr>
          <w:top w:val="single" w:sz="4" w:space="1" w:color="auto"/>
          <w:left w:val="single" w:sz="4" w:space="4" w:color="auto"/>
          <w:bottom w:val="single" w:sz="4" w:space="1" w:color="auto"/>
          <w:right w:val="single" w:sz="4" w:space="4" w:color="auto"/>
        </w:pBdr>
        <w:rPr>
          <w:noProof/>
        </w:rPr>
      </w:pPr>
      <w:r>
        <w:rPr>
          <w:noProof/>
        </w:rPr>
        <w:t>11.03 — Obligatoriske bidrag til regionale fiskeriorganisationer og andre internationale organisationer og 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11.03.01 — Fastsættelse af en reguleringsramme for EU-fiskerfartøjers fiskeri i tredjelandsfarvande</w:t>
      </w:r>
    </w:p>
    <w:p>
      <w:pPr>
        <w:pStyle w:val="ManualHeading2"/>
        <w:rPr>
          <w:bCs/>
          <w:noProof/>
          <w:szCs w:val="24"/>
        </w:rPr>
      </w:pPr>
      <w:bookmarkStart w:id="7" w:name="_Toc514938014"/>
      <w:bookmarkStart w:id="8" w:name="_Toc520485028"/>
      <w:r>
        <w:t>1.3.</w:t>
      </w:r>
      <w:r>
        <w:tab/>
      </w:r>
      <w:r>
        <w:rPr>
          <w:noProof/>
        </w:rPr>
        <w:t>Forslaget/initiativet vedrører:</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bCs/>
          <w:noProof/>
          <w:szCs w:val="24"/>
        </w:rPr>
      </w:pPr>
      <w:bookmarkStart w:id="9" w:name="_Toc514938015"/>
      <w:bookmarkStart w:id="10" w:name="_Toc520485029"/>
      <w:r>
        <w:t>1.4.</w:t>
      </w:r>
      <w:r>
        <w:tab/>
      </w:r>
      <w:r>
        <w:rPr>
          <w:noProof/>
        </w:rPr>
        <w:t>Målsætning(er)</w:t>
      </w:r>
      <w:bookmarkEnd w:id="9"/>
      <w:bookmarkEnd w:id="10"/>
    </w:p>
    <w:p>
      <w:pPr>
        <w:pStyle w:val="ManualHeading3"/>
        <w:rPr>
          <w:noProof/>
        </w:rPr>
      </w:pPr>
      <w:bookmarkStart w:id="11" w:name="_Toc514938016"/>
      <w:bookmarkStart w:id="12" w:name="_Toc520485030"/>
      <w:r>
        <w:t>1.4.1.</w:t>
      </w:r>
      <w:r>
        <w:tab/>
      </w:r>
      <w:r>
        <w:rPr>
          <w:noProof/>
        </w:rPr>
        <w:t>Generel(le) formål</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Forhandlinger om og indgåelse af partnerskabsaftaler med tredjelande om bæredygtigt fiskeri opfylder det generelle mål om at give EU-fiskerfartøjer adgang til fiskeri i tredjelandes fiskeriområder og at udvikle et partnerskab med disse lande for at fremme en bæredygtig udnyttelse af fiskeressourcerne uden for EU's farvande.</w:t>
      </w:r>
    </w:p>
    <w:p>
      <w:pPr>
        <w:pStyle w:val="Text1"/>
        <w:pBdr>
          <w:top w:val="single" w:sz="4" w:space="1" w:color="auto"/>
          <w:left w:val="single" w:sz="4" w:space="4" w:color="auto"/>
          <w:bottom w:val="single" w:sz="4" w:space="1" w:color="auto"/>
          <w:right w:val="single" w:sz="4" w:space="4" w:color="auto"/>
        </w:pBdr>
        <w:rPr>
          <w:noProof/>
        </w:rPr>
      </w:pPr>
      <w:r>
        <w:rPr>
          <w:noProof/>
        </w:rPr>
        <w:t>Med partnerskabsaftalerne om bæredygtigt fiskeri sikres der ligeledes sammenhæng mellem principperne for den fælles fiskeripolitik og de forpligtelser, der er indgået i forbindelse med andre EU-politikker (bæredygtig udnyttelse af tredjelandes ressourcer, bekæmpelse af ulovligt, urapporteret og ureguleret fiskeri (IUU-fiskeri), integration af partnerlande i den globale økonomi og en bedre fiskeriforvaltning både politisk og finansielt).</w:t>
      </w:r>
    </w:p>
    <w:p>
      <w:pPr>
        <w:pStyle w:val="ManualHeading3"/>
        <w:rPr>
          <w:bCs/>
          <w:noProof/>
          <w:szCs w:val="24"/>
        </w:rPr>
      </w:pPr>
      <w:bookmarkStart w:id="13" w:name="_Toc514938018"/>
      <w:bookmarkStart w:id="14" w:name="_Toc520485031"/>
      <w:r>
        <w:t>1.4.2.</w:t>
      </w:r>
      <w:r>
        <w:tab/>
      </w:r>
      <w:r>
        <w:rPr>
          <w:noProof/>
        </w:rPr>
        <w:t>Specifikt/specifikke formål</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formål</w:t>
      </w:r>
    </w:p>
    <w:p>
      <w:pPr>
        <w:pStyle w:val="Text1"/>
        <w:pBdr>
          <w:top w:val="single" w:sz="4" w:space="1" w:color="auto"/>
          <w:left w:val="single" w:sz="4" w:space="4" w:color="auto"/>
          <w:bottom w:val="single" w:sz="4" w:space="1" w:color="auto"/>
          <w:right w:val="single" w:sz="4" w:space="4" w:color="auto"/>
        </w:pBdr>
        <w:rPr>
          <w:noProof/>
        </w:rPr>
      </w:pPr>
      <w:r>
        <w:rPr>
          <w:noProof/>
        </w:rPr>
        <w:t>At bidrage til et bæredygtigt fiskeri uden for EU's farvande, at fastholde en europæisk tilstedeværelse i fjernfiskeriet og at beskytte den europæiske fiskerisektors og forbrugernes interesser ved at forhandle om og indgå partnerskabsaftaler om bæredygtigt fiskeri med kyststater i tråd med øvrige EU-politikker.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Maritime anliggender og fiskeri — fastsættelse af en reguleringsramme for EU-fiskerfartøjers fiskeri i tredjelandsfarvande (budgetpost 11.03.01).</w:t>
      </w:r>
    </w:p>
    <w:p>
      <w:pPr>
        <w:pStyle w:val="ManualHeading3"/>
        <w:rPr>
          <w:noProof/>
        </w:rPr>
      </w:pPr>
      <w:bookmarkStart w:id="15" w:name="_Toc514938019"/>
      <w:bookmarkStart w:id="16" w:name="_Toc520485032"/>
      <w:r>
        <w:t>1.4.3.</w:t>
      </w:r>
      <w:r>
        <w:tab/>
      </w:r>
      <w:r>
        <w:rPr>
          <w:noProof/>
        </w:rPr>
        <w:t>Forventede resultater og virkninger</w:t>
      </w:r>
      <w:bookmarkEnd w:id="15"/>
      <w:bookmarkEnd w:id="16"/>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 indgåelsen af protokollen skabes der en ramme for et strategisk partnerskab om fiskeri mellem Den Europæiske Union og Republikken Guinea-Bissau. Indgåelsen af protokollen vil skabe fiskerimuligheder for EU-fartøjer i Guinea-Bissaus farvande. </w:t>
      </w:r>
    </w:p>
    <w:p>
      <w:pPr>
        <w:pStyle w:val="Text1"/>
        <w:pBdr>
          <w:top w:val="single" w:sz="4" w:space="1" w:color="auto"/>
          <w:left w:val="single" w:sz="4" w:space="4" w:color="auto"/>
          <w:bottom w:val="single" w:sz="4" w:space="1" w:color="auto"/>
          <w:right w:val="single" w:sz="4" w:space="4" w:color="auto"/>
        </w:pBdr>
        <w:rPr>
          <w:noProof/>
        </w:rPr>
      </w:pPr>
      <w:r>
        <w:rPr>
          <w:noProof/>
        </w:rPr>
        <w:t>Protokollen vil ligeledes være med til at forbedre forvaltningen og bevarelsen af fiskeressourcerne i kraft af finansiel støtte (sektorstøtte) til gennemførelsen af programmer, som partnerlandet vedtager på nationalt plan, navnlig angående kontrol og bekæmpelse af ulovligt fiskeri samt støtte til sektoren for ikkeindustrielt fiskeri.</w:t>
      </w:r>
    </w:p>
    <w:p>
      <w:pPr>
        <w:pStyle w:val="Text1"/>
        <w:pBdr>
          <w:top w:val="single" w:sz="4" w:space="1" w:color="auto"/>
          <w:left w:val="single" w:sz="4" w:space="4" w:color="auto"/>
          <w:bottom w:val="single" w:sz="4" w:space="1" w:color="auto"/>
          <w:right w:val="single" w:sz="4" w:space="4" w:color="auto"/>
        </w:pBdr>
        <w:rPr>
          <w:noProof/>
        </w:rPr>
      </w:pPr>
      <w:r>
        <w:rPr>
          <w:noProof/>
        </w:rPr>
        <w:t>Endelig vil protokollen bidrage til Republikken Guinea-Bissaus blå økonomi ved at fremme væksten inden for maritime aktiviteter og en bæredygtig udnyttelse af havets ressourcer.</w:t>
      </w:r>
    </w:p>
    <w:p>
      <w:pPr>
        <w:pStyle w:val="ManualHeading3"/>
        <w:rPr>
          <w:noProof/>
          <w:szCs w:val="24"/>
        </w:rPr>
      </w:pPr>
      <w:bookmarkStart w:id="17" w:name="_Toc514938023"/>
      <w:bookmarkStart w:id="18" w:name="_Toc520485033"/>
      <w:r>
        <w:t>1.4.4.</w:t>
      </w:r>
      <w:r>
        <w:tab/>
      </w:r>
      <w:r>
        <w:rPr>
          <w:noProof/>
        </w:rPr>
        <w:t>Resultatindikatorer</w:t>
      </w:r>
      <w:bookmarkEnd w:id="17"/>
      <w:bookmarkEnd w:id="18"/>
    </w:p>
    <w:p>
      <w:pPr>
        <w:pStyle w:val="Text1"/>
        <w:rPr>
          <w:i/>
          <w:noProof/>
          <w:sz w:val="20"/>
        </w:rPr>
      </w:pPr>
      <w:r>
        <w:rPr>
          <w:i/>
          <w:noProof/>
          <w:sz w:val="20"/>
        </w:rPr>
        <w:t>Angiv indikatorerne for overvågning af fremskridt og resultater.</w:t>
      </w:r>
    </w:p>
    <w:p>
      <w:pPr>
        <w:pStyle w:val="Text1"/>
        <w:pBdr>
          <w:top w:val="single" w:sz="4" w:space="1" w:color="auto"/>
          <w:left w:val="single" w:sz="4" w:space="4" w:color="auto"/>
          <w:bottom w:val="single" w:sz="4" w:space="1" w:color="auto"/>
          <w:right w:val="single" w:sz="4" w:space="4" w:color="auto"/>
        </w:pBdr>
        <w:rPr>
          <w:noProof/>
        </w:rPr>
      </w:pPr>
      <w:r>
        <w:rPr>
          <w:noProof/>
        </w:rPr>
        <w:t>Fiskerimulighedernes udnyttelsesgrad (procentvis andel af fiskeritilladelser, som udnyttes, i forhold til de muligheder, protokollen giver).</w:t>
      </w:r>
    </w:p>
    <w:p>
      <w:pPr>
        <w:pStyle w:val="Text1"/>
        <w:pBdr>
          <w:top w:val="single" w:sz="4" w:space="1" w:color="auto"/>
          <w:left w:val="single" w:sz="4" w:space="4" w:color="auto"/>
          <w:bottom w:val="single" w:sz="4" w:space="1" w:color="auto"/>
          <w:right w:val="single" w:sz="4" w:space="4" w:color="auto"/>
        </w:pBdr>
        <w:rPr>
          <w:noProof/>
        </w:rPr>
      </w:pPr>
      <w:r>
        <w:rPr>
          <w:noProof/>
        </w:rPr>
        <w:t>Fangstdata (indsamling og analyse) og aftalens handelsmæssige værdi.</w:t>
      </w:r>
    </w:p>
    <w:p>
      <w:pPr>
        <w:pStyle w:val="Text1"/>
        <w:pBdr>
          <w:top w:val="single" w:sz="4" w:space="1" w:color="auto"/>
          <w:left w:val="single" w:sz="4" w:space="4" w:color="auto"/>
          <w:bottom w:val="single" w:sz="4" w:space="1" w:color="auto"/>
          <w:right w:val="single" w:sz="4" w:space="4" w:color="auto"/>
        </w:pBdr>
        <w:rPr>
          <w:noProof/>
        </w:rPr>
      </w:pPr>
      <w:r>
        <w:rPr>
          <w:noProof/>
        </w:rPr>
        <w:t>Bidrag til beskæftigelse og merværdi i EU og til stabilisering af EU-markedet (kumuleret niveau med andre partnerskabsaftaler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Bidrag til forbedret forskning i, overvågning af og kontrol med fiskeriaktiviteter i partnerlandet samt til udviklingen af landets fiskeriindustri, navnlig den ikkeindustrielle del.</w:t>
      </w:r>
    </w:p>
    <w:p>
      <w:pPr>
        <w:pStyle w:val="ManualHeading2"/>
        <w:rPr>
          <w:bCs/>
          <w:noProof/>
          <w:szCs w:val="24"/>
        </w:rPr>
      </w:pPr>
      <w:bookmarkStart w:id="19" w:name="_Toc514938025"/>
      <w:bookmarkStart w:id="20" w:name="_Toc520485034"/>
      <w:r>
        <w:t>1.5.</w:t>
      </w:r>
      <w:r>
        <w:tab/>
      </w:r>
      <w:r>
        <w:rPr>
          <w:noProof/>
        </w:rPr>
        <w:t>Forslagets/initiativets begrundelse</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Behov, der skal opfyldes på kort eller lang sigt, herunder en detaljeret tidsplan for iværksættelsen af initiativet</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Det forudses, at den nye protokol skal anvendes midlertidigt fra datoen for dens undertegnelse med henblik på at begrænse afbrydelsen af det igangværende fiskeri under den nuværende protokol.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nye protokol udgør en ramme for EU-flådens fiskeriaktiviteter i Guinea-Bissaus fiskerizone og giver redere fra EU mulighed for at søge om tilladelse til at fiske i denne zone. Desuden styrker den nye protokol samarbejdet mellem EU og Guinea-Bissau med henblik på at fremme udviklingen af en bæredygtig fiskeripolitik. Den indeholder bl.a. bestemmelser om fartøjsovervågning ved hjælp af FOS og elektronisk indberetning af fangstopgørelser. Den sektorstøtte, der kan ydes i henhold til protokollen, har til formål at bistå Guinea-Bissau med gennemførelsen af den nationale fiskeristrategi, herunder bekæmpelsen af IUU-fiskeri. </w:t>
      </w:r>
    </w:p>
    <w:p>
      <w:pPr>
        <w:pStyle w:val="ManualHeading3"/>
        <w:rPr>
          <w:bCs/>
          <w:noProof/>
          <w:szCs w:val="24"/>
        </w:rPr>
      </w:pPr>
      <w:bookmarkStart w:id="23" w:name="_Toc514938029"/>
      <w:bookmarkStart w:id="24" w:name="_Toc520485036"/>
      <w:r>
        <w:t>1.5.2.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Hvis EU ikke indgår den nye protokol, vil det hindre EU-fartøjernes fiskeri, da aftalen indeholder en klausul, der udelukker fiskeri, som ikke finder sted inden for de rammer, der er fastsat af en protokol til aftalen. Der er derfor en klar merværdi for EU's højsøflåde. Protokollen indeholder også en ramme for et styrket samarbejde mellem Unionen og Guinea-Bissau. </w:t>
      </w:r>
    </w:p>
    <w:p>
      <w:pPr>
        <w:pStyle w:val="ManualHeading3"/>
        <w:rPr>
          <w:noProof/>
        </w:rPr>
      </w:pPr>
      <w:bookmarkStart w:id="25" w:name="_Toc514938030"/>
      <w:bookmarkStart w:id="26" w:name="_Toc520485037"/>
      <w:r>
        <w:rPr>
          <w:noProof/>
        </w:rPr>
        <w:br w:type="page"/>
      </w:r>
      <w:r>
        <w:t>1.5.3.</w:t>
      </w:r>
      <w:r>
        <w:tab/>
      </w:r>
      <w:r>
        <w:rPr>
          <w:noProof/>
        </w:rPr>
        <w:t>Erfaringer fra lignende foranstaltninger</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En analyse af de tidligere fangster i Guinea-Bissaus fiskerizone og de seneste fangster inden for rammerne af lignende protokoller i regionen samt foreliggende vurderinger og videnskabelig rådgivning har ført til, at parterne har fastsat fiskerimuligheder udtrykt i fiskeriindsats (BRT) for de første to år og i fangstbegrænsninger (TAC) for de sidste tre år for følgende kategorier: frysetrawlere til rejefiskeri, frysetrawlere til fiskeri efter fisk og blæksprutter og trawlere til fiskeri efter små pelagiske arter. I protokollen fastsættes også fiskerimuligheder for notfartøjer til tunfiskeri og langlinefartøjer med flydeline samt stangfartøjer til tunfiskeri. Sektorstøtten er blevet fastsat på et forholdsvis højt niveau for at tage hensyn til behovene for at styrke kapaciteten hos Guinea-Bissaus fiskerimyndigheder, til prioriteterne i den nationale fiskeristrategi og til planerne til støtte for denne kyststats blå økonomi.</w:t>
      </w:r>
    </w:p>
    <w:p>
      <w:pPr>
        <w:pStyle w:val="ManualHeading3"/>
        <w:rPr>
          <w:noProof/>
        </w:rPr>
      </w:pPr>
      <w:bookmarkStart w:id="27" w:name="_Toc514938033"/>
      <w:bookmarkStart w:id="28" w:name="_Toc520485038"/>
      <w:r>
        <w:t>1.5.4.</w:t>
      </w:r>
      <w:r>
        <w:tab/>
      </w:r>
      <w:r>
        <w:rPr>
          <w:noProof/>
        </w:rPr>
        <w:t>Forenelighed med den flerårige finansielle ramme og mulige synergivirkninger med andre relevante instrumenter</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De midler, der i medfør af fiskeripartnerskabsaftalen udbetales som finansiel modydelse til gengæld for adgangen til ressourcerne, udgør fungible indtægter på Guinea-Bissaus nationale budget. Dog er det en betingelse for indgåelse og opfølgning af fiskeripartnerskabsaftaler, at de midler, der er afsat til sektorstøtte, overføres (typisk ved indførelse i finansloven for det pågældende år) til ministeriet med ansvar for fiskeri. Disse finansielle ressourcer er forenelige med andre finansieringskilder fra andre internationale bidragydere til gennemførelsen af projekter og/eller programmer, der gennemføres på nationalt plan i fiskerisektoren.</w:t>
      </w:r>
    </w:p>
    <w:p>
      <w:pPr>
        <w:pStyle w:val="ManualHeading3"/>
        <w:rPr>
          <w:noProof/>
        </w:rPr>
      </w:pPr>
      <w:bookmarkStart w:id="29" w:name="_Toc514938036"/>
      <w:bookmarkStart w:id="30" w:name="_Toc520485039"/>
      <w:r>
        <w:t>1.5.5.</w:t>
      </w:r>
      <w:r>
        <w:tab/>
      </w:r>
      <w:r>
        <w:rPr>
          <w:noProof/>
        </w:rPr>
        <w:t>Vurdering af de forskellige tilgængelige finansieringsmuligheder, herunder muligheden for omfordeling</w:t>
      </w:r>
      <w:bookmarkEnd w:id="29"/>
      <w:bookmarkEnd w:id="30"/>
    </w:p>
    <w:p>
      <w:pPr>
        <w:pStyle w:val="ManualHeading2"/>
        <w:rPr>
          <w:bCs/>
          <w:noProof/>
          <w:szCs w:val="24"/>
        </w:rPr>
      </w:pPr>
      <w:bookmarkStart w:id="31" w:name="_Toc514938039"/>
      <w:bookmarkStart w:id="32" w:name="_Toc520485040"/>
      <w:r>
        <w:t>1.6.</w:t>
      </w:r>
      <w:r>
        <w:tab/>
      </w:r>
      <w:r>
        <w:rPr>
          <w:noProof/>
        </w:rPr>
        <w:t>Forslagets/initiativets varighed og finansielle virkninger</w:t>
      </w:r>
      <w:bookmarkEnd w:id="31"/>
      <w:bookmarkEnd w:id="32"/>
    </w:p>
    <w:p>
      <w:pPr>
        <w:pStyle w:val="Text1"/>
        <w:rPr>
          <w:noProof/>
        </w:rPr>
      </w:pPr>
      <w:r>
        <w:rPr>
          <w:b/>
          <w:noProof/>
        </w:rPr>
        <w:t>X</w:t>
      </w:r>
      <w:r>
        <w:rPr>
          <w:b/>
          <w:i/>
          <w:noProof/>
        </w:rPr>
        <w:t xml:space="preserve"> </w:t>
      </w:r>
      <w:r>
        <w:rPr>
          <w:b/>
          <w:noProof/>
        </w:rPr>
        <w:t xml:space="preserve">Begrænset varighed </w:t>
      </w:r>
    </w:p>
    <w:p>
      <w:pPr>
        <w:pStyle w:val="ListDash2"/>
        <w:rPr>
          <w:noProof/>
        </w:rPr>
      </w:pPr>
      <w:r>
        <w:rPr>
          <w:noProof/>
        </w:rPr>
        <w:t>X</w:t>
      </w:r>
      <w:r>
        <w:rPr>
          <w:noProof/>
        </w:rPr>
        <w:tab/>
        <w:t xml:space="preserve">Gældende fra 2019 til 2024 </w:t>
      </w:r>
    </w:p>
    <w:p>
      <w:pPr>
        <w:pStyle w:val="ListDash2"/>
        <w:rPr>
          <w:noProof/>
        </w:rPr>
      </w:pPr>
      <w:r>
        <w:rPr>
          <w:noProof/>
        </w:rPr>
        <w:t>X</w:t>
      </w:r>
      <w:r>
        <w:rPr>
          <w:noProof/>
        </w:rPr>
        <w:tab/>
        <w:t xml:space="preserve">Finansielle virkninger fra 2019 til 2024 for forpligtelsesbevillinger og fra 2019 til 2024 for betalingsbevillinger. </w:t>
      </w:r>
    </w:p>
    <w:p>
      <w:pPr>
        <w:pStyle w:val="Text1"/>
        <w:rPr>
          <w:noProof/>
        </w:rPr>
      </w:pPr>
      <w:r>
        <w:rPr>
          <w:noProof/>
        </w:rPr>
        <w:sym w:font="Wingdings" w:char="F0A8"/>
      </w:r>
      <w:r>
        <w:rPr>
          <w:b/>
          <w:i/>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bookmarkStart w:id="33" w:name="_Toc514938040"/>
      <w:bookmarkStart w:id="34" w:name="_Toc520485041"/>
      <w:r>
        <w:t>1.7.</w:t>
      </w:r>
      <w:r>
        <w:tab/>
      </w:r>
      <w:r>
        <w:rPr>
          <w:noProof/>
        </w:rPr>
        <w:t>Påtænkt(e) forvaltningsmetode(r)</w:t>
      </w:r>
      <w:r>
        <w:rPr>
          <w:rStyle w:val="FootnoteReference"/>
          <w:noProof/>
        </w:rPr>
        <w:footnoteReference w:id="9"/>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Direkte forvaltning</w:t>
      </w:r>
      <w:r>
        <w:rPr>
          <w:noProof/>
        </w:rPr>
        <w:t xml:space="preserve"> ved Kommissionen </w:t>
      </w:r>
    </w:p>
    <w:p>
      <w:pPr>
        <w:pStyle w:val="ListDash2"/>
        <w:rPr>
          <w:rFonts w:cs="EUAlbertina"/>
          <w:noProof/>
        </w:rPr>
      </w:pPr>
      <w:r>
        <w:rPr>
          <w:b/>
          <w:noProof/>
        </w:rPr>
        <w:t>X</w:t>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FORVALTNINGSFORANSTALTNINGER</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Bestemmelser om kontrol og rapportering</w:t>
      </w:r>
      <w:bookmarkEnd w:id="37"/>
      <w:bookmarkEnd w:id="38"/>
      <w:r>
        <w:rPr>
          <w:noProof/>
        </w:rPr>
        <w:t xml:space="preserve">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(GD MARE i samarbejde med fiskeriattachéen i regionen — Dakar, Senegal) sørger for løbende at overvåge gennemførelsen af protokollen, hvad angår operatørernes udnyttelse af fiskerimuligheder, fangstdata samt overholdelse af betingelserne for sektorstøtte. </w:t>
      </w:r>
    </w:p>
    <w:p>
      <w:pPr>
        <w:pBdr>
          <w:top w:val="single" w:sz="4" w:space="1" w:color="auto"/>
          <w:left w:val="single" w:sz="4" w:space="4" w:color="auto"/>
          <w:bottom w:val="single" w:sz="4" w:space="1" w:color="auto"/>
          <w:right w:val="single" w:sz="4" w:space="4" w:color="auto"/>
        </w:pBdr>
        <w:rPr>
          <w:noProof/>
        </w:rPr>
      </w:pPr>
      <w:r>
        <w:rPr>
          <w:noProof/>
        </w:rPr>
        <w:t>I henhold til fiskeripartnerskabsaftalen skal der desuden holdes mindst ét møde om året i Den Blandede Komité, hvor Kommissionen og Guinea-Bissau drøfter aftalens og protokollens gennemførelse og eventuelt justerer planlægningen og den finansielle modydelse.</w:t>
      </w:r>
    </w:p>
    <w:p>
      <w:pPr>
        <w:pStyle w:val="ManualHeading2"/>
        <w:rPr>
          <w:bCs/>
          <w:noProof/>
          <w:szCs w:val="24"/>
        </w:rPr>
      </w:pPr>
      <w:bookmarkStart w:id="39" w:name="_Toc514938045"/>
      <w:bookmarkStart w:id="40" w:name="_Toc520485044"/>
      <w:r>
        <w:t>2.2.</w:t>
      </w:r>
      <w:r>
        <w:tab/>
      </w:r>
      <w:r>
        <w:rPr>
          <w:noProof/>
        </w:rPr>
        <w:t>Forvaltnings- og kontrolsystem(er)</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Begrundelse for den/de påtænkte forvaltningsmetode(r), finansieringsmekanisme(r), betalingsvilkår og kontrolstrategi</w:t>
      </w:r>
      <w:bookmarkEnd w:id="41"/>
      <w:bookmarkEnd w:id="42"/>
    </w:p>
    <w:p>
      <w:pPr>
        <w:pBdr>
          <w:top w:val="single" w:sz="4" w:space="1" w:color="auto"/>
          <w:left w:val="single" w:sz="4" w:space="4" w:color="auto"/>
          <w:bottom w:val="single" w:sz="4" w:space="1" w:color="auto"/>
          <w:right w:val="single" w:sz="4" w:space="4" w:color="auto"/>
        </w:pBdr>
        <w:rPr>
          <w:noProof/>
        </w:rPr>
      </w:pPr>
      <w:r>
        <w:rPr>
          <w:noProof/>
        </w:rPr>
        <w:t xml:space="preserve">Den konstaterede risiko består i en underudnyttelse af fiskerimulighederne for så vidt angår EU-rederne og en underudnyttelse eller forsinkelser i udnyttelsen af midlerne til finansiering af sektorpolitikken for fiskeri for så vidt angår Guinea-Bissau. </w:t>
      </w:r>
    </w:p>
    <w:p>
      <w:pPr>
        <w:pStyle w:val="ManualHeading3"/>
        <w:rPr>
          <w:bCs/>
          <w:noProof/>
          <w:szCs w:val="24"/>
        </w:rPr>
      </w:pPr>
      <w:bookmarkStart w:id="43" w:name="_Toc514938047"/>
      <w:bookmarkStart w:id="44" w:name="_Toc520485046"/>
      <w:r>
        <w:t>2.2.2.</w:t>
      </w:r>
      <w:r>
        <w:tab/>
      </w:r>
      <w:r>
        <w:rPr>
          <w:noProof/>
        </w:rPr>
        <w:t>Oplysninger om de udpegede risici og det/de interne kontrolsystem(er), der etableres for at afbøde dem</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Det er planen at føre omfattende drøftelser om planlægningen og gennemførelsen af den sektorpolitik, der er omhandlet i aftalen og protokollen. Fælles analyse af resultaterne, jf. protokollens artikel 5, indgår også i kontrolsystemet.</w:t>
      </w:r>
    </w:p>
    <w:p>
      <w:pPr>
        <w:pBdr>
          <w:top w:val="single" w:sz="4" w:space="1" w:color="auto"/>
          <w:left w:val="single" w:sz="4" w:space="4" w:color="auto"/>
          <w:bottom w:val="single" w:sz="4" w:space="1" w:color="auto"/>
          <w:right w:val="single" w:sz="4" w:space="4" w:color="auto"/>
        </w:pBdr>
        <w:rPr>
          <w:noProof/>
        </w:rPr>
      </w:pPr>
      <w:r>
        <w:rPr>
          <w:noProof/>
        </w:rPr>
        <w:t>Desuden indeholder aftalen og protokollen specifikke bestemmelser om suspension på visse betingelser og under nærmere fastlagte omstændigheder.</w:t>
      </w:r>
    </w:p>
    <w:p>
      <w:pPr>
        <w:pStyle w:val="ManualHeading3"/>
        <w:rPr>
          <w:noProof/>
        </w:rPr>
      </w:pPr>
      <w:bookmarkStart w:id="45" w:name="_Toc514938048"/>
      <w:bookmarkStart w:id="46" w:name="_Toc520485047"/>
      <w:r>
        <w:rPr>
          <w:noProof/>
        </w:rPr>
        <w:br w:type="page"/>
      </w:r>
      <w:r>
        <w:t>2.2.3.</w:t>
      </w:r>
      <w:r>
        <w:tab/>
      </w:r>
      <w:r>
        <w:rPr>
          <w:noProof/>
        </w:rPr>
        <w:t>Vurdering af og begrundelse for kontrolforanstaltningernes omkostningseffektivitet (forholdet mellem kontrolomkostningerne og værdien af de forvaltede midler) samt vurdering af den forventede risiko for fejl (ved betaling og ved afslutning)</w:t>
      </w:r>
      <w:bookmarkEnd w:id="45"/>
      <w:bookmarkEnd w:id="46"/>
      <w:r>
        <w:rPr>
          <w:noProof/>
        </w:rPr>
        <w:t xml:space="preserve"> </w:t>
      </w:r>
    </w:p>
    <w:p>
      <w:pPr>
        <w:pStyle w:val="ManualHeading2"/>
        <w:rPr>
          <w:bCs/>
          <w:noProof/>
          <w:szCs w:val="24"/>
        </w:rPr>
      </w:pPr>
      <w:bookmarkStart w:id="47" w:name="_Toc514938049"/>
      <w:bookmarkStart w:id="48" w:name="_Toc520485048"/>
      <w:r>
        <w:t>2.3.</w:t>
      </w:r>
      <w:r>
        <w:tab/>
      </w:r>
      <w:r>
        <w:rPr>
          <w:noProof/>
        </w:rPr>
        <w:t>Foranstaltninger til forebyggelse af svig og uregelmæssigheder</w:t>
      </w:r>
      <w:bookmarkEnd w:id="47"/>
      <w:bookmarkEnd w:id="48"/>
      <w:r>
        <w:rPr>
          <w:noProof/>
        </w:rPr>
        <w:t xml:space="preserve">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Kommissionen vil føre en politisk dialog og sørge for regelmæssig koordinering med Republikken Guinea-Bissau for at forbedre forvaltningen af aftalen og protokollen og øge EU's bidrag til en bæredygtig ressourceforvaltning. Kommissionens normale budgetmæssige og finansielle regler og procedurer gælder for alle Kommissionens udbetalinger inden for rammerne af en fiskeripartnerskabsaftale. Det betyder navnlig, at de bankkonti, som den finansielle modydelse til tredjelandene indbetales på, skal udpeges entydigt. I henhold til protokollens artikel 4, stk. 7, skal den finansielle modydelse for adgang indbetales på en særlig konto, som finansministeriet har oprettet i Guinea-Bissaus nationalbank, og den del, der er beregnet til udvikling af sektoren, skal indbetales på en konto tilhørende Guinea-Bissaus finansministerium.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FORSLAGETS/INITIATIVETS ANSLÅEDE FINANSIELLE VIRKNINGER</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Berørt(e) udgiftspost(er) på budgettet og udgiftsområde(r) i den flerårige finansielle ramme</w:t>
      </w:r>
      <w:bookmarkEnd w:id="51"/>
      <w:bookmarkEnd w:id="52"/>
      <w:r>
        <w:rPr>
          <w:noProof/>
        </w:rPr>
        <w:t xml:space="preserve"> </w:t>
      </w:r>
    </w:p>
    <w:p>
      <w:pPr>
        <w:pStyle w:val="ListBullet1"/>
        <w:rPr>
          <w:noProof/>
        </w:rPr>
      </w:pPr>
      <w:r>
        <w:rPr>
          <w:noProof/>
        </w:rPr>
        <w:t xml:space="preserve">Eksisterende udgiftsposter på budgettet </w:t>
      </w:r>
    </w:p>
    <w:p>
      <w:pPr>
        <w:pStyle w:val="Text1"/>
        <w:rPr>
          <w:i/>
          <w:noProof/>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Udgiftens</w:t>
            </w:r>
            <w:r>
              <w:rPr>
                <w:noProof/>
              </w:rPr>
              <w:b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10"/>
            </w:r>
          </w:p>
        </w:tc>
        <w:tc>
          <w:tcPr>
            <w:tcW w:w="1076" w:type="dxa"/>
            <w:vAlign w:val="center"/>
          </w:tcPr>
          <w:p>
            <w:pPr>
              <w:jc w:val="center"/>
              <w:rPr>
                <w:noProof/>
              </w:rPr>
            </w:pPr>
            <w:r>
              <w:rPr>
                <w:noProof/>
                <w:sz w:val="18"/>
              </w:rPr>
              <w:t>fra EFTA-lande</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12"/>
            </w:r>
          </w:p>
          <w:p>
            <w:pPr>
              <w:spacing w:before="0" w:after="0"/>
              <w:jc w:val="center"/>
              <w:rPr>
                <w:noProof/>
                <w:sz w:val="18"/>
              </w:rPr>
            </w:pP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Fastsættelse af en reguleringsramme for EU-fiskerfartøjers fiskeri i tredjelandsfarvande</w:t>
            </w:r>
          </w:p>
        </w:tc>
        <w:tc>
          <w:tcPr>
            <w:tcW w:w="1080" w:type="dxa"/>
            <w:vAlign w:val="center"/>
          </w:tcPr>
          <w:p>
            <w:pPr>
              <w:jc w:val="center"/>
              <w:rPr>
                <w:noProof/>
                <w:color w:val="0000FF"/>
              </w:rPr>
            </w:pPr>
            <w:r>
              <w:rPr>
                <w:noProof/>
                <w:sz w:val="22"/>
              </w:rPr>
              <w:t>OB</w:t>
            </w:r>
          </w:p>
        </w:tc>
        <w:tc>
          <w:tcPr>
            <w:tcW w:w="107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1084" w:type="dxa"/>
            <w:vAlign w:val="center"/>
          </w:tcPr>
          <w:p>
            <w:pPr>
              <w:jc w:val="center"/>
              <w:rPr>
                <w:noProof/>
                <w:sz w:val="20"/>
                <w:szCs w:val="20"/>
              </w:rPr>
            </w:pPr>
            <w:r>
              <w:rPr>
                <w:noProof/>
                <w:sz w:val="20"/>
              </w:rPr>
              <w:t>NEJ</w:t>
            </w:r>
          </w:p>
        </w:tc>
        <w:tc>
          <w:tcPr>
            <w:tcW w:w="1320" w:type="dxa"/>
            <w:vAlign w:val="center"/>
          </w:tcPr>
          <w:p>
            <w:pPr>
              <w:jc w:val="center"/>
              <w:rPr>
                <w:noProof/>
                <w:sz w:val="20"/>
                <w:szCs w:val="20"/>
              </w:rPr>
            </w:pPr>
            <w:r>
              <w:rPr>
                <w:noProof/>
                <w:sz w:val="20"/>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Udgiftens</w:t>
            </w:r>
            <w:r>
              <w:rPr>
                <w:noProof/>
              </w:rPr>
              <w:b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p>
        </w:tc>
        <w:tc>
          <w:tcPr>
            <w:tcW w:w="107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JA/NEJ</w:t>
            </w:r>
          </w:p>
        </w:tc>
        <w:tc>
          <w:tcPr>
            <w:tcW w:w="1080" w:type="dxa"/>
            <w:vAlign w:val="center"/>
          </w:tcPr>
          <w:p>
            <w:pPr>
              <w:jc w:val="center"/>
              <w:rPr>
                <w:noProof/>
                <w:color w:val="0000FF"/>
                <w:sz w:val="20"/>
                <w:szCs w:val="20"/>
              </w:rPr>
            </w:pPr>
            <w:r>
              <w:rPr>
                <w:noProof/>
                <w:sz w:val="20"/>
              </w:rPr>
              <w:t>JA/NEJ</w:t>
            </w:r>
          </w:p>
        </w:tc>
        <w:tc>
          <w:tcPr>
            <w:tcW w:w="1084" w:type="dxa"/>
            <w:vAlign w:val="center"/>
          </w:tcPr>
          <w:p>
            <w:pPr>
              <w:jc w:val="center"/>
              <w:rPr>
                <w:noProof/>
                <w:color w:val="0000FF"/>
                <w:sz w:val="20"/>
                <w:szCs w:val="20"/>
              </w:rPr>
            </w:pPr>
            <w:r>
              <w:rPr>
                <w:noProof/>
                <w:sz w:val="20"/>
              </w:rPr>
              <w:t>JA/NEJ</w:t>
            </w:r>
          </w:p>
        </w:tc>
        <w:tc>
          <w:tcPr>
            <w:tcW w:w="1320" w:type="dxa"/>
            <w:vAlign w:val="center"/>
          </w:tcPr>
          <w:p>
            <w:pPr>
              <w:jc w:val="center"/>
              <w:rPr>
                <w:noProof/>
                <w:sz w:val="20"/>
                <w:szCs w:val="20"/>
              </w:rPr>
            </w:pPr>
            <w:r>
              <w:rPr>
                <w:noProof/>
                <w:sz w:val="20"/>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Forslagets anslåede finansielle virkninger for bevillingerne</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Sammenfatning af de anslåede virkninger for aktionsbevillingerne</w:t>
      </w:r>
      <w:bookmarkEnd w:id="55"/>
      <w:bookmarkEnd w:id="56"/>
      <w:r>
        <w:rPr>
          <w:noProof/>
        </w:rPr>
        <w:t xml:space="preserv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t>X</w:t>
      </w:r>
      <w:r>
        <w:rPr>
          <w:noProof/>
        </w:rPr>
        <w:tab/>
        <w:t>Forslaget/initiativet medfører anvendelse af aktionsbevillinger som anført herunder:</w:t>
      </w:r>
    </w:p>
    <w:p>
      <w:pPr>
        <w:jc w:val="right"/>
        <w:rPr>
          <w:noProof/>
          <w:sz w:val="18"/>
          <w:szCs w:val="18"/>
          <w:lang w:val="it-IT"/>
        </w:rPr>
      </w:pPr>
      <w:r>
        <w:rPr>
          <w:noProof/>
          <w:sz w:val="18"/>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Udgiftsområde i den flerårige</w:t>
            </w:r>
            <w:r>
              <w:rPr>
                <w:noProof/>
              </w:rPr>
              <w:br/>
            </w:r>
            <w:r>
              <w:rPr>
                <w:b/>
                <w:noProof/>
              </w:rPr>
              <w:t xml:space="preserve"> finansielle ramme</w:t>
            </w:r>
            <w:r>
              <w:rPr>
                <w:b/>
                <w:noProof/>
                <w:sz w:val="22"/>
              </w:rPr>
              <w:t xml:space="preserve"> </w:t>
            </w:r>
          </w:p>
        </w:tc>
        <w:tc>
          <w:tcPr>
            <w:tcW w:w="1080" w:type="dxa"/>
            <w:vAlign w:val="center"/>
          </w:tcPr>
          <w:p>
            <w:pPr>
              <w:spacing w:before="60" w:after="60"/>
              <w:jc w:val="center"/>
              <w:rPr>
                <w:noProof/>
                <w:sz w:val="22"/>
              </w:rPr>
            </w:pPr>
            <w:r>
              <w:rPr>
                <w:noProof/>
                <w:sz w:val="22"/>
              </w:rPr>
              <w:t>Nummer</w:t>
            </w:r>
          </w:p>
          <w:p>
            <w:pPr>
              <w:spacing w:before="60" w:after="60"/>
              <w:jc w:val="center"/>
              <w:rPr>
                <w:noProof/>
              </w:rPr>
            </w:pPr>
            <w:r>
              <w:rPr>
                <w:noProof/>
                <w:sz w:val="22"/>
              </w:rPr>
              <w:t>2</w:t>
            </w:r>
          </w:p>
        </w:tc>
        <w:tc>
          <w:tcPr>
            <w:tcW w:w="7817" w:type="dxa"/>
            <w:vAlign w:val="center"/>
          </w:tcPr>
          <w:p>
            <w:pPr>
              <w:spacing w:before="60" w:after="60"/>
              <w:rPr>
                <w:noProof/>
              </w:rPr>
            </w:pPr>
            <w:r>
              <w:rPr>
                <w:noProof/>
              </w:rPr>
              <w:t>Bæredygtig vækst: Naturressourcer</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99" w:type="dxa"/>
            <w:vAlign w:val="center"/>
          </w:tcPr>
          <w:p>
            <w:pPr>
              <w:jc w:val="center"/>
              <w:rPr>
                <w:noProof/>
                <w:sz w:val="20"/>
              </w:rPr>
            </w:pPr>
            <w:r>
              <w:rPr>
                <w:noProof/>
                <w:sz w:val="20"/>
              </w:rPr>
              <w:t>År</w:t>
            </w:r>
            <w:r>
              <w:rPr>
                <w:noProof/>
                <w:sz w:val="22"/>
              </w:rPr>
              <w:br/>
            </w:r>
            <w:r>
              <w:rPr>
                <w:b/>
                <w:noProof/>
                <w:sz w:val="20"/>
              </w:rPr>
              <w:t>2023</w:t>
            </w:r>
          </w:p>
        </w:tc>
        <w:tc>
          <w:tcPr>
            <w:tcW w:w="1746"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Budgetpost</w:t>
            </w:r>
            <w:r>
              <w:rPr>
                <w:rStyle w:val="FootnoteReference"/>
                <w:noProof/>
                <w:sz w:val="20"/>
              </w:rPr>
              <w:footnoteReference w:id="13"/>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tcPr>
          <w:p>
            <w:pPr>
              <w:spacing w:before="20" w:after="20"/>
              <w:jc w:val="right"/>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tcPr>
          <w:p>
            <w:pPr>
              <w:spacing w:before="20" w:after="20"/>
              <w:jc w:val="right"/>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val="restart"/>
            <w:vAlign w:val="center"/>
          </w:tcPr>
          <w:p>
            <w:pPr>
              <w:rPr>
                <w:noProof/>
              </w:rPr>
            </w:pPr>
            <w:r>
              <w:rPr>
                <w:noProof/>
                <w:sz w:val="20"/>
              </w:rPr>
              <w:t>Budgetpost</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Administrationsbevillinger finansieret over bevillingsrammen for særprogrammer</w:t>
            </w:r>
            <w:r>
              <w:rPr>
                <w:rStyle w:val="FootnoteReference"/>
                <w:noProof/>
                <w:sz w:val="21"/>
              </w:rPr>
              <w:footnoteReference w:id="1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rPr>
              <w:t>Bevillinger I ALT</w:t>
            </w:r>
            <w:r>
              <w:rPr>
                <w:noProof/>
                <w:sz w:val="22"/>
              </w:rPr>
              <w:br/>
            </w:r>
            <w:r>
              <w:rPr>
                <w:b/>
                <w:noProof/>
                <w:sz w:val="22"/>
              </w:rPr>
              <w:t>til GD MARE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vAlign w:val="center"/>
          </w:tcPr>
          <w:p>
            <w:pPr>
              <w:spacing w:before="20" w:after="20"/>
              <w:jc w:val="center"/>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99" w:type="dxa"/>
            <w:vAlign w:val="center"/>
          </w:tcPr>
          <w:p>
            <w:pPr>
              <w:spacing w:before="20" w:after="20"/>
              <w:jc w:val="center"/>
              <w:rPr>
                <w:noProof/>
                <w:sz w:val="20"/>
              </w:rPr>
            </w:pPr>
            <w:r>
              <w:rPr>
                <w:noProof/>
                <w:sz w:val="20"/>
              </w:rPr>
              <w:t>15,6</w:t>
            </w:r>
          </w:p>
        </w:tc>
        <w:tc>
          <w:tcPr>
            <w:tcW w:w="1746" w:type="dxa"/>
            <w:vAlign w:val="center"/>
          </w:tcPr>
          <w:p>
            <w:pPr>
              <w:spacing w:before="20" w:after="20"/>
              <w:jc w:val="right"/>
              <w:rPr>
                <w:b/>
                <w:noProof/>
                <w:sz w:val="20"/>
              </w:rPr>
            </w:pPr>
            <w:r>
              <w:rPr>
                <w:b/>
                <w:noProof/>
                <w:sz w:val="20"/>
              </w:rPr>
              <w:t>78</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Bevillinger I ALT</w:t>
            </w:r>
            <w:r>
              <w:rPr>
                <w:noProof/>
                <w:sz w:val="22"/>
              </w:rPr>
              <w:br/>
            </w:r>
            <w:r>
              <w:rPr>
                <w:b/>
                <w:noProof/>
                <w:sz w:val="22"/>
              </w:rPr>
              <w:t>under UDGIFTSOMRÅDE &lt;2.&gt;</w:t>
            </w:r>
            <w:r>
              <w:rPr>
                <w:noProof/>
                <w:sz w:val="22"/>
              </w:rPr>
              <w:t xml:space="preserve"> </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32" w:type="dxa"/>
            <w:vAlign w:val="center"/>
          </w:tcPr>
          <w:p>
            <w:pPr>
              <w:spacing w:before="20" w:after="20"/>
              <w:jc w:val="right"/>
              <w:rPr>
                <w:b/>
                <w:noProof/>
                <w:sz w:val="20"/>
              </w:rPr>
            </w:pPr>
            <w:r>
              <w:rPr>
                <w:b/>
                <w:noProof/>
                <w:sz w:val="20"/>
              </w:rPr>
              <w:t>78</w:t>
            </w:r>
          </w:p>
        </w:tc>
      </w:tr>
    </w:tbl>
    <w:p>
      <w:pPr>
        <w:spacing w:after="40"/>
        <w:rPr>
          <w:b/>
          <w:noProof/>
          <w:sz w:val="22"/>
          <w:u w:val="single"/>
        </w:rPr>
      </w:pPr>
      <w:r>
        <w:rPr>
          <w:b/>
          <w:noProof/>
          <w:sz w:val="22"/>
          <w:u w:val="single"/>
        </w:rPr>
        <w:t>Hvis flere driftsmæssige udgiftsområder påvirkes af forslaget/initiativet, indsættes der et tilsvarende afsnit for hvert udgiftområde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Aktionsbevillinger I ALT (alle driftsmæssige udgiftsområder)</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Administrationsbevillinger finansieret over bevillingsrammen for særprogrammer I ALT (alle driftsmæssige udgiftsområder)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868" w:type="dxa"/>
            <w:vAlign w:val="center"/>
          </w:tcPr>
          <w:p>
            <w:pPr>
              <w:spacing w:before="20" w:after="20"/>
              <w:jc w:val="right"/>
              <w:rPr>
                <w:noProof/>
                <w:sz w:val="20"/>
              </w:rPr>
            </w:pPr>
            <w:r>
              <w:rPr>
                <w:noProof/>
                <w:sz w:val="20"/>
              </w:rPr>
              <w:t>15,6</w:t>
            </w:r>
          </w:p>
        </w:tc>
        <w:tc>
          <w:tcPr>
            <w:tcW w:w="1777" w:type="dxa"/>
            <w:tcBorders>
              <w:right w:val="single" w:sz="4" w:space="0" w:color="auto"/>
            </w:tcBorders>
            <w:vAlign w:val="center"/>
          </w:tcPr>
          <w:p>
            <w:pPr>
              <w:spacing w:before="20" w:after="20"/>
              <w:jc w:val="right"/>
              <w:rPr>
                <w:b/>
                <w:noProof/>
                <w:sz w:val="20"/>
              </w:rPr>
            </w:pPr>
            <w:r>
              <w:rPr>
                <w:b/>
                <w:noProof/>
                <w:sz w:val="20"/>
              </w:rPr>
              <w:t>78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868" w:type="dxa"/>
            <w:tcBorders>
              <w:bottom w:val="single" w:sz="4" w:space="0" w:color="auto"/>
            </w:tcBorders>
            <w:vAlign w:val="center"/>
          </w:tcPr>
          <w:p>
            <w:pPr>
              <w:spacing w:before="20" w:after="20"/>
              <w:jc w:val="right"/>
              <w:rPr>
                <w:noProof/>
                <w:sz w:val="20"/>
              </w:rPr>
            </w:pPr>
            <w:r>
              <w:rPr>
                <w:noProof/>
                <w:sz w:val="20"/>
              </w:rPr>
              <w:t>15,6</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78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Udgiftsområde i den flerårige</w:t>
            </w:r>
            <w:r>
              <w:rPr>
                <w:noProof/>
              </w:rPr>
              <w:br/>
            </w:r>
            <w:r>
              <w:rPr>
                <w:b/>
                <w:noProof/>
              </w:rPr>
              <w:t xml:space="preserve"> finansielle ramme</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left"/>
        <w:rPr>
          <w:noProof/>
          <w:sz w:val="20"/>
        </w:rPr>
      </w:pPr>
      <w:r>
        <w:rPr>
          <w:noProof/>
        </w:rPr>
        <w:t xml:space="preserve">Dette afsnit skal udfyldes ved hjælp af arket vedrørende administrative budgetoplysninger, der først skal indføres i </w:t>
      </w:r>
      <w:hyperlink r:id="rId18">
        <w:r>
          <w:rPr>
            <w:rStyle w:val="Hyperlink"/>
            <w:noProof/>
          </w:rPr>
          <w:t>bilaget til finansieringsoversigten</w:t>
        </w:r>
      </w:hyperlink>
      <w:r>
        <w:rPr>
          <w:noProof/>
        </w:rPr>
        <w:t xml:space="preserve"> (bilag V til de interne regler), som uploades til DECIDE med henblik på høring af andre tjenestegrene.</w:t>
      </w:r>
    </w:p>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b/>
                <w:noProof/>
                <w:sz w:val="18"/>
              </w:rPr>
            </w:pPr>
            <w:r>
              <w:rPr>
                <w:noProof/>
                <w:sz w:val="20"/>
              </w:rPr>
              <w:t>År</w:t>
            </w:r>
            <w:r>
              <w:rPr>
                <w:noProof/>
                <w:sz w:val="22"/>
              </w:rPr>
              <w:br/>
            </w:r>
            <w:r>
              <w:rPr>
                <w:b/>
                <w:noProof/>
                <w:sz w:val="20"/>
              </w:rPr>
              <w:t>2023</w:t>
            </w:r>
          </w:p>
        </w:tc>
        <w:tc>
          <w:tcPr>
            <w:tcW w:w="1777" w:type="dxa"/>
            <w:vAlign w:val="center"/>
          </w:tcPr>
          <w:p>
            <w:pPr>
              <w:jc w:val="center"/>
              <w:rPr>
                <w:b/>
                <w:noProof/>
                <w:sz w:val="20"/>
              </w:rPr>
            </w:pPr>
            <w:r>
              <w:rPr>
                <w:b/>
                <w:noProof/>
                <w:sz w:val="20"/>
              </w:rPr>
              <w:t>I ALT</w:t>
            </w:r>
          </w:p>
        </w:tc>
      </w:tr>
      <w:tr>
        <w:trPr>
          <w:gridAfter w:val="8"/>
          <w:wAfter w:w="8211" w:type="dxa"/>
        </w:trPr>
        <w:tc>
          <w:tcPr>
            <w:tcW w:w="3960" w:type="dxa"/>
            <w:vAlign w:val="center"/>
          </w:tcPr>
          <w:p>
            <w:pPr>
              <w:spacing w:before="60" w:after="60"/>
              <w:jc w:val="center"/>
              <w:rPr>
                <w:noProof/>
              </w:rPr>
            </w:pPr>
            <w:r>
              <w:rPr>
                <w:noProof/>
                <w:sz w:val="22"/>
              </w:rPr>
              <w:t>GD: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I ALT GD</w:t>
            </w:r>
            <w:r>
              <w:rPr>
                <w:noProof/>
              </w:rPr>
              <w:t xml:space="preserve"> </w:t>
            </w:r>
            <w:r>
              <w:rPr>
                <w:noProof/>
                <w:sz w:val="22"/>
              </w:rPr>
              <w:t>MARE</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b/>
                <w:noProof/>
                <w:sz w:val="18"/>
              </w:rPr>
            </w:pPr>
            <w:r>
              <w:rPr>
                <w:noProof/>
                <w:sz w:val="20"/>
              </w:rPr>
              <w:t>År</w:t>
            </w:r>
            <w:r>
              <w:rPr>
                <w:noProof/>
                <w:sz w:val="22"/>
              </w:rPr>
              <w:br/>
            </w:r>
            <w:r>
              <w:rPr>
                <w:b/>
                <w:noProof/>
                <w:sz w:val="20"/>
              </w:rPr>
              <w:t>2023</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1777" w:type="dxa"/>
            <w:vAlign w:val="center"/>
          </w:tcPr>
          <w:p>
            <w:pPr>
              <w:spacing w:before="60" w:after="60"/>
              <w:jc w:val="right"/>
              <w:rPr>
                <w:b/>
                <w:noProof/>
                <w:sz w:val="20"/>
              </w:rPr>
            </w:pPr>
            <w:r>
              <w:rPr>
                <w:b/>
                <w:noProof/>
                <w:sz w:val="20"/>
              </w:rPr>
              <w:t>78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868" w:type="dxa"/>
            <w:vAlign w:val="center"/>
          </w:tcPr>
          <w:p>
            <w:pPr>
              <w:spacing w:before="60" w:after="60"/>
              <w:jc w:val="right"/>
              <w:rPr>
                <w:noProof/>
                <w:sz w:val="20"/>
              </w:rPr>
            </w:pPr>
            <w:r>
              <w:rPr>
                <w:noProof/>
                <w:sz w:val="20"/>
              </w:rPr>
              <w:t>15,6</w:t>
            </w:r>
          </w:p>
        </w:tc>
        <w:tc>
          <w:tcPr>
            <w:tcW w:w="1777" w:type="dxa"/>
            <w:vAlign w:val="center"/>
          </w:tcPr>
          <w:p>
            <w:pPr>
              <w:spacing w:before="60" w:after="60"/>
              <w:jc w:val="right"/>
              <w:rPr>
                <w:b/>
                <w:noProof/>
                <w:sz w:val="20"/>
              </w:rPr>
            </w:pPr>
            <w:r>
              <w:rPr>
                <w:b/>
                <w:noProof/>
                <w:sz w:val="20"/>
              </w:rPr>
              <w:t>78</w:t>
            </w:r>
          </w:p>
        </w:tc>
      </w:tr>
    </w:tbl>
    <w:p>
      <w:pPr>
        <w:rPr>
          <w:noProof/>
        </w:rPr>
      </w:pPr>
    </w:p>
    <w:p>
      <w:pPr>
        <w:pStyle w:val="ManualHeading3"/>
        <w:rPr>
          <w:bCs/>
          <w:noProof/>
          <w:szCs w:val="24"/>
        </w:rPr>
      </w:pPr>
      <w:bookmarkStart w:id="57" w:name="_Toc514938054"/>
      <w:bookmarkStart w:id="58" w:name="_Toc520485053"/>
      <w:r>
        <w:t>3.2.2.</w:t>
      </w:r>
      <w:r>
        <w:tab/>
      </w:r>
      <w:r>
        <w:rPr>
          <w:noProof/>
        </w:rPr>
        <w:t>Anslåede resultater finansieret med aktionsbevillinger</w:t>
      </w:r>
      <w:bookmarkEnd w:id="57"/>
      <w:bookmarkEnd w:id="58"/>
      <w:r>
        <w:rPr>
          <w:noProof/>
        </w:rPr>
        <w:t xml:space="preserve"> </w:t>
      </w:r>
    </w:p>
    <w:p>
      <w:pPr>
        <w:jc w:val="right"/>
        <w:rPr>
          <w:noProof/>
          <w:sz w:val="20"/>
        </w:rPr>
      </w:pPr>
      <w:r>
        <w:rPr>
          <w:noProof/>
          <w:sz w:val="20"/>
        </w:rPr>
        <w:t>Forpligtelsesbevillinger i mio. EUR (tre decimaler)</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År</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År</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År</w:t>
            </w:r>
            <w:r>
              <w:rPr>
                <w:noProof/>
                <w:sz w:val="22"/>
              </w:rPr>
              <w:br/>
            </w:r>
            <w:r>
              <w:rPr>
                <w:b/>
                <w:noProof/>
                <w:sz w:val="18"/>
              </w:rPr>
              <w:t>2022</w:t>
            </w:r>
          </w:p>
        </w:tc>
        <w:tc>
          <w:tcPr>
            <w:tcW w:w="1200" w:type="dxa"/>
            <w:gridSpan w:val="3"/>
            <w:vAlign w:val="center"/>
          </w:tcPr>
          <w:p>
            <w:pPr>
              <w:jc w:val="center"/>
              <w:rPr>
                <w:noProof/>
                <w:sz w:val="18"/>
                <w:szCs w:val="18"/>
              </w:rPr>
            </w:pPr>
            <w:r>
              <w:rPr>
                <w:noProof/>
                <w:sz w:val="18"/>
              </w:rPr>
              <w:t>År</w:t>
            </w:r>
            <w:r>
              <w:rPr>
                <w:noProof/>
                <w:sz w:val="22"/>
              </w:rPr>
              <w:br/>
            </w: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I ALT</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 resultater</w:t>
            </w:r>
            <w:r>
              <w:rPr>
                <w:rStyle w:val="FootnoteReference"/>
                <w:noProof/>
                <w:sz w:val="18"/>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Resultaternes gnsntl. omkostninger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Antal resultater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Samlede omkostninger</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6"/>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Adgang </w:t>
            </w:r>
          </w:p>
        </w:tc>
        <w:tc>
          <w:tcPr>
            <w:tcW w:w="720" w:type="dxa"/>
          </w:tcPr>
          <w:p>
            <w:pPr>
              <w:ind w:right="-29"/>
              <w:jc w:val="center"/>
              <w:rPr>
                <w:noProof/>
                <w:sz w:val="18"/>
                <w:szCs w:val="18"/>
              </w:rPr>
            </w:pPr>
            <w:r>
              <w:rPr>
                <w:noProof/>
                <w:sz w:val="18"/>
              </w:rPr>
              <w:t>Årligt</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11,6</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11,6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11,6</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58</w:t>
            </w:r>
          </w:p>
        </w:tc>
      </w:tr>
      <w:tr>
        <w:trPr>
          <w:gridAfter w:val="1"/>
          <w:wAfter w:w="12" w:type="dxa"/>
          <w:trHeight w:hRule="exact" w:val="369"/>
          <w:jc w:val="center"/>
        </w:trPr>
        <w:tc>
          <w:tcPr>
            <w:tcW w:w="1423" w:type="dxa"/>
          </w:tcPr>
          <w:p>
            <w:pPr>
              <w:ind w:right="-29"/>
              <w:jc w:val="center"/>
              <w:rPr>
                <w:noProof/>
                <w:sz w:val="18"/>
                <w:szCs w:val="18"/>
              </w:rPr>
            </w:pPr>
            <w:r>
              <w:rPr>
                <w:noProof/>
                <w:sz w:val="18"/>
              </w:rPr>
              <w:t>— Sektorpolitik</w:t>
            </w:r>
          </w:p>
        </w:tc>
        <w:tc>
          <w:tcPr>
            <w:tcW w:w="720" w:type="dxa"/>
          </w:tcPr>
          <w:p>
            <w:pPr>
              <w:ind w:right="-29"/>
              <w:jc w:val="center"/>
              <w:rPr>
                <w:noProof/>
                <w:sz w:val="18"/>
                <w:szCs w:val="18"/>
              </w:rPr>
            </w:pPr>
            <w:r>
              <w:rPr>
                <w:noProof/>
                <w:sz w:val="18"/>
              </w:rPr>
              <w:t>Årligt</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4</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4</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w:t>
            </w:r>
          </w:p>
        </w:tc>
      </w:tr>
      <w:tr>
        <w:trPr>
          <w:gridAfter w:val="1"/>
          <w:wAfter w:w="12" w:type="dxa"/>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51" w:type="dxa"/>
            <w:gridSpan w:val="2"/>
            <w:tcBorders>
              <w:bottom w:val="single" w:sz="12" w:space="0" w:color="auto"/>
            </w:tcBorders>
          </w:tcPr>
          <w:p>
            <w:pPr>
              <w:ind w:right="-29"/>
              <w:jc w:val="center"/>
              <w:rPr>
                <w:noProof/>
                <w:sz w:val="18"/>
                <w:szCs w:val="18"/>
                <w:lang w:val="nn-NO"/>
              </w:rPr>
            </w:pPr>
          </w:p>
        </w:tc>
        <w:tc>
          <w:tcPr>
            <w:tcW w:w="669"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15,6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78</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Sammenfatning af de anslåede virkninger for administrationsbevillingerne</w:t>
      </w:r>
      <w:bookmarkEnd w:id="59"/>
      <w:bookmarkEnd w:id="60"/>
      <w:r>
        <w:rPr>
          <w:noProof/>
        </w:rPr>
        <w:t xml:space="preserve"> </w:t>
      </w:r>
    </w:p>
    <w:p>
      <w:pPr>
        <w:pStyle w:val="ListDash1"/>
        <w:rPr>
          <w:noProof/>
        </w:rPr>
      </w:pPr>
      <w:r>
        <w:rPr>
          <w:noProof/>
        </w:rPr>
        <w:t>X</w:t>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jc w:val="right"/>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IT"/>
              </w:rPr>
            </w:pP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 xml:space="preserve">N </w:t>
            </w:r>
            <w:r>
              <w:rPr>
                <w:rStyle w:val="FootnoteReference"/>
                <w:b/>
                <w:noProof/>
                <w:sz w:val="16"/>
              </w:rPr>
              <w:footnoteReference w:id="17"/>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18"/>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sz w:val="22"/>
              </w:rPr>
              <w:br/>
            </w:r>
            <w:r>
              <w:rPr>
                <w:noProof/>
                <w:sz w:val="16"/>
              </w:rPr>
              <w:t>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som generaldirektoratet allerede har afsat til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Anslået behov for menneskelige ressourcer </w:t>
      </w:r>
    </w:p>
    <w:p>
      <w:pPr>
        <w:pStyle w:val="ListDash1"/>
        <w:rPr>
          <w:noProof/>
        </w:rPr>
      </w:pPr>
      <w:r>
        <w:rPr>
          <w:noProof/>
        </w:rPr>
        <w:t>X</w:t>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fuldtidækvivalenter</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N+3</w:t>
            </w:r>
          </w:p>
        </w:tc>
        <w:tc>
          <w:tcPr>
            <w:tcW w:w="600" w:type="dxa"/>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Stillinger i stillingsfortegnelsen (tjenestemænd og midlertidigt ansatte)</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fuldtidsækvivalenter: FTE)</w:t>
            </w:r>
            <w:r>
              <w:rPr>
                <w:rStyle w:val="FootnoteReference"/>
                <w:b/>
                <w:noProof/>
                <w:sz w:val="16"/>
              </w:rPr>
              <w:footnoteReference w:id="19"/>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nn-NO"/>
              </w:rPr>
            </w:pPr>
            <w:r>
              <w:rPr>
                <w:noProof/>
                <w:sz w:val="16"/>
                <w:lang w:val="nn-NO"/>
              </w:rPr>
              <w:t>XX 01 02 02 (KA, LA, UNE, V og JPD i delegationerne)</w:t>
            </w: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0"/>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(KA, UNE, V –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02/12 (KA, UNE, V – direkte forskning)</w:t>
            </w: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rPr>
              <w:t>Gennemførelse af protokollen (betalinger, EU-fartøjers adgang til Guinea-Bissaus farvande, behandling af fiskeritilladelser), forberedelse og overvågning af møder i Den Blandede Komité, forberedelse af protokollens fornyelse, ekstern evaluering, lovgivningsprocedurer, forhandlinger.</w:t>
            </w:r>
          </w:p>
        </w:tc>
      </w:tr>
      <w:tr>
        <w:tc>
          <w:tcPr>
            <w:tcW w:w="3240" w:type="dxa"/>
          </w:tcPr>
          <w:p>
            <w:pPr>
              <w:spacing w:before="60" w:after="60"/>
              <w:rPr>
                <w:noProof/>
                <w:sz w:val="20"/>
              </w:rPr>
            </w:pPr>
            <w:r>
              <w:rPr>
                <w:noProof/>
                <w:sz w:val="20"/>
              </w:rPr>
              <w:t>Eksternt personale</w:t>
            </w:r>
          </w:p>
        </w:tc>
        <w:tc>
          <w:tcPr>
            <w:tcW w:w="7200" w:type="dxa"/>
          </w:tcPr>
          <w:p>
            <w:pPr>
              <w:rPr>
                <w:noProof/>
                <w:sz w:val="20"/>
              </w:rPr>
            </w:pPr>
            <w:r>
              <w:rPr>
                <w:noProof/>
              </w:rPr>
              <w:t>Gennemførelse af protokollen: Kontakt med myndighederne i Guinea-Bissau om EU-fartøjers adgang til Guinea-Bissaus farvande, behandling af fiskeritilladelser, forberedelse og overvågning af møder i Den Blandede Komité, herunder gennemførelse af sektorstøtten.</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Forenelighed med indeværende flerårige finansielle ramme</w:t>
      </w:r>
      <w:bookmarkEnd w:id="61"/>
      <w:bookmarkEnd w:id="62"/>
      <w:r>
        <w:rPr>
          <w:noProof/>
        </w:rPr>
        <w:t xml:space="preserve"> </w:t>
      </w:r>
    </w:p>
    <w:p>
      <w:pPr>
        <w:pStyle w:val="Text1"/>
        <w:rPr>
          <w:noProof/>
        </w:rPr>
      </w:pPr>
      <w:r>
        <w:rPr>
          <w:noProof/>
        </w:rPr>
        <w:t>Forslaget/initiativet:</w:t>
      </w:r>
    </w:p>
    <w:p>
      <w:pPr>
        <w:pStyle w:val="ListDash1"/>
        <w:rPr>
          <w:noProof/>
        </w:rPr>
      </w:pPr>
      <w:r>
        <w:rPr>
          <w:noProof/>
        </w:rPr>
        <w:t>X</w:t>
      </w:r>
      <w:r>
        <w:rPr>
          <w:noProof/>
        </w:rPr>
        <w:tab/>
        <w:t>kan finansieres fuldt ud gennem omfordeling inden for det relevante udgiftsområde i den flerårige finansielle ramme (FFR).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Dette vedrører anvendelsen af reserveposten (kapitel 40).</w:t>
      </w:r>
    </w:p>
    <w:p>
      <w:pPr>
        <w:pStyle w:val="ListDash1"/>
        <w:rPr>
          <w:noProof/>
        </w:rPr>
      </w:pPr>
      <w:r>
        <w:rPr>
          <w:noProof/>
        </w:rPr>
        <w:sym w:font="Wingdings" w:char="F0A8"/>
      </w:r>
      <w:r>
        <w:rPr>
          <w:noProof/>
        </w:rPr>
        <w:tab/>
        <w:t>kræver anvendelse af den uudnyttede margen under det relevante udgiftsområde i FFR og/eller anvendelse af særlige instrumenter som fastlagt i FFR-forordningen.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de tilsvarende beløb og de instrumenter, der foreslås anvendt.</w:t>
      </w:r>
    </w:p>
    <w:p>
      <w:pPr>
        <w:pStyle w:val="ListDash1"/>
        <w:rPr>
          <w:noProof/>
        </w:rPr>
      </w:pPr>
      <w:r>
        <w:rPr>
          <w:noProof/>
        </w:rPr>
        <w:sym w:font="Wingdings" w:char="F0A8"/>
      </w:r>
      <w:r>
        <w:rPr>
          <w:noProof/>
        </w:rPr>
        <w:tab/>
        <w:t>kræver, at der foretages en revision af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bookmarkStart w:id="63" w:name="_Toc514938058"/>
      <w:bookmarkStart w:id="64" w:name="_Toc520485056"/>
      <w:r>
        <w:t>3.2.5.</w:t>
      </w:r>
      <w:r>
        <w:tab/>
      </w:r>
      <w:r>
        <w:rPr>
          <w:noProof/>
        </w:rPr>
        <w:t>Tredjemands bidrag til finansieringen</w:t>
      </w:r>
      <w:bookmarkEnd w:id="63"/>
      <w:bookmarkEnd w:id="64"/>
      <w:r>
        <w:rPr>
          <w:noProof/>
        </w:rPr>
        <w:t xml:space="preserve"> </w:t>
      </w:r>
    </w:p>
    <w:p>
      <w:pPr>
        <w:pStyle w:val="Text1"/>
        <w:rPr>
          <w:noProof/>
        </w:rPr>
      </w:pPr>
      <w:r>
        <w:rPr>
          <w:noProof/>
        </w:rPr>
        <w:t>Forslaget/initiativet:</w:t>
      </w:r>
    </w:p>
    <w:p>
      <w:pPr>
        <w:pStyle w:val="ListDash1"/>
        <w:rPr>
          <w:noProof/>
        </w:rPr>
      </w:pPr>
      <w:r>
        <w:rPr>
          <w:noProof/>
        </w:rPr>
        <w:t>X</w:t>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Forpligtelsesbevillinger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r>
              <w:rPr>
                <w:rStyle w:val="FootnoteReference"/>
                <w:b/>
                <w:noProof/>
                <w:sz w:val="20"/>
              </w:rPr>
              <w:footnoteReference w:id="21"/>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Anslåede virkninger for indtægterne</w:t>
      </w:r>
      <w:bookmarkEnd w:id="65"/>
      <w:bookmarkEnd w:id="66"/>
      <w:r>
        <w:rPr>
          <w:noProof/>
        </w:rPr>
        <w:t xml:space="preserve"> </w:t>
      </w:r>
    </w:p>
    <w:p>
      <w:pPr>
        <w:pStyle w:val="ListDash1"/>
        <w:rPr>
          <w:noProof/>
        </w:rPr>
      </w:pPr>
      <w:r>
        <w:rPr>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for andre indtægter</w:t>
      </w:r>
    </w:p>
    <w:p>
      <w:pPr>
        <w:pStyle w:val="ListNumberLevel3"/>
        <w:rPr>
          <w:noProof/>
        </w:rPr>
      </w:pPr>
      <w:r>
        <w:rPr>
          <w:noProof/>
        </w:rPr>
        <w:t>Angiv, om indtægterne er formålsbestemte </w:t>
      </w:r>
      <w:r>
        <w:rPr>
          <w:noProof/>
        </w:rPr>
        <w:sym w:font="Wingdings" w:char="F0A8"/>
      </w:r>
      <w:r>
        <w:rPr>
          <w:noProof/>
        </w:rPr>
        <w:tab/>
      </w:r>
    </w:p>
    <w:p>
      <w:pPr>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325" w:type="dxa"/>
            <w:vMerge w:val="restart"/>
            <w:vAlign w:val="center"/>
          </w:tcPr>
          <w:p>
            <w:pPr>
              <w:jc w:val="center"/>
              <w:rPr>
                <w:noProof/>
                <w:sz w:val="18"/>
              </w:rPr>
            </w:pPr>
            <w:r>
              <w:rPr>
                <w:noProof/>
                <w:sz w:val="18"/>
              </w:rPr>
              <w:t>Bevillinger til rådighed i indeværende regnskabsår</w:t>
            </w:r>
          </w:p>
        </w:tc>
        <w:tc>
          <w:tcPr>
            <w:tcW w:w="7151" w:type="dxa"/>
            <w:gridSpan w:val="7"/>
            <w:vAlign w:val="center"/>
          </w:tcPr>
          <w:p>
            <w:pPr>
              <w:jc w:val="center"/>
              <w:rPr>
                <w:noProof/>
                <w:sz w:val="18"/>
              </w:rPr>
            </w:pPr>
            <w:r>
              <w:rPr>
                <w:noProof/>
                <w:sz w:val="18"/>
              </w:rPr>
              <w:t>Forslagets/initiativets virkninger</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rPr>
          <w:noProof/>
        </w:rPr>
      </w:pPr>
      <w:r>
        <w:rPr>
          <w:noProof/>
          <w:sz w:val="20"/>
        </w:rPr>
        <w:t>Andre bemærkninger (f.eks. om hvilken metode, der er benyttet til at beregne virkningerne for indtægterne).</w:t>
      </w:r>
      <w:r>
        <w:rPr>
          <w:rStyle w:val="CommentReference"/>
          <w:rFonts w:eastAsia="Times New Roman"/>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Vedtaget af Rådet (miljø) den 28. februar 2017</w:t>
      </w:r>
      <w:r>
        <w:rPr>
          <w:highlight w:val="yellow"/>
        </w:rPr>
        <w:t>.</w:t>
      </w:r>
    </w:p>
  </w:footnote>
  <w:footnote w:id="2">
    <w:p>
      <w:pPr>
        <w:pStyle w:val="FootnoteText"/>
      </w:pPr>
      <w:r>
        <w:rPr>
          <w:rStyle w:val="FootnoteReference"/>
        </w:rPr>
        <w:footnoteRef/>
      </w:r>
      <w:r>
        <w:tab/>
        <w:t>EUT L 342 af 27.12.2007, s. 5.</w:t>
      </w:r>
    </w:p>
  </w:footnote>
  <w:footnote w:id="3">
    <w:p>
      <w:pPr>
        <w:pStyle w:val="FootnoteText"/>
      </w:pPr>
      <w:r>
        <w:rPr>
          <w:rStyle w:val="FootnoteReference"/>
        </w:rPr>
        <w:footnoteRef/>
      </w:r>
      <w:r>
        <w:tab/>
        <w:t>EUT L 354 af 28.12.2013, s. 22.</w:t>
      </w:r>
    </w:p>
  </w:footnote>
  <w:footnote w:id="4">
    <w:p>
      <w:pPr>
        <w:pStyle w:val="FootnoteText"/>
      </w:pPr>
      <w:r>
        <w:rPr>
          <w:rStyle w:val="FootnoteReference"/>
        </w:rPr>
        <w:footnoteRef/>
      </w:r>
      <w:r>
        <w:tab/>
        <w:t>SWD (2017) 19 final af 18.1.2017.</w:t>
      </w:r>
    </w:p>
  </w:footnote>
  <w:footnote w:id="5">
    <w:p>
      <w:pPr>
        <w:pStyle w:val="FootnoteText"/>
      </w:pPr>
      <w:r>
        <w:rPr>
          <w:rStyle w:val="FootnoteReference"/>
        </w:rPr>
        <w:footnoteRef/>
      </w:r>
      <w:r>
        <w:tab/>
        <w:t>I overensstemmelse med den interinstitutionelle aftale om budgetsamarbejde (2013/C 373/01).</w:t>
      </w:r>
    </w:p>
  </w:footnote>
  <w:footnote w:id="6">
    <w:p>
      <w:pPr>
        <w:pStyle w:val="FootnoteText"/>
      </w:pPr>
      <w:r>
        <w:rPr>
          <w:rStyle w:val="FootnoteReference"/>
        </w:rPr>
        <w:footnoteRef/>
      </w:r>
      <w:r>
        <w:tab/>
        <w:t>Rådets forordning (EF) nr. 241/2008 af 17. marts 2008 om indgåelse af en fiskeripartnerskabsaftale mellem Det Europæiske Fællesskab og Republikken Guinea-Bissau (EUT L 75 af 18.3.2008, s. 49).</w:t>
      </w:r>
    </w:p>
  </w:footnote>
  <w:footnote w:id="7">
    <w:p>
      <w:pPr>
        <w:pStyle w:val="FootnoteText"/>
      </w:pPr>
      <w:r>
        <w:rPr>
          <w:rStyle w:val="FootnoteReference"/>
        </w:rPr>
        <w:footnoteRef/>
      </w:r>
      <w:r>
        <w:tab/>
        <w:t>EUT L 342 af 27.12.2007, s. 5.</w:t>
      </w:r>
    </w:p>
  </w:footnote>
  <w:footnote w:id="8">
    <w:p>
      <w:pPr>
        <w:pStyle w:val="FootnoteText"/>
        <w:rPr>
          <w:szCs w:val="24"/>
        </w:rPr>
      </w:pPr>
      <w:r>
        <w:rPr>
          <w:rStyle w:val="FootnoteReference"/>
        </w:rPr>
        <w:footnoteRef/>
      </w:r>
      <w:r>
        <w:tab/>
        <w:t>Jf. finansforordningens artikel 58, stk. 2, litra a) hhv. b).</w:t>
      </w:r>
    </w:p>
  </w:footnote>
  <w:footnote w:id="9">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OB = opdelte bevillinger / IOB = ikke-opdelte bevillinger.</w:t>
      </w:r>
    </w:p>
  </w:footnote>
  <w:footnote w:id="11">
    <w:p>
      <w:pPr>
        <w:pStyle w:val="FootnoteText"/>
        <w:rPr>
          <w:szCs w:val="24"/>
        </w:rPr>
      </w:pPr>
      <w:r>
        <w:rPr>
          <w:rStyle w:val="FootnoteReference"/>
        </w:rPr>
        <w:footnoteRef/>
      </w:r>
      <w:r>
        <w:tab/>
        <w:t xml:space="preserve">EFTA: Den Europæiske Frihandelssammenslutning. </w:t>
      </w:r>
    </w:p>
  </w:footnote>
  <w:footnote w:id="12">
    <w:p>
      <w:pPr>
        <w:pStyle w:val="FootnoteText"/>
        <w:rPr>
          <w:szCs w:val="24"/>
        </w:rPr>
      </w:pPr>
      <w:r>
        <w:rPr>
          <w:rStyle w:val="FootnoteReference"/>
        </w:rPr>
        <w:footnoteRef/>
      </w:r>
      <w:r>
        <w:tab/>
        <w:t>Kandidatlande og, efter omstændighederne, potentielle kandidatlande på Vestbalkan.</w:t>
      </w:r>
    </w:p>
  </w:footnote>
  <w:footnote w:id="13">
    <w:p>
      <w:pPr>
        <w:pStyle w:val="FootnoteText"/>
        <w:rPr>
          <w:sz w:val="18"/>
          <w:szCs w:val="18"/>
        </w:rPr>
      </w:pPr>
      <w:r>
        <w:rPr>
          <w:rStyle w:val="FootnoteReference"/>
        </w:rPr>
        <w:footnoteRef/>
      </w:r>
      <w:r>
        <w:tab/>
      </w:r>
      <w:r>
        <w:rPr>
          <w:sz w:val="18"/>
        </w:rPr>
        <w:t>Ifølge den officielle budgetkontoplan.</w:t>
      </w:r>
    </w:p>
  </w:footnote>
  <w:footnote w:id="14">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15">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16">
    <w:p>
      <w:pPr>
        <w:pStyle w:val="FootnoteText"/>
        <w:rPr>
          <w:szCs w:val="24"/>
        </w:rPr>
      </w:pPr>
      <w:r>
        <w:rPr>
          <w:rStyle w:val="FootnoteReference"/>
        </w:rPr>
        <w:footnoteRef/>
      </w:r>
      <w:r>
        <w:tab/>
        <w:t xml:space="preserve">Som beskrevet i punkt 1.4.2. "Specifikke mål…". </w:t>
      </w:r>
    </w:p>
  </w:footnote>
  <w:footnote w:id="17">
    <w:p>
      <w:pPr>
        <w:pStyle w:val="FootnoteText"/>
        <w:rPr>
          <w:sz w:val="18"/>
          <w:szCs w:val="18"/>
        </w:rPr>
      </w:pPr>
      <w:r>
        <w:rPr>
          <w:rStyle w:val="FootnoteReference"/>
        </w:rPr>
        <w:footnoteRef/>
      </w:r>
      <w:r>
        <w:tab/>
      </w:r>
      <w:r>
        <w:rPr>
          <w:sz w:val="18"/>
        </w:rPr>
        <w:t>År n er det år, hvor gennemførelsen af forslaget/initiativet påbegyndes. I stedet for "n" indsættes det forventede første gennemførelsesår (f.eks.: 2021). Dette gælder også for de følgende år.</w:t>
      </w:r>
    </w:p>
  </w:footnote>
  <w:footnote w:id="18">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19">
    <w:p>
      <w:pPr>
        <w:pStyle w:val="FootnoteText"/>
        <w:rPr>
          <w:szCs w:val="24"/>
        </w:rPr>
      </w:pPr>
      <w:r>
        <w:rPr>
          <w:rStyle w:val="FootnoteReference"/>
        </w:rPr>
        <w:footnoteRef/>
      </w:r>
      <w:r>
        <w:tab/>
        <w:t xml:space="preserve">KA: kontraktansatte, LA: lokalt ansatte, UNE: udstationerede nationale eksperter, V: vikarer, JMD: juniormedarbejdere ved delegationerne. </w:t>
      </w:r>
    </w:p>
  </w:footnote>
  <w:footnote w:id="20">
    <w:p>
      <w:pPr>
        <w:pStyle w:val="FootnoteText"/>
        <w:rPr>
          <w:szCs w:val="24"/>
        </w:rPr>
      </w:pPr>
      <w:r>
        <w:rPr>
          <w:rStyle w:val="FootnoteReference"/>
        </w:rPr>
        <w:footnoteRef/>
      </w:r>
      <w:r>
        <w:tab/>
        <w:t>Delloft for eksternt personale under aktionsbevillingerne (tidligere BA-poster).</w:t>
      </w:r>
    </w:p>
  </w:footnote>
  <w:footnote w:id="21">
    <w:p>
      <w:pPr>
        <w:pStyle w:val="FootnoteText"/>
      </w:pPr>
      <w:r>
        <w:rPr>
          <w:rStyle w:val="FootnoteReference"/>
        </w:rPr>
        <w:footnoteRef/>
      </w:r>
      <w:r>
        <w:tab/>
        <w:t>År n er det år, hvor gennemførelsen af forslaget/initiativet påbegyndes. I stedet for "n" indsættes det forventede første gennemførelsesår (f.eks.: 2021). Dette gælder også for de følgende år.</w:t>
      </w:r>
    </w:p>
  </w:footnote>
  <w:footnote w:id="22">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19: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02E183AB-F42C-4C05-8B86-EA2A20B3242D"/>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91"/>
    <w:docVar w:name="LW_REF.II.NEW.CP_YEAR" w:val="2019"/>
    <w:docVar w:name="LW_REF.INST.NEW" w:val="COM"/>
    <w:docVar w:name="LW_REF.INST.NEW_ADOPTED" w:val="final"/>
    <w:docVar w:name="LW_REF.INST.NEW_TEXT" w:val="(2019)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undertegnelse på Unionens vegne og midlertidig anvendelse af protokollen til gennemførelse af fiskeripartnerskabsaftalen mellem Det Europæiske Fællesskab og Republikken Guinea-Bissau (2019-2024)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F9D7E3-39FD-45A4-AE58-2AA051A1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24</Pages>
  <Words>4271</Words>
  <Characters>28403</Characters>
  <Application>Microsoft Office Word</Application>
  <DocSecurity>0</DocSecurity>
  <Lines>1352</Lines>
  <Paragraphs>616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2019-02-19T18:13:00Z</cp:lastPrinted>
  <dcterms:created xsi:type="dcterms:W3CDTF">2019-04-02T13:21:00Z</dcterms:created>
  <dcterms:modified xsi:type="dcterms:W3CDTF">2019-04-04T07:19:00Z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