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AAF64E5-DC53-4F00-908F-D4981EA2AF2E" style="width:450.75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Motivele și obiectivele propunerii</w:t>
      </w:r>
    </w:p>
    <w:p>
      <w:pPr>
        <w:pBdr>
          <w:top w:val="nil"/>
          <w:left w:val="nil"/>
          <w:bottom w:val="nil"/>
          <w:right w:val="nil"/>
          <w:between w:val="nil"/>
          <w:bar w:val="nil"/>
        </w:pBdr>
        <w:spacing w:before="0" w:after="240"/>
        <w:rPr>
          <w:rFonts w:eastAsia="Arial Unicode MS"/>
          <w:noProof/>
        </w:rPr>
      </w:pPr>
      <w:r>
        <w:rPr>
          <w:noProof/>
        </w:rPr>
        <w:t xml:space="preserve">La 15 aprilie 2008, a intrat în vigoare acordul de parteneriat în domeniul pescuitului dintre Comunitatea Europeană și Republica Guineea-Bissau (denumit în continuare „acordul”). Ultimul protocol la acord a intrat în vigoare la 24 noiembrie 2014 și a expirat la 23 noiembrie 2017. </w:t>
      </w:r>
    </w:p>
    <w:p>
      <w:pPr>
        <w:pBdr>
          <w:top w:val="nil"/>
          <w:left w:val="nil"/>
          <w:bottom w:val="nil"/>
          <w:right w:val="nil"/>
          <w:between w:val="nil"/>
          <w:bar w:val="nil"/>
        </w:pBdr>
        <w:spacing w:before="0" w:after="240"/>
        <w:rPr>
          <w:rFonts w:eastAsia="Arial Unicode MS"/>
          <w:noProof/>
        </w:rPr>
      </w:pPr>
      <w:r>
        <w:rPr>
          <w:noProof/>
        </w:rPr>
        <w:t>Pe baza directivelor de negociere pertinente</w:t>
      </w:r>
      <w:r>
        <w:rPr>
          <w:rStyle w:val="FootnoteReference"/>
          <w:noProof/>
        </w:rPr>
        <w:footnoteReference w:id="1"/>
      </w:r>
      <w:r>
        <w:rPr>
          <w:noProof/>
        </w:rPr>
        <w:t>, Comisia a purtat negocieri cu guvernul Republicii Guineea-Bissau, în scopul încheierii unui nou protocol la Acordul de parteneriat în domeniul pescuitului dintre Comunitatea Europeană și Republica Guineea-Bissau</w:t>
      </w:r>
      <w:r>
        <w:rPr>
          <w:rStyle w:val="FootnoteReference"/>
          <w:noProof/>
        </w:rPr>
        <w:footnoteReference w:id="2"/>
      </w:r>
      <w:r>
        <w:rPr>
          <w:noProof/>
        </w:rPr>
        <w:t>. După încheierea acestor negocieri, a fost parafat un nou protocol, la 15 noiembrie 2018. Protocolul acoperă o perioadă de cinci ani de la data aplicării sale provizorii, și anume de la data la care a fost semnat, așa cum se prevede la articolul 16.</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Coerența cu dispozițiile existente în domeniul de politică</w:t>
      </w:r>
    </w:p>
    <w:p>
      <w:pPr>
        <w:pBdr>
          <w:top w:val="nil"/>
          <w:left w:val="nil"/>
          <w:bottom w:val="nil"/>
          <w:right w:val="nil"/>
          <w:between w:val="nil"/>
          <w:bar w:val="nil"/>
        </w:pBdr>
        <w:spacing w:before="0" w:after="240"/>
        <w:rPr>
          <w:noProof/>
        </w:rPr>
      </w:pPr>
      <w:r>
        <w:rPr>
          <w:noProof/>
        </w:rPr>
        <w:t>În conformitate cu prioritățile reformei politicii în domeniul pescuitului</w:t>
      </w:r>
      <w:r>
        <w:rPr>
          <w:rStyle w:val="FootnoteReference"/>
          <w:noProof/>
        </w:rPr>
        <w:footnoteReference w:id="3"/>
      </w:r>
      <w:r>
        <w:rPr>
          <w:noProof/>
        </w:rPr>
        <w:t xml:space="preserve">, noul protocol oferă navelor Uniunii posibilități de pescuit în apele Guineei-Bissau, pe baza celor mai bune avize științifice disponibile și în conformitate cu recomandările Comisiei Internaționale pentru Conservarea Tonului din Oceanul Atlantic (ICCAT). Acest nou protocol ține cont de rezultatele unei evaluări a protocolului anterior (2014-2017) și ale unei evaluări prospective privind necesitatea încheierii unui nou protocol. Ambele evaluări au fost realizate de experți externi. Protocolul va permite, de asemenea, Uniunii Europene și Republicii Guineea-Bissau să colaboreze mai strâns în vederea promovării unei exploatări responsabile a resurselor piscicole din apele Guineei-Bissau și a sprijinirii eforturilor Guineei-Bissau de a-și dezvolta economia albastră, în interesul ambelor părți. </w:t>
      </w:r>
    </w:p>
    <w:p>
      <w:pPr>
        <w:spacing w:before="0" w:after="240"/>
        <w:rPr>
          <w:noProof/>
        </w:rPr>
      </w:pPr>
      <w:r>
        <w:rPr>
          <w:noProof/>
        </w:rPr>
        <w:t>Protocolul prevede posibilități de pescuit pentru următoarele categorii:</w:t>
      </w:r>
    </w:p>
    <w:p>
      <w:pPr>
        <w:pStyle w:val="Point0letter"/>
        <w:numPr>
          <w:ilvl w:val="1"/>
          <w:numId w:val="10"/>
        </w:numPr>
        <w:rPr>
          <w:noProof/>
        </w:rPr>
      </w:pPr>
      <w:r>
        <w:rPr>
          <w:noProof/>
        </w:rPr>
        <w:t>traulere congelatoare pentru creveți;</w:t>
      </w:r>
    </w:p>
    <w:p>
      <w:pPr>
        <w:pStyle w:val="Point0letter"/>
        <w:rPr>
          <w:noProof/>
        </w:rPr>
      </w:pPr>
      <w:r>
        <w:rPr>
          <w:noProof/>
        </w:rPr>
        <w:t>traulere congelatoare pentru pește și cefalopode;</w:t>
      </w:r>
    </w:p>
    <w:p>
      <w:pPr>
        <w:pStyle w:val="Point0letter"/>
        <w:rPr>
          <w:noProof/>
        </w:rPr>
      </w:pPr>
      <w:r>
        <w:rPr>
          <w:noProof/>
        </w:rPr>
        <w:t>traulere pentru pești pelagici mici;</w:t>
      </w:r>
    </w:p>
    <w:p>
      <w:pPr>
        <w:pStyle w:val="Point0letter"/>
        <w:rPr>
          <w:noProof/>
        </w:rPr>
      </w:pPr>
      <w:r>
        <w:rPr>
          <w:noProof/>
        </w:rPr>
        <w:t>nave de pescuit ton congelatoare cu plasă-pungă și nave de pescuit cu paragate;</w:t>
      </w:r>
    </w:p>
    <w:p>
      <w:pPr>
        <w:pStyle w:val="Point0letter"/>
        <w:rPr>
          <w:noProof/>
        </w:rPr>
      </w:pPr>
      <w:r>
        <w:rPr>
          <w:noProof/>
        </w:rPr>
        <w:t>nave de pescuit ton cu platformă și paragate.</w:t>
      </w:r>
    </w:p>
    <w:p>
      <w:pPr>
        <w:spacing w:before="0" w:after="240"/>
        <w:rPr>
          <w:noProof/>
        </w:rPr>
      </w:pPr>
      <w:r>
        <w:rPr>
          <w:noProof/>
        </w:rPr>
        <w:t>În ceea ce privește primele trei categorii, posibilitățile de pescuit sunt exprimate în eforturi de pescuit (TRB) pentru primii doi ani și în limită de captură (TAC) pentru ultimii trei ani.</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Coerența cu alte politici ale Uniunii</w:t>
      </w:r>
    </w:p>
    <w:p>
      <w:pPr>
        <w:pBdr>
          <w:top w:val="nil"/>
          <w:left w:val="nil"/>
          <w:bottom w:val="nil"/>
          <w:right w:val="nil"/>
          <w:between w:val="nil"/>
          <w:bar w:val="nil"/>
        </w:pBdr>
        <w:spacing w:before="0" w:after="240"/>
        <w:rPr>
          <w:noProof/>
        </w:rPr>
      </w:pPr>
      <w:r>
        <w:rPr>
          <w:noProof/>
        </w:rPr>
        <w:t>Negocierea unui nou protocol la Acordul de parteneriat în domeniul pescuitului încheiat cu Guineea-Bissau face parte din acțiunea externă a UE față de țările ACP și ține seama în special de obiectivele Uniunii în ceea ce privește respectarea principiilor democratice și a drepturilor omului.</w:t>
      </w:r>
    </w:p>
    <w:p>
      <w:pPr>
        <w:pBdr>
          <w:top w:val="nil"/>
          <w:left w:val="nil"/>
          <w:bottom w:val="nil"/>
          <w:right w:val="nil"/>
          <w:between w:val="nil"/>
          <w:bar w:val="nil"/>
        </w:pBdr>
        <w:spacing w:before="0" w:after="240"/>
        <w:rPr>
          <w:noProof/>
        </w:rPr>
      </w:pP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Temeiul juridic</w:t>
      </w:r>
    </w:p>
    <w:p>
      <w:pPr>
        <w:spacing w:before="0" w:after="240"/>
        <w:rPr>
          <w:noProof/>
        </w:rPr>
      </w:pPr>
      <w:r>
        <w:rPr>
          <w:noProof/>
        </w:rPr>
        <w:t xml:space="preserve">Temeiul juridic ales este Tratatul privind funcționarea Uniunii Europene, articolul 43 alineatul (2), care stabilește politica comună în domeniul pescuitului, și articolul 218 alineatul (6) litera (a) punctul (v), care stabilește etapa relevantă a procedurii de negociere și de încheiere a acordurilor între Uniune și țările terțe. </w:t>
      </w:r>
    </w:p>
    <w:p>
      <w:pPr>
        <w:pStyle w:val="ManualHeading2"/>
        <w:rPr>
          <w:rFonts w:eastAsia="Arial Unicode MS"/>
          <w:noProof/>
          <w:u w:color="000000"/>
          <w:bdr w:val="nil"/>
        </w:rPr>
      </w:pPr>
      <w:r>
        <w:rPr>
          <w:noProof/>
        </w:rPr>
        <w:t>•</w:t>
      </w:r>
      <w:r>
        <w:rPr>
          <w:noProof/>
        </w:rPr>
        <w:tab/>
        <w:t>Subsidiaritate (în cazul competențelor neexclusive)</w:t>
      </w:r>
    </w:p>
    <w:p>
      <w:pPr>
        <w:spacing w:before="0" w:after="240"/>
        <w:rPr>
          <w:noProof/>
        </w:rPr>
      </w:pPr>
      <w:r>
        <w:rPr>
          <w:noProof/>
        </w:rPr>
        <w:t>Propunerea intră în sfera competenței exclusive a Uniunii Europene.</w:t>
      </w:r>
    </w:p>
    <w:p>
      <w:pPr>
        <w:pStyle w:val="ManualHeading2"/>
        <w:rPr>
          <w:rFonts w:eastAsia="Arial Unicode MS"/>
          <w:noProof/>
          <w:u w:color="000000"/>
          <w:bdr w:val="nil"/>
        </w:rPr>
      </w:pPr>
      <w:r>
        <w:rPr>
          <w:noProof/>
        </w:rPr>
        <w:t>•</w:t>
      </w:r>
      <w:r>
        <w:rPr>
          <w:noProof/>
        </w:rPr>
        <w:tab/>
        <w:t>Proporționalitatea</w:t>
      </w:r>
    </w:p>
    <w:p>
      <w:pPr>
        <w:spacing w:before="0" w:after="240"/>
        <w:rPr>
          <w:noProof/>
        </w:rPr>
      </w:pPr>
      <w:r>
        <w:rPr>
          <w:noProof/>
        </w:rPr>
        <w:t xml:space="preserve">Propunerea este proporțională cu obiectivul de stabilire a unui cadru de guvernanță juridic, economic, social și de mediu pentru activitățile de pescuit desfășurate de navele Uniunii în apele țărilor terțe, astfel cum se prevede la articolul 31 din Regulamentul privind politica comună în domeniul pescuitului. Ea respectă aceste dispoziții, precum și cele referitoare la asistența financiară acordată țărilor terțe, prevăzute la articolul 32 din regulamentul menționat. </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 post/verificări ale adecvării legislației existente</w:t>
      </w:r>
    </w:p>
    <w:p>
      <w:pPr>
        <w:rPr>
          <w:noProof/>
        </w:rPr>
      </w:pPr>
      <w:r>
        <w:rPr>
          <w:noProof/>
        </w:rPr>
        <w:t xml:space="preserve">În 2016, Comisia a efectuat o evaluare </w:t>
      </w:r>
      <w:r>
        <w:rPr>
          <w:i/>
          <w:noProof/>
        </w:rPr>
        <w:t>ex post</w:t>
      </w:r>
      <w:r>
        <w:rPr>
          <w:noProof/>
        </w:rPr>
        <w:t xml:space="preserve"> a actualului protocol la Acordul de parteneriat în domeniul pescuitului dintre Uniunea Europeană și Guinee-Bissau, precum și o evaluare </w:t>
      </w:r>
      <w:r>
        <w:rPr>
          <w:i/>
          <w:noProof/>
        </w:rPr>
        <w:t>ex ante</w:t>
      </w:r>
      <w:r>
        <w:rPr>
          <w:noProof/>
        </w:rPr>
        <w:t xml:space="preserve"> a unei eventuale reînnoiri a protocolului. Concluziile evaluării sunt prezentate într-un document de lucru separat</w:t>
      </w:r>
      <w:r>
        <w:rPr>
          <w:rStyle w:val="FootnoteReference"/>
          <w:noProof/>
        </w:rPr>
        <w:footnoteReference w:id="4"/>
      </w:r>
      <w:r>
        <w:rPr>
          <w:noProof/>
        </w:rPr>
        <w:t>.</w:t>
      </w:r>
    </w:p>
    <w:p>
      <w:pPr>
        <w:rPr>
          <w:noProof/>
        </w:rPr>
      </w:pPr>
      <w:r>
        <w:rPr>
          <w:noProof/>
        </w:rPr>
        <w:t xml:space="preserve">Evaluarea a concluzionat că sectorul pescuitului de ton din UE are un puternic interes să pescuiască în Guineea-Bissau și că reînnoirea protocolului ar contribui la consolidarea monitorizării, a controlului și a supravegherii și la îmbunătățirea guvernanței activităților de pescuit din regiune. </w:t>
      </w:r>
    </w:p>
    <w:p>
      <w:pPr>
        <w:pStyle w:val="ManualHeading2"/>
        <w:rPr>
          <w:rFonts w:eastAsia="Arial Unicode MS"/>
          <w:noProof/>
          <w:u w:color="000000"/>
          <w:bdr w:val="nil"/>
        </w:rPr>
      </w:pPr>
      <w:r>
        <w:rPr>
          <w:noProof/>
        </w:rPr>
        <w:t>•</w:t>
      </w:r>
      <w:r>
        <w:rPr>
          <w:noProof/>
        </w:rPr>
        <w:tab/>
        <w:t>Consultarea părților interesate</w:t>
      </w:r>
    </w:p>
    <w:p>
      <w:pPr>
        <w:pBdr>
          <w:top w:val="nil"/>
          <w:left w:val="nil"/>
          <w:bottom w:val="nil"/>
          <w:right w:val="nil"/>
          <w:between w:val="nil"/>
          <w:bar w:val="nil"/>
        </w:pBdr>
        <w:spacing w:before="0" w:after="240"/>
        <w:rPr>
          <w:rFonts w:eastAsia="Arial Unicode MS"/>
          <w:noProof/>
        </w:rPr>
      </w:pPr>
      <w:r>
        <w:rPr>
          <w:noProof/>
        </w:rPr>
        <w:t>În cadrul evaluării au fost consultate statele membre, reprezentanți ai sectorului, organizații internaționale ale societății civile, precum și administrația pescuitului și reprezentanți ai societății civile din Guineea-Bissau. Au avut loc consultări și în cadrul Consiliului consultativ pentru flota de lungă distanță.</w:t>
      </w:r>
    </w:p>
    <w:p>
      <w:pPr>
        <w:pStyle w:val="ManualHeading2"/>
        <w:rPr>
          <w:rFonts w:eastAsia="Arial Unicode MS"/>
          <w:noProof/>
          <w:u w:color="000000"/>
          <w:bdr w:val="nil"/>
        </w:rPr>
      </w:pPr>
      <w:r>
        <w:rPr>
          <w:noProof/>
        </w:rPr>
        <w:t>•</w:t>
      </w:r>
      <w:r>
        <w:rPr>
          <w:noProof/>
        </w:rPr>
        <w:tab/>
        <w:t>Obținerea și utilizarea expertizei</w:t>
      </w:r>
    </w:p>
    <w:p>
      <w:pPr>
        <w:spacing w:before="0" w:after="240"/>
        <w:rPr>
          <w:noProof/>
        </w:rPr>
      </w:pPr>
      <w:r>
        <w:rPr>
          <w:noProof/>
        </w:rPr>
        <w:t xml:space="preserve">Comisia a apelat la un consultant independent pentru a efectua evaluările ex post și ex ante, în conformitate cu dispozițiile articolului 31 alineatul (10) din Regulamentul privind politica comună în domeniul pescuitului. </w:t>
      </w:r>
    </w:p>
    <w:p>
      <w:pPr>
        <w:pStyle w:val="ManualHeading1"/>
        <w:rPr>
          <w:noProof/>
        </w:rPr>
      </w:pPr>
      <w:r>
        <w:rPr>
          <w:noProof/>
        </w:rPr>
        <w:t>4.</w:t>
      </w:r>
      <w:r>
        <w:rPr>
          <w:noProof/>
        </w:rPr>
        <w:tab/>
        <w:t>IMPLICAȚII BUGETARE</w:t>
      </w:r>
    </w:p>
    <w:p>
      <w:pPr>
        <w:rPr>
          <w:noProof/>
        </w:rPr>
      </w:pPr>
      <w:r>
        <w:rPr>
          <w:noProof/>
        </w:rPr>
        <w:t>Contribuția financiară anuală a Uniunii Europene este de 15 600 000 EUR și se bazează pe:</w:t>
      </w:r>
    </w:p>
    <w:p>
      <w:pPr>
        <w:rPr>
          <w:noProof/>
        </w:rPr>
      </w:pPr>
      <w:r>
        <w:rPr>
          <w:noProof/>
        </w:rPr>
        <w:lastRenderedPageBreak/>
        <w:t>a) o sumă anuală pentru accesul la resursele piscicole, pentru categoriile prevăzute în protocol, stabilită la 11 600 000 EUR pe an pe întreaga durată a protocolului.</w:t>
      </w:r>
    </w:p>
    <w:p>
      <w:pPr>
        <w:rPr>
          <w:noProof/>
        </w:rPr>
      </w:pPr>
      <w:r>
        <w:rPr>
          <w:noProof/>
        </w:rPr>
        <w:t>b) un sprijin pentru dezvoltarea politicii sectoriale în domeniul pescuitului și a economiei albastre în Guineea-Bissau, în valoare de 4 000 000 EUR pe an pe întreaga durată a protocolului. Acest sprijin răspunde obiectivelor politicii naționale în materie de gestionare sustenabilă a resurselor piscicole continentale și maritime pe întreaga durată a protocolului.</w:t>
      </w:r>
    </w:p>
    <w:p>
      <w:pPr>
        <w:rPr>
          <w:noProof/>
        </w:rPr>
      </w:pPr>
      <w:r>
        <w:rPr>
          <w:noProof/>
        </w:rPr>
        <w:t>Suma anuală pentru creditele de angajament și de plată este stabilită în cursul procedurii bugetare anuale, inclusiv linia de rezervă pentru protocoalele care nu sunt încă în vigoare la începutul anului</w:t>
      </w:r>
      <w:r>
        <w:rPr>
          <w:rStyle w:val="FootnoteReference"/>
          <w:noProof/>
        </w:rPr>
        <w:footnoteReference w:id="5"/>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2019/0090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încheierea Protocolului privind punerea în aplicare a Acordului de parteneriat în domeniul pescuitului dintre Comunitatea Europeană și Republica Guineea-Bissau (2019-2024)</w:t>
      </w:r>
    </w:p>
    <w:p>
      <w:pPr>
        <w:pStyle w:val="Institutionquiagit"/>
        <w:rPr>
          <w:noProof/>
        </w:rPr>
      </w:pPr>
      <w:r>
        <w:rPr>
          <w:noProof/>
        </w:rPr>
        <w:t>CONSILIUL UNIUNII EUROPENE,</w:t>
      </w:r>
    </w:p>
    <w:p>
      <w:pPr>
        <w:rPr>
          <w:noProof/>
        </w:rPr>
      </w:pPr>
      <w:r>
        <w:rPr>
          <w:noProof/>
        </w:rPr>
        <w:t>având în vedere Tratatul privind funcționarea Uniunii Europene, în special articolul 43 alineatul (2), coroborat cu articolul 218 alineatul (6) litera (a) punctul (v) și cu articolul 218 alineatul (7),</w:t>
      </w:r>
    </w:p>
    <w:p>
      <w:pPr>
        <w:rPr>
          <w:noProof/>
        </w:rPr>
      </w:pPr>
      <w:r>
        <w:rPr>
          <w:noProof/>
        </w:rPr>
        <w:t>având în vedere propunerea Comisiei Europene,</w:t>
      </w:r>
    </w:p>
    <w:p>
      <w:pPr>
        <w:rPr>
          <w:noProof/>
        </w:rPr>
      </w:pPr>
      <w:r>
        <w:rPr>
          <w:noProof/>
        </w:rPr>
        <w:t>având în vedere aprobarea Parlamentului European</w:t>
      </w:r>
      <w:r>
        <w:rPr>
          <w:rStyle w:val="FootnoteReference"/>
          <w:noProof/>
        </w:rPr>
        <w:footnoteReference w:id="6"/>
      </w:r>
      <w:r>
        <w:rPr>
          <w:noProof/>
        </w:rPr>
        <w:t>,</w:t>
      </w:r>
    </w:p>
    <w:p>
      <w:pPr>
        <w:rPr>
          <w:noProof/>
        </w:rPr>
      </w:pPr>
      <w:r>
        <w:rPr>
          <w:noProof/>
        </w:rPr>
        <w:t>întrucât:</w:t>
      </w:r>
    </w:p>
    <w:p>
      <w:pPr>
        <w:pStyle w:val="ManualConsidrant"/>
        <w:rPr>
          <w:noProof/>
        </w:rPr>
      </w:pPr>
      <w:r>
        <w:t>(1)</w:t>
      </w:r>
      <w:r>
        <w:tab/>
      </w:r>
      <w:r>
        <w:rPr>
          <w:noProof/>
        </w:rPr>
        <w:t>La 17 martie 2008, Consiliul a adoptat Regulamentul (CE) nr. 241/2008</w:t>
      </w:r>
      <w:r>
        <w:rPr>
          <w:rStyle w:val="FootnoteReference"/>
          <w:noProof/>
        </w:rPr>
        <w:footnoteReference w:id="7"/>
      </w:r>
      <w:r>
        <w:rPr>
          <w:noProof/>
        </w:rPr>
        <w:t xml:space="preserve"> privind încheierea acordului de parteneriat în domeniul pescuitului între Comunitatea Europeană și Republica Guineea-Bissau (denumit în continuare „acordul”)</w:t>
      </w:r>
      <w:r>
        <w:rPr>
          <w:rStyle w:val="FootnoteReference"/>
          <w:noProof/>
        </w:rPr>
        <w:footnoteReference w:id="8"/>
      </w:r>
      <w:r>
        <w:rPr>
          <w:noProof/>
        </w:rPr>
        <w:t>, acord intrat în vigoare la 15 aprilie 2008, care ulterior a fost reînnoit tacit și care este încă în vigoare.</w:t>
      </w:r>
    </w:p>
    <w:p>
      <w:pPr>
        <w:pStyle w:val="ManualConsidrant"/>
        <w:rPr>
          <w:noProof/>
        </w:rPr>
      </w:pPr>
      <w:r>
        <w:t>(2)</w:t>
      </w:r>
      <w:r>
        <w:tab/>
      </w:r>
      <w:r>
        <w:rPr>
          <w:noProof/>
        </w:rPr>
        <w:t>Ultimul protocol la acord a expirat la 23 noiembrie 2017.</w:t>
      </w:r>
    </w:p>
    <w:p>
      <w:pPr>
        <w:pStyle w:val="ManualConsidrant"/>
        <w:rPr>
          <w:noProof/>
        </w:rPr>
      </w:pPr>
      <w:r>
        <w:t>(3)</w:t>
      </w:r>
      <w:r>
        <w:tab/>
      </w:r>
      <w:r>
        <w:rPr>
          <w:noProof/>
        </w:rPr>
        <w:t>Comisia a negociat, în numele Uniunii Europene, un nou protocol privind punerea în aplicare a acordului (denumit în continuare „protocolul”). După încheierea negocierilor, protocolul a fost parafat la 15 noiembrie 2018.</w:t>
      </w:r>
    </w:p>
    <w:p>
      <w:pPr>
        <w:pStyle w:val="ManualConsidrant"/>
        <w:rPr>
          <w:noProof/>
        </w:rPr>
      </w:pPr>
      <w:r>
        <w:t>(4)</w:t>
      </w:r>
      <w:r>
        <w:tab/>
      </w:r>
      <w:r>
        <w:rPr>
          <w:noProof/>
        </w:rPr>
        <w:t>În conformitate cu Decizia 2019/.../UE a Consiliului</w:t>
      </w:r>
      <w:r>
        <w:rPr>
          <w:rStyle w:val="FootnoteReference"/>
          <w:noProof/>
        </w:rPr>
        <w:footnoteReference w:id="9"/>
      </w:r>
      <w:r>
        <w:rPr>
          <w:noProof/>
        </w:rPr>
        <w:t>, protocolul a fost semnat la data de [se introduce data semnării].</w:t>
      </w:r>
    </w:p>
    <w:p>
      <w:pPr>
        <w:pStyle w:val="ManualConsidrant"/>
        <w:rPr>
          <w:noProof/>
        </w:rPr>
      </w:pPr>
      <w:r>
        <w:t>(5)</w:t>
      </w:r>
      <w:r>
        <w:tab/>
      </w:r>
      <w:r>
        <w:rPr>
          <w:noProof/>
        </w:rPr>
        <w:t>Protocolul se aplică cu titlu provizoriu de la data semnării.</w:t>
      </w:r>
    </w:p>
    <w:p>
      <w:pPr>
        <w:pStyle w:val="ManualConsidrant"/>
        <w:rPr>
          <w:noProof/>
        </w:rPr>
      </w:pPr>
      <w:r>
        <w:t>(6)</w:t>
      </w:r>
      <w:r>
        <w:tab/>
      </w:r>
      <w:r>
        <w:rPr>
          <w:noProof/>
        </w:rPr>
        <w:t>Obiectivul protocolului este de a permite Uniunii Europene și Republicii Guineea-Bissau să colaboreze mai strâns în vederea promovării unei politici sustenabile în domeniul pescuitului, a unei exploatări responsabile a resurselor piscicole din apele Guineei-Bissau și a eforturilor Guineei-Bissau de a dezvolta o economie albastră.</w:t>
      </w:r>
    </w:p>
    <w:p>
      <w:pPr>
        <w:pStyle w:val="ManualConsidrant"/>
        <w:rPr>
          <w:noProof/>
        </w:rPr>
      </w:pPr>
      <w:r>
        <w:t>(7)</w:t>
      </w:r>
      <w:r>
        <w:tab/>
      </w:r>
      <w:r>
        <w:rPr>
          <w:noProof/>
        </w:rPr>
        <w:t>Protocolul ar trebui să fie aprobat în numele Uniunii.</w:t>
      </w:r>
    </w:p>
    <w:p>
      <w:pPr>
        <w:pStyle w:val="ManualConsidrant"/>
        <w:rPr>
          <w:noProof/>
        </w:rPr>
      </w:pPr>
      <w:r>
        <w:t>(8)</w:t>
      </w:r>
      <w:r>
        <w:tab/>
      </w:r>
      <w:r>
        <w:rPr>
          <w:noProof/>
        </w:rPr>
        <w:t xml:space="preserve">Articolul 10 din acord instituie o comisie mixtă însărcinată cu monitorizarea aplicării acordului. În plus, comisia mixtă poate aproba anumite modificări ale protocolului. Pentru a facilita aprobarea modificărilor respective, Comisia ar trebui să fie </w:t>
      </w:r>
      <w:r>
        <w:rPr>
          <w:noProof/>
        </w:rPr>
        <w:lastRenderedPageBreak/>
        <w:t>împuternicită să le aprobe, sub rezerva îndeplinirii unor condiții specifice, conform unei proceduri simplificate,</w:t>
      </w: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Protocolul privind punerea în aplicare a Acordului de parteneriat în domeniul pescuitului dintre Comunitatea Europeană și Republica Guineea-Bissau (2019-2024) (denumit în continuare „protocolul”) se aprobă în numele Uniunii.</w:t>
      </w:r>
    </w:p>
    <w:p>
      <w:pPr>
        <w:rPr>
          <w:noProof/>
        </w:rPr>
      </w:pPr>
      <w:r>
        <w:rPr>
          <w:noProof/>
        </w:rPr>
        <w:t>Textul protocolului este anexat la prezenta decizie sub forma anexei I.</w:t>
      </w:r>
    </w:p>
    <w:p>
      <w:pPr>
        <w:pStyle w:val="Titrearticle"/>
        <w:rPr>
          <w:noProof/>
        </w:rPr>
      </w:pPr>
      <w:r>
        <w:rPr>
          <w:noProof/>
        </w:rPr>
        <w:t>Articolul 2</w:t>
      </w:r>
    </w:p>
    <w:p>
      <w:pPr>
        <w:rPr>
          <w:noProof/>
        </w:rPr>
      </w:pPr>
      <w:r>
        <w:rPr>
          <w:noProof/>
        </w:rPr>
        <w:t>În conformitate cu dispozițiile și condițiile stabilite în anexa II la prezenta decizie, Comisia este împuternicită să aprobe, în numele Uniunii, modificările aduse protocolului adoptate de comisia mixtă instituită în temeiul articolului 10 din acord.</w:t>
      </w:r>
    </w:p>
    <w:p>
      <w:pPr>
        <w:pStyle w:val="Titrearticle"/>
        <w:rPr>
          <w:noProof/>
        </w:rPr>
      </w:pPr>
      <w:r>
        <w:rPr>
          <w:noProof/>
        </w:rPr>
        <w:t>Articolul 3</w:t>
      </w:r>
    </w:p>
    <w:p>
      <w:pPr>
        <w:rPr>
          <w:noProof/>
        </w:rPr>
      </w:pPr>
      <w:r>
        <w:rPr>
          <w:noProof/>
        </w:rPr>
        <w:t>Președintele Consiliului desemnează persoana sau persoanele împuternicite să efectueze, în numele Uniunii, notificările prevăzute la articolul 17 din protocol, prin care se exprimă consimțământul Uniunii de a-și asuma obligații în temeiul protocolului.</w:t>
      </w:r>
    </w:p>
    <w:p>
      <w:pPr>
        <w:pStyle w:val="Titrearticle"/>
        <w:rPr>
          <w:noProof/>
        </w:rPr>
      </w:pPr>
      <w:r>
        <w:rPr>
          <w:noProof/>
        </w:rPr>
        <w:t>Articolul 4</w:t>
      </w:r>
    </w:p>
    <w:p>
      <w:pPr>
        <w:keepNext/>
        <w:rPr>
          <w:noProof/>
        </w:rPr>
      </w:pPr>
      <w:r>
        <w:rPr>
          <w:noProof/>
        </w:rPr>
        <w:t xml:space="preserve">Prezenta decizie intră în vigoare în ziua următoare datei publicării în </w:t>
      </w:r>
      <w:r>
        <w:rPr>
          <w:i/>
          <w:noProof/>
        </w:rPr>
        <w:t>Jurnalul Oficial al Uniunii Europene</w:t>
      </w:r>
      <w:r>
        <w:rPr>
          <w:noProof/>
        </w:rPr>
        <w:t>.</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Adoptate de Consiliul Mediu la 28 februarie 2017</w:t>
      </w:r>
      <w:r>
        <w:rPr>
          <w:highlight w:val="yellow"/>
        </w:rPr>
        <w:t>.</w:t>
      </w:r>
    </w:p>
  </w:footnote>
  <w:footnote w:id="2">
    <w:p>
      <w:pPr>
        <w:pStyle w:val="FootnoteText"/>
      </w:pPr>
      <w:r>
        <w:rPr>
          <w:rStyle w:val="FootnoteReference"/>
        </w:rPr>
        <w:footnoteRef/>
      </w:r>
      <w:r>
        <w:tab/>
        <w:t>JO L 342, 17.12.2007, p. 5.</w:t>
      </w:r>
    </w:p>
  </w:footnote>
  <w:footnote w:id="3">
    <w:p>
      <w:pPr>
        <w:pStyle w:val="FootnoteText"/>
      </w:pPr>
      <w:r>
        <w:rPr>
          <w:rStyle w:val="FootnoteReference"/>
        </w:rPr>
        <w:footnoteRef/>
      </w:r>
      <w:r>
        <w:tab/>
        <w:t>JO L 354, 28.12.2013, p. 22.</w:t>
      </w:r>
    </w:p>
  </w:footnote>
  <w:footnote w:id="4">
    <w:p>
      <w:pPr>
        <w:pStyle w:val="FootnoteText"/>
      </w:pPr>
      <w:r>
        <w:rPr>
          <w:rStyle w:val="FootnoteReference"/>
        </w:rPr>
        <w:footnoteRef/>
      </w:r>
      <w:r>
        <w:tab/>
        <w:t>SWD (2017) 19 final, 18.1.2017</w:t>
      </w:r>
    </w:p>
  </w:footnote>
  <w:footnote w:id="5">
    <w:p>
      <w:pPr>
        <w:pStyle w:val="FootnoteText"/>
      </w:pPr>
      <w:r>
        <w:rPr>
          <w:rStyle w:val="FootnoteReference"/>
        </w:rPr>
        <w:footnoteRef/>
      </w:r>
      <w:r>
        <w:tab/>
        <w:t>În conformitate cu Acordul interinstituțional privind cooperarea în chestiuni bugetare (2013/C 373/01)</w:t>
      </w:r>
    </w:p>
  </w:footnote>
  <w:footnote w:id="6">
    <w:p>
      <w:pPr>
        <w:pStyle w:val="FootnoteText"/>
      </w:pPr>
      <w:r>
        <w:rPr>
          <w:rStyle w:val="FootnoteReference"/>
        </w:rPr>
        <w:footnoteRef/>
      </w:r>
      <w:r>
        <w:tab/>
        <w:t>JO C , , p. .</w:t>
      </w:r>
    </w:p>
  </w:footnote>
  <w:footnote w:id="7">
    <w:p>
      <w:pPr>
        <w:pStyle w:val="FootnoteText"/>
        <w:ind w:left="0" w:firstLine="0"/>
      </w:pPr>
      <w:r>
        <w:rPr>
          <w:rStyle w:val="FootnoteReference"/>
        </w:rPr>
        <w:footnoteRef/>
      </w:r>
      <w:r>
        <w:tab/>
        <w:t>Regulamentul (CE) nr. 241/2008 al Consiliului din 17 martie 2008 privind încheierea acordului de parteneriat în domeniul pescuitului între Comunitatea Europeană și Republica Guineea-Bissau (JO L 75, 18.3.2008, p. 49).</w:t>
      </w:r>
    </w:p>
  </w:footnote>
  <w:footnote w:id="8">
    <w:p>
      <w:pPr>
        <w:pStyle w:val="FootnoteText"/>
      </w:pPr>
      <w:r>
        <w:rPr>
          <w:rStyle w:val="FootnoteReference"/>
        </w:rPr>
        <w:footnoteRef/>
      </w:r>
      <w:r>
        <w:tab/>
        <w:t>JO L 342, 27.12.2007, p. 5.</w:t>
      </w:r>
    </w:p>
  </w:footnote>
  <w:footnote w:id="9">
    <w:p>
      <w:pPr>
        <w:pStyle w:val="FootnoteText"/>
        <w:ind w:left="0" w:firstLine="0"/>
      </w:pPr>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3AE2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3855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4C2B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7290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1E2C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9AD1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78C69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84BB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6:10:3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AAF64E5-DC53-4F00-908F-D4981EA2AF2E"/>
    <w:docVar w:name="LW_COVERPAGE_TYPE" w:val="1"/>
    <w:docVar w:name="LW_CROSSREFERENCE" w:val="&lt;UNUSED&gt;"/>
    <w:docVar w:name="LW_DocType" w:val="COM"/>
    <w:docVar w:name="LW_EMISSION" w:val="10.4.2019"/>
    <w:docVar w:name="LW_EMISSION_ISODATE" w:val="2019-04-10"/>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90"/>
    <w:docVar w:name="LW_REF.II.NEW.CP_YEAR" w:val="2019"/>
    <w:docVar w:name="LW_REF.INST.NEW" w:val="COM"/>
    <w:docVar w:name="LW_REF.INST.NEW_ADOPTED" w:val="final"/>
    <w:docVar w:name="LW_REF.INST.NEW_TEXT" w:val="(2019)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încheierea Protocolului privind punerea în aplicare a Acordului de parteneriat în domeniul pescuitului dintre Comunitatea European\u259? \u537?i Republica Guineea-Bissau (2019-2024)"/>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E752F2-A87B-48A2-9635-E6358445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1281</Words>
  <Characters>7842</Characters>
  <Application>Microsoft Office Word</Application>
  <DocSecurity>0</DocSecurity>
  <Lines>142</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2019-02-19T18:16:00Z</cp:lastPrinted>
  <dcterms:created xsi:type="dcterms:W3CDTF">2019-04-03T06:59:00Z</dcterms:created>
  <dcterms:modified xsi:type="dcterms:W3CDTF">2019-04-04T14:10:00Z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