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8B5ABC8-64D5-4054-A5A4-1F01CBD99E38" style="width:450.75pt;height:397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b w:val="0"/>
          <w:noProof/>
          <w:sz w:val="22"/>
        </w:rPr>
      </w:pPr>
      <w:bookmarkStart w:id="0" w:name="_GoBack"/>
      <w:bookmarkEnd w:id="0"/>
      <w:r>
        <w:rPr>
          <w:noProof/>
        </w:rPr>
        <w:lastRenderedPageBreak/>
        <w:t>1. MELLÉKLET</w:t>
      </w:r>
      <w:bookmarkStart w:id="1" w:name="bookmark0"/>
      <w:r>
        <w:rPr>
          <w:noProof/>
        </w:rPr>
        <w:br/>
        <w:t>AZ EURÓPAI KÖZÖSSÉG ÉS A BISSAU-GUINEAI KÖZTÁRSASÁG KÖZÖTT LÉTREJÖTT HALÁSZATI PARTNERSÉGI MEGÁLLAPODÁS VÉGREHAJTÁSÁRA VONATKOZÓ JEGYZŐKÖNYV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(2019–2024)</w:t>
      </w:r>
    </w:p>
    <w:p>
      <w:pPr>
        <w:pStyle w:val="Titrearticle"/>
        <w:rPr>
          <w:rFonts w:eastAsia="EUAlbertina-Italic-Identity-H"/>
          <w:b/>
          <w:iCs/>
          <w:noProof/>
        </w:rPr>
      </w:pPr>
      <w:r>
        <w:rPr>
          <w:noProof/>
        </w:rPr>
        <w:t xml:space="preserve">1. cikk </w:t>
      </w:r>
      <w:r>
        <w:rPr>
          <w:noProof/>
        </w:rPr>
        <w:br/>
      </w:r>
      <w:r>
        <w:rPr>
          <w:b/>
          <w:iCs/>
          <w:noProof/>
        </w:rPr>
        <w:t>Alkalmazási időszak és halászati lehetőségek</w:t>
      </w:r>
    </w:p>
    <w:p>
      <w:pPr>
        <w:rPr>
          <w:noProof/>
        </w:rPr>
      </w:pPr>
      <w:r>
        <w:rPr>
          <w:noProof/>
        </w:rPr>
        <w:t>Az európai uniós hajók részére a halászati partnerségi megállapodás 5. cikke alapján engedélyezett halászati lehetőségek a következők:</w:t>
      </w:r>
    </w:p>
    <w:p>
      <w:pPr>
        <w:pStyle w:val="NumPar1"/>
        <w:numPr>
          <w:ilvl w:val="0"/>
          <w:numId w:val="48"/>
        </w:numPr>
        <w:rPr>
          <w:noProof/>
        </w:rPr>
      </w:pPr>
      <w:r>
        <w:rPr>
          <w:noProof/>
        </w:rPr>
        <w:t>Alkalmazásának első és második évében a jegyzőkönyv (BRT-ben kifejezett) erőkifejtés-alapú rendszert használ a halászati lehetőségek meghatározásához, a következők szerint:</w:t>
      </w:r>
    </w:p>
    <w:p>
      <w:pPr>
        <w:pStyle w:val="Tiret1"/>
        <w:numPr>
          <w:ilvl w:val="0"/>
          <w:numId w:val="2"/>
        </w:numPr>
        <w:spacing w:before="0"/>
        <w:ind w:hanging="577"/>
        <w:rPr>
          <w:rFonts w:eastAsia="EUAlbertina-Regular-Identity-H"/>
          <w:noProof/>
        </w:rPr>
      </w:pPr>
      <w:r>
        <w:rPr>
          <w:noProof/>
        </w:rPr>
        <w:t xml:space="preserve">tengerfenéki fajok (rákfélék, fejlábúak, halak) és kis méretű nyílt vízi fajok: </w:t>
      </w:r>
    </w:p>
    <w:p>
      <w:pPr>
        <w:pStyle w:val="Point2letter"/>
        <w:numPr>
          <w:ilvl w:val="5"/>
          <w:numId w:val="3"/>
        </w:numPr>
        <w:spacing w:before="0"/>
        <w:rPr>
          <w:rFonts w:eastAsia="EUAlbertina-Regular-Identity-H"/>
          <w:noProof/>
        </w:rPr>
      </w:pPr>
      <w:r>
        <w:rPr>
          <w:noProof/>
        </w:rPr>
        <w:t>fagyasztóval felszerelt vonóhálós garnélahalász-hajók: 3 700 BRT/év;</w:t>
      </w:r>
    </w:p>
    <w:p>
      <w:pPr>
        <w:pStyle w:val="Point2letter"/>
        <w:numPr>
          <w:ilvl w:val="5"/>
          <w:numId w:val="3"/>
        </w:numPr>
        <w:spacing w:before="0"/>
        <w:rPr>
          <w:rFonts w:eastAsia="EUAlbertina-Regular-Identity-H"/>
          <w:noProof/>
        </w:rPr>
      </w:pPr>
      <w:r>
        <w:rPr>
          <w:noProof/>
        </w:rPr>
        <w:t>fagyasztóval felszerelt, halakra és fejlábúakra halászó vonóhálós hajók: 3 500 BRT/év;</w:t>
      </w:r>
    </w:p>
    <w:p>
      <w:pPr>
        <w:pStyle w:val="Point2letter"/>
        <w:numPr>
          <w:ilvl w:val="5"/>
          <w:numId w:val="3"/>
        </w:numPr>
        <w:spacing w:before="0"/>
        <w:rPr>
          <w:rFonts w:eastAsia="EUAlbertina-Regular-Identity-H"/>
          <w:noProof/>
        </w:rPr>
      </w:pPr>
      <w:r>
        <w:rPr>
          <w:noProof/>
        </w:rPr>
        <w:t>kis méretű nyílt vízi fajokra halászó vonóhálós hajók: 15 000 BRT/év;</w:t>
      </w:r>
    </w:p>
    <w:p>
      <w:pPr>
        <w:pStyle w:val="Tiret1"/>
        <w:numPr>
          <w:ilvl w:val="0"/>
          <w:numId w:val="2"/>
        </w:numPr>
        <w:spacing w:before="0"/>
        <w:ind w:hanging="577"/>
        <w:rPr>
          <w:rFonts w:eastAsia="EUAlbertina-Regular-Identity-H"/>
          <w:noProof/>
        </w:rPr>
      </w:pPr>
      <w:r>
        <w:rPr>
          <w:noProof/>
        </w:rPr>
        <w:t xml:space="preserve">nagy távolságra vándorló fajok (az Egyesült Nemzetek 1982. évi tengerjogi egyezményének 1. mellékletében felsorolt fajok), az </w:t>
      </w:r>
      <w:r>
        <w:rPr>
          <w:i/>
          <w:noProof/>
        </w:rPr>
        <w:t>Alopiidae</w:t>
      </w:r>
      <w:r>
        <w:rPr>
          <w:noProof/>
        </w:rPr>
        <w:t xml:space="preserve"> és a </w:t>
      </w:r>
      <w:r>
        <w:rPr>
          <w:i/>
          <w:noProof/>
        </w:rPr>
        <w:t>Sphyrnidae</w:t>
      </w:r>
      <w:r>
        <w:rPr>
          <w:noProof/>
        </w:rPr>
        <w:t xml:space="preserve"> családba tartozó fajok, valamint az alábbi fajok kivételével: </w:t>
      </w:r>
      <w:r>
        <w:rPr>
          <w:i/>
          <w:noProof/>
        </w:rPr>
        <w:t>Cethorinus maximus, Rhincodon typus, Carcharodon carcharias, Carcharinus falciformis, Carcharinus longimanus,</w:t>
      </w:r>
    </w:p>
    <w:p>
      <w:pPr>
        <w:pStyle w:val="Point2letter"/>
        <w:numPr>
          <w:ilvl w:val="5"/>
          <w:numId w:val="5"/>
        </w:numPr>
        <w:spacing w:before="0"/>
        <w:rPr>
          <w:rFonts w:eastAsia="EUAlbertina-Regular-Identity-H"/>
          <w:noProof/>
        </w:rPr>
      </w:pPr>
      <w:r>
        <w:rPr>
          <w:noProof/>
        </w:rPr>
        <w:t>fagyasztóval felszerelt kerítőhálós tonhalhalászhajók és horogsoros hajók: 28 hajó;</w:t>
      </w:r>
    </w:p>
    <w:p>
      <w:pPr>
        <w:pStyle w:val="Point2letter"/>
        <w:numPr>
          <w:ilvl w:val="5"/>
          <w:numId w:val="3"/>
        </w:numPr>
        <w:spacing w:before="0"/>
        <w:rPr>
          <w:rFonts w:eastAsia="EUAlbertina-Regular-Identity-H"/>
          <w:noProof/>
        </w:rPr>
      </w:pPr>
      <w:r>
        <w:rPr>
          <w:noProof/>
        </w:rPr>
        <w:t>horgászbotos tonhalhalászhajók: 13 hajó.</w:t>
      </w:r>
    </w:p>
    <w:p>
      <w:pPr>
        <w:pStyle w:val="NumPar1"/>
        <w:rPr>
          <w:noProof/>
        </w:rPr>
      </w:pPr>
      <w:r>
        <w:rPr>
          <w:noProof/>
        </w:rPr>
        <w:t>Alkalmazásának harmadik évétől a jegyzőkönyv minden faj vonatkozásában (TAC-ban kifejezett) fogási korlátban határozza meg a halászati lehetőségeket, a következők szerint:</w:t>
      </w:r>
    </w:p>
    <w:p>
      <w:pPr>
        <w:pStyle w:val="Tiret1"/>
        <w:numPr>
          <w:ilvl w:val="0"/>
          <w:numId w:val="2"/>
        </w:numPr>
        <w:spacing w:before="0"/>
        <w:ind w:hanging="577"/>
        <w:rPr>
          <w:rFonts w:eastAsia="EUAlbertina-Regular-Identity-H"/>
          <w:noProof/>
        </w:rPr>
      </w:pPr>
      <w:r>
        <w:rPr>
          <w:noProof/>
        </w:rPr>
        <w:t xml:space="preserve">tengerfenéki fajok (rákfélék, fejlábúak, halak) és kis méretű nyílt vízi fajok: </w:t>
      </w:r>
    </w:p>
    <w:p>
      <w:pPr>
        <w:pStyle w:val="Point1letter"/>
        <w:numPr>
          <w:ilvl w:val="3"/>
          <w:numId w:val="7"/>
        </w:numPr>
        <w:rPr>
          <w:rFonts w:eastAsia="EUAlbertina-Regular-Identity-H"/>
          <w:noProof/>
        </w:rPr>
      </w:pPr>
      <w:r>
        <w:rPr>
          <w:noProof/>
        </w:rPr>
        <w:t>fagyasztóval felszerelt vonóhálós garnélahalász-hajók: 2 500 tonna/év;</w:t>
      </w:r>
    </w:p>
    <w:p>
      <w:pPr>
        <w:pStyle w:val="Point1letter"/>
        <w:numPr>
          <w:ilvl w:val="3"/>
          <w:numId w:val="7"/>
        </w:numPr>
        <w:rPr>
          <w:rFonts w:eastAsia="EUAlbertina-Regular-Identity-H"/>
          <w:noProof/>
        </w:rPr>
      </w:pPr>
      <w:r>
        <w:rPr>
          <w:noProof/>
        </w:rPr>
        <w:t>fagyasztóval felszerelt, kizárólag halakra halászó vonóhálós hajók: 11 000 tonna/év;</w:t>
      </w:r>
    </w:p>
    <w:p>
      <w:pPr>
        <w:pStyle w:val="Point1letter"/>
        <w:numPr>
          <w:ilvl w:val="3"/>
          <w:numId w:val="7"/>
        </w:numPr>
        <w:rPr>
          <w:rFonts w:eastAsia="EUAlbertina-Regular-Identity-H"/>
          <w:noProof/>
        </w:rPr>
      </w:pPr>
      <w:r>
        <w:rPr>
          <w:noProof/>
        </w:rPr>
        <w:t>fagyasztóval felszerelt, fejlábúakra halászó vonóhálós hajók: 1 500 tonna/év;</w:t>
      </w:r>
    </w:p>
    <w:p>
      <w:pPr>
        <w:pStyle w:val="Point1letter"/>
        <w:numPr>
          <w:ilvl w:val="3"/>
          <w:numId w:val="7"/>
        </w:numPr>
        <w:rPr>
          <w:rFonts w:eastAsia="EUAlbertina-Regular-Identity-H"/>
          <w:noProof/>
        </w:rPr>
      </w:pPr>
      <w:r>
        <w:rPr>
          <w:noProof/>
        </w:rPr>
        <w:t>kis méretű nyílt vízi fajokra halászó vonóhálós hajók: 18 000 tonna/év;</w:t>
      </w:r>
    </w:p>
    <w:p>
      <w:pPr>
        <w:pStyle w:val="Tiret0"/>
        <w:numPr>
          <w:ilvl w:val="0"/>
          <w:numId w:val="50"/>
        </w:numPr>
        <w:rPr>
          <w:noProof/>
        </w:rPr>
      </w:pPr>
      <w:r>
        <w:rPr>
          <w:noProof/>
        </w:rPr>
        <w:t xml:space="preserve">nagy távolságra vándorló fajok (az Egyesült Nemzetek 1982. évi tengerjogi egyezményének 1. mellékletében felsorolt fajok), az </w:t>
      </w:r>
      <w:r>
        <w:rPr>
          <w:i/>
          <w:iCs/>
          <w:noProof/>
        </w:rPr>
        <w:t>Alopiidae</w:t>
      </w:r>
      <w:r>
        <w:rPr>
          <w:noProof/>
        </w:rPr>
        <w:t xml:space="preserve"> és a </w:t>
      </w:r>
      <w:r>
        <w:rPr>
          <w:i/>
          <w:iCs/>
          <w:noProof/>
        </w:rPr>
        <w:t>Sphyrnidae</w:t>
      </w:r>
      <w:r>
        <w:rPr>
          <w:noProof/>
        </w:rPr>
        <w:t xml:space="preserve"> családba tartozó fajok, valamint az alábbi fajok kivételével:</w:t>
      </w:r>
      <w:r>
        <w:rPr>
          <w:i/>
          <w:iCs/>
          <w:noProof/>
        </w:rPr>
        <w:t xml:space="preserve"> Cethorinus maximus, Rhincodon typus, Carcharodon carcharias, Carcharinus falciformis, Carcharinus longimanus,</w:t>
      </w:r>
    </w:p>
    <w:p>
      <w:pPr>
        <w:pStyle w:val="Point2letter"/>
        <w:numPr>
          <w:ilvl w:val="5"/>
          <w:numId w:val="8"/>
        </w:numPr>
        <w:spacing w:before="0"/>
        <w:rPr>
          <w:rFonts w:eastAsia="EUAlbertina-Regular-Identity-H"/>
          <w:noProof/>
        </w:rPr>
      </w:pPr>
      <w:r>
        <w:rPr>
          <w:noProof/>
        </w:rPr>
        <w:t>fagyasztóval felszerelt kerítőhálós tonhalhalászhajók és horogsoros hajók: 28 hajó;</w:t>
      </w:r>
    </w:p>
    <w:p>
      <w:pPr>
        <w:pStyle w:val="Point2letter"/>
        <w:numPr>
          <w:ilvl w:val="5"/>
          <w:numId w:val="8"/>
        </w:numPr>
        <w:spacing w:before="0"/>
        <w:rPr>
          <w:rFonts w:eastAsia="EUAlbertina-Regular-Identity-H"/>
          <w:noProof/>
        </w:rPr>
      </w:pPr>
      <w:r>
        <w:rPr>
          <w:noProof/>
        </w:rPr>
        <w:t>horgászbotos tonhalhalászhajók: 13 hajó.</w:t>
      </w:r>
    </w:p>
    <w:p>
      <w:pPr>
        <w:pStyle w:val="NumPar1"/>
        <w:rPr>
          <w:noProof/>
        </w:rPr>
      </w:pPr>
      <w:r>
        <w:rPr>
          <w:noProof/>
        </w:rPr>
        <w:lastRenderedPageBreak/>
        <w:t>Az erőkifejtés-alapú rendszerről (BRT) a fogásikorlát-alapú rendszerre (TAC) való áttéréssel egyidejűleg kezdi meg működését az elektronikus fogásbejelentő rendszer (Electronic Reporting System, ERS), illetve veszi kezdetét az ennek segítségével továbbított fogási adatok feldolgozása. A vegyes bizottság ezért még a jegyzőkönyv alkalmazásának harmadik éve előtt kidolgozza az említett rendszer valamennyi ipari flottára történő egységes alkalmazásának irányvonalait.</w:t>
      </w:r>
    </w:p>
    <w:p>
      <w:pPr>
        <w:pStyle w:val="NumPar1"/>
        <w:rPr>
          <w:noProof/>
        </w:rPr>
      </w:pPr>
      <w:r>
        <w:rPr>
          <w:noProof/>
        </w:rPr>
        <w:t>Az (1) és a (2) bekezdést e jegyzőkönyv 8. és 9. cikkének rendelkezéseire is figyelemmel kell alkalmazni.</w:t>
      </w:r>
    </w:p>
    <w:p>
      <w:pPr>
        <w:pStyle w:val="Titrearticle"/>
        <w:rPr>
          <w:b/>
          <w:noProof/>
          <w:szCs w:val="20"/>
        </w:rPr>
      </w:pPr>
      <w:r>
        <w:rPr>
          <w:noProof/>
        </w:rPr>
        <w:t>2. cikk</w:t>
      </w:r>
      <w:r>
        <w:rPr>
          <w:noProof/>
        </w:rPr>
        <w:br/>
      </w:r>
      <w:r>
        <w:rPr>
          <w:b/>
          <w:noProof/>
          <w:szCs w:val="20"/>
        </w:rPr>
        <w:t>Időtartam</w:t>
      </w:r>
    </w:p>
    <w:p>
      <w:pPr>
        <w:keepNext/>
        <w:spacing w:after="0"/>
        <w:rPr>
          <w:i/>
          <w:noProof/>
          <w:szCs w:val="20"/>
        </w:rPr>
      </w:pPr>
      <w:r>
        <w:rPr>
          <w:noProof/>
        </w:rPr>
        <w:t>A 16. cikk értelmében e jegyzőkönyv és melléklete az ideiglenes alkalmazás első napjától számított öt éven keresztül alkalmazandó, kivéve ha valamelyik Fél a 15. cikkben foglaltak szerint felmondja.</w:t>
      </w:r>
    </w:p>
    <w:p>
      <w:pPr>
        <w:pStyle w:val="Titrearticle"/>
        <w:rPr>
          <w:b/>
          <w:noProof/>
        </w:rPr>
      </w:pPr>
      <w:r>
        <w:rPr>
          <w:noProof/>
        </w:rPr>
        <w:t>3. cikk</w:t>
      </w:r>
      <w:r>
        <w:rPr>
          <w:noProof/>
        </w:rPr>
        <w:br/>
      </w:r>
      <w:r>
        <w:rPr>
          <w:b/>
          <w:noProof/>
        </w:rPr>
        <w:t>Elvek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Mindkét Fél vállalja, hogy a hátrányos megkülönböztetés tilalmának elve alapján előmozdítja a felelősségteljes halászatot a bissau-guineai halászati övezetben. Bissau-Guinea vállalja, hogy nem nyújt az e jegyzőkönyvben foglaltaknál kedvezőbb technikai feltételeket a bissau-guineai halászati övezetben tevékenységet folytató más külföldi flották számára, amelyek az e jegyzőkönyvben foglaltakkal azonos jellemzőkkel rendelkeznek és ugyanazon fajokra halásznak.</w:t>
      </w:r>
    </w:p>
    <w:p>
      <w:pPr>
        <w:pStyle w:val="NumPar1"/>
        <w:rPr>
          <w:noProof/>
        </w:rPr>
      </w:pPr>
      <w:r>
        <w:rPr>
          <w:noProof/>
        </w:rPr>
        <w:t>A Felek vállalják annak biztosítását, hogy e jegyzőkönyvet a Cotonoui Megállapodásnak az emberi jogok, a demokratikus elvek és a jogállamiság elengedhetetlen elemeiről, valamint a felelősségteljes kormányzás, a fenntartható fejlődés és a fenntartható és eredményes környezetgazdálkodás alapvető eleméről szóló 9. cikkével összhangban hajtják végre.</w:t>
      </w:r>
    </w:p>
    <w:p>
      <w:pPr>
        <w:pStyle w:val="NumPar1"/>
        <w:rPr>
          <w:noProof/>
        </w:rPr>
      </w:pPr>
      <w:r>
        <w:rPr>
          <w:noProof/>
        </w:rPr>
        <w:t>A Felek vállalják, hogy nyilvánosságra hozzák és megosztják egymással azokat az információkat, amelyek bármely, a bissau-guineai halászati övezethez való hozzáférést más külföldi hajók számára lehetővé tévő megállapodással, illetve ilyen megállapodásokból eredő halászati erőkifejtéssel kapcsolatosak, különös tekintettel a kiadott engedélyek számára és a fogások mennyiségére.</w:t>
      </w:r>
    </w:p>
    <w:p>
      <w:pPr>
        <w:pStyle w:val="NumPar1"/>
        <w:rPr>
          <w:noProof/>
        </w:rPr>
      </w:pPr>
      <w:r>
        <w:rPr>
          <w:noProof/>
        </w:rPr>
        <w:t>A megállapodás 5. cikke alapján az európai uniós hajók csak akkor folytathatnak halászati tevékenységet a bissau-guineai halászati övezetben, ha rendelkeznek az e jegyzőkönyv alapján, ennek melléklete szerint kiállított halászati engedéllyel.</w:t>
      </w:r>
    </w:p>
    <w:p>
      <w:pPr>
        <w:pStyle w:val="Titrearticle"/>
        <w:rPr>
          <w:rFonts w:eastAsia="EUAlbertina-Italic-Identity-H"/>
          <w:b/>
          <w:iCs/>
          <w:noProof/>
        </w:rPr>
      </w:pPr>
      <w:r>
        <w:rPr>
          <w:noProof/>
        </w:rPr>
        <w:t>4. cikk</w:t>
      </w:r>
      <w:r>
        <w:rPr>
          <w:noProof/>
        </w:rPr>
        <w:br/>
      </w:r>
      <w:r>
        <w:rPr>
          <w:b/>
          <w:iCs/>
          <w:noProof/>
        </w:rPr>
        <w:t xml:space="preserve">Pénzügyi hozzájárulás 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A halászati partnerségi megállapodás 7. cikke szerinti pénzügyi hozzájárulás összege az e jegyzőkönyv 1. cikkében említett időszakra vonatkozóan évi 15 600 000 EUR.</w:t>
      </w:r>
    </w:p>
    <w:p>
      <w:pPr>
        <w:pStyle w:val="NumPar1"/>
        <w:rPr>
          <w:noProof/>
        </w:rPr>
      </w:pPr>
      <w:r>
        <w:rPr>
          <w:noProof/>
        </w:rPr>
        <w:t>A pénzügyi hozzájárulás a következőkből áll:</w:t>
      </w:r>
    </w:p>
    <w:p>
      <w:pPr>
        <w:pStyle w:val="Point0letter"/>
        <w:numPr>
          <w:ilvl w:val="1"/>
          <w:numId w:val="49"/>
        </w:numPr>
        <w:rPr>
          <w:noProof/>
        </w:rPr>
      </w:pPr>
      <w:r>
        <w:rPr>
          <w:noProof/>
        </w:rPr>
        <w:t xml:space="preserve">évi 11 600 000 EUR a bissau-guineai halászati övezet halászati erőforrásaihoz való hozzáférés címén; </w:t>
      </w:r>
    </w:p>
    <w:p>
      <w:pPr>
        <w:pStyle w:val="Point0letter"/>
        <w:rPr>
          <w:noProof/>
        </w:rPr>
      </w:pPr>
      <w:r>
        <w:rPr>
          <w:noProof/>
        </w:rPr>
        <w:t xml:space="preserve">évi 4 000 000 EUR-s külön összeg Bissau-Guinea halászati ágazati politikájának támogatására. 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lastRenderedPageBreak/>
        <w:t xml:space="preserve">A megállapodás 4. cikkének alkalmazásában és a II. fejezetben megállapított szabályok szerint kiállított halászati engedélyek címén a hajótulajdonosok által fizetendő díj becsült összege körülbelül 4 millió EUR. 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Az (1) bekezdést e jegyzőkönyv 8., 9., 14., 15. és 16. cikkének rendelkezéseire is figyelemmel kell alkalmazni.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A (2) bekezdés a) és b) pontja szerinti pénzügyi hozzájárulás kifizetését az első évben legkésőbb a jegyzőkönyv ideiglenes alkalmazásának kezdőnapjától számított 90 napon belül, az azt követő években pedig legkésőbb a jegyzőkönyv hatálybalépésének évfordulóját követő 30 napon belül kell teljesíteni.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 xml:space="preserve">A (2) bekezdés a) pontja szerinti pénzügyi hozzájárulás felhasználását illetően a bissau-guineai hatóságok kizárólagos hatáskörrel rendelkeznek. 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 xml:space="preserve">Az e cikkben előírt kifizetéseket a Bissau-Guineai Központi Banknál nyitott egyedi államkincstári számlára kell utalni, amelynek pontos adatait a halászatért felelős minisztérium évente közli. A (2) bekezdés b) pontjában említett, ágazati támogatásra irányuló pénzügyi hozzájárulást egy államkincstári számlára utalva kell Bissau-Guinea rendelkezésére bocsátani. A számlák adatait Bissau-Guinea hatóságai évente közlik az Európai Bizottsággal. </w:t>
      </w:r>
    </w:p>
    <w:p>
      <w:pPr>
        <w:pStyle w:val="Titrearticle"/>
        <w:rPr>
          <w:rFonts w:eastAsia="EUAlbertina-Italic-Identity-H"/>
          <w:b/>
          <w:iCs/>
          <w:noProof/>
        </w:rPr>
      </w:pPr>
      <w:r>
        <w:rPr>
          <w:noProof/>
        </w:rPr>
        <w:t>5. cikk</w:t>
      </w:r>
      <w:bookmarkStart w:id="2" w:name="bookmark5"/>
      <w:r>
        <w:rPr>
          <w:noProof/>
        </w:rPr>
        <w:br/>
      </w:r>
      <w:r>
        <w:rPr>
          <w:b/>
          <w:iCs/>
          <w:noProof/>
        </w:rPr>
        <w:t>Ágazati támogatás</w:t>
      </w:r>
      <w:bookmarkEnd w:id="2"/>
    </w:p>
    <w:p>
      <w:pPr>
        <w:pStyle w:val="NumPar1"/>
        <w:numPr>
          <w:ilvl w:val="0"/>
          <w:numId w:val="23"/>
        </w:numPr>
        <w:rPr>
          <w:noProof/>
        </w:rPr>
      </w:pPr>
      <w:r>
        <w:rPr>
          <w:noProof/>
        </w:rPr>
        <w:t>E jegyzőkönyv vonatkozásában az ágazati támogatás a halászatra és a kék gazdaságra irányuló nemzeti stratégia megvalósítását segíti. Célja a halászati erőforrásokkal való fenntartható gazdálkodás és az ágazat fejlesztése többek között a következők révén:</w:t>
      </w:r>
    </w:p>
    <w:p>
      <w:pPr>
        <w:pStyle w:val="Tiret1"/>
        <w:numPr>
          <w:ilvl w:val="0"/>
          <w:numId w:val="6"/>
        </w:numPr>
        <w:tabs>
          <w:tab w:val="clear" w:pos="1417"/>
          <w:tab w:val="left" w:pos="840"/>
        </w:tabs>
        <w:spacing w:before="0"/>
        <w:ind w:left="851" w:hanging="425"/>
        <w:rPr>
          <w:noProof/>
        </w:rPr>
      </w:pPr>
      <w:r>
        <w:rPr>
          <w:noProof/>
        </w:rPr>
        <w:t>a halászati tevékenységek nyomon követésének, ellenőrzésének és felügyeletének megerősítése (beleértve az ERS üzembe helyezését és működőképessé tételét);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tudományos célú adatgyűjtés és -feldolgozás, valamint a halászati erőforrások és a halászati tevékenység elemzésére és értékelésére való képesség megerősítése;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halászati ágazati szereplők kapacitásainak fejlesztése;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kisüzemi halászat támogatása;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nemzetközi együttműködés megerősítése;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halászati termékek kiviteli feltételeinek javítása és az ágazati beruházások ösztönzése;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halászati szempontból releváns infrastruktúra fejlesztése;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kék gazdaság támogatása és az akvakultúra fejlesztése.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A vegyes bizottság legkésőbb három hónappal e jegyzőkönyv hatálybalépésének vagy adott esetben ideiglenes alkalmazásának időpontját követően többéves ágazati programot fogad el annak alkalmazási szabályaival együtt, ideértve különösen a következőket:</w:t>
      </w:r>
    </w:p>
    <w:p>
      <w:pPr>
        <w:pStyle w:val="Point0letter"/>
        <w:numPr>
          <w:ilvl w:val="1"/>
          <w:numId w:val="24"/>
        </w:numPr>
        <w:rPr>
          <w:noProof/>
        </w:rPr>
      </w:pPr>
      <w:r>
        <w:rPr>
          <w:noProof/>
        </w:rPr>
        <w:t>éves és többéves irányvonalak, amelyek alapján a 4. cikk (2) bekezdésének b) pontjában előírt pénzügyi hozzájárulás felhasználásra kerül;</w:t>
      </w:r>
    </w:p>
    <w:p>
      <w:pPr>
        <w:pStyle w:val="Point0letter"/>
        <w:rPr>
          <w:noProof/>
        </w:rPr>
      </w:pPr>
      <w:r>
        <w:rPr>
          <w:noProof/>
        </w:rPr>
        <w:t xml:space="preserve">évenkénti, illetve többéves célkitűzések, melyek célja a fenntartható és felelősségteljes halászat támogatása, különös tekintettel a Bissau-Guinea által a nemzeti halászati vagy más vonatkozó politika keretében meghatározott prioritásokra, például a kisüzemi halászat támogatása, a felügyelet, az ellenőrzés, valamint a jogellenes, be nem jelentett és szabályozatlan halászat elleni küzdelem területén, valamint Bissau-Guineának a </w:t>
      </w:r>
      <w:r>
        <w:rPr>
          <w:noProof/>
        </w:rPr>
        <w:lastRenderedPageBreak/>
        <w:t>halászati ágazattal kapcsolatos tudományos kapacitásai fejlesztésével összefüggő prioritásokra.</w:t>
      </w:r>
    </w:p>
    <w:p>
      <w:pPr>
        <w:pStyle w:val="Point0letter"/>
        <w:rPr>
          <w:noProof/>
        </w:rPr>
      </w:pPr>
      <w:r>
        <w:rPr>
          <w:noProof/>
        </w:rPr>
        <w:t>az évente elért eredmények értékelésére szolgáló kritériumok és eljárások, adott esetben beleértve bizonyos költségvetési és pénzügyi mutatókat is.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A többéves ágazati program bármely javasolt módosítását a vegyes bizottság keretében mindkét Félnek jóvá kell hagynia.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 xml:space="preserve">Bissau-Guinea minden évben jelentést nyújt be az ágazati támogatás finanszírozásával zajló projektek megvalósításáról, melyet a vegyes bizottság megvizsgál. A jegyzőkönyv lejárta előtt Bissau-Guinea egy zárójelentést is készít. 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Amennyiben nem kerül sor a pénzügyi hozzájárulás végrehajtására, vagy ha a vegyes bizottság vizsgálati eredményei nem felelnek meg a programban foglaltaknak, az Európai Unió felülvizsgálhatja, illetve teljesen vagy részlegesen felfüggesztheti az e jegyzőkönyv 4. cikke (2) bekezdésének b) pontjában előírt külön pénzügyi hozzájárulás folyósítását.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 xml:space="preserve">A pénzügyi hozzájárulás folyósítása a két Fél közötti konzultációt és megállapodást követően folytatódik, amint a végrehajtási eredmények indokolják. Mindazonáltal e pénzügyi hozzájárulás folyósítása a jegyzőkönyv lejártát követő hat hónapos időszak után már nem teljesíthető. 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A Felek gondoskodnak az ágazati támogatással finanszírozott műveletek átláthatóságáról.</w:t>
      </w:r>
    </w:p>
    <w:p>
      <w:pPr>
        <w:pStyle w:val="Titrearticle"/>
        <w:rPr>
          <w:rFonts w:eastAsia="EUAlbertina-Bold-Identity-H"/>
          <w:b/>
          <w:bCs/>
          <w:noProof/>
        </w:rPr>
      </w:pPr>
      <w:r>
        <w:rPr>
          <w:noProof/>
        </w:rPr>
        <w:t>6. cikk</w:t>
      </w:r>
      <w:r>
        <w:rPr>
          <w:noProof/>
        </w:rPr>
        <w:br/>
      </w:r>
      <w:r>
        <w:rPr>
          <w:b/>
          <w:noProof/>
        </w:rPr>
        <w:t>Tudományos együttműködés a felelősségteljes halászatért</w:t>
      </w:r>
      <w:r>
        <w:rPr>
          <w:noProof/>
        </w:rPr>
        <w:t xml:space="preserve"> </w:t>
      </w:r>
    </w:p>
    <w:p>
      <w:pPr>
        <w:pStyle w:val="NumPar1"/>
        <w:numPr>
          <w:ilvl w:val="0"/>
          <w:numId w:val="25"/>
        </w:numPr>
        <w:rPr>
          <w:noProof/>
        </w:rPr>
      </w:pPr>
      <w:r>
        <w:rPr>
          <w:noProof/>
        </w:rPr>
        <w:t>A két Fél vállalja, hogy a bissau-guineai halászati övezetben tevékenységet folytató különböző flották közötti hátrányos megkülönböztetés tilalmának elve alapján, valamint a halászati erőforrásokkal és a tengeri ökoszisztémákkal folytatott fenntartható gazdálkodás figyelembevételével a szóban forgó vizeken előmozdítja a felelősségteljes halászatot, valamint küzd a jogellenes, be nem jelentett és szabályozatlan halászat ellen.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 xml:space="preserve">E jegyzőkönyv alkalmazási időszaka alatt az Európai Unió és Bissau-Guinea egymással együttműködve figyelemmel kísérik a bissau-guineai halászati övezet erőforrásainak állapotát és az ott folytatott halászat alakulását. 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A két Fél vállalja, hogy előmozdítja az Atlanti Tonhal Védelmére Létrehozott Nemzetközi Bizottság (ICCAT) és a Kelet-közép-atlanti Halászati Bizottság (CECAF) ajánlásainak tiszteletben tartását csakúgy, mint a szubregionális halászati bizottság (SRFC) keretében megvalósuló, a halászat felelősségteljes irányítását célzó szubregionális együttműködést.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 xml:space="preserve">A két Fél a vegyes bizottság keretében konzultál egymással annak érdekében, hogy – szükség esetén és közös megegyezéssel – a halászati erőforrások fenntartható kezelését célzó új intézkedések kerüljenek elfogadásra. </w:t>
      </w:r>
    </w:p>
    <w:p>
      <w:pPr>
        <w:pStyle w:val="Titrearticle"/>
        <w:rPr>
          <w:b/>
          <w:noProof/>
        </w:rPr>
      </w:pPr>
      <w:r>
        <w:rPr>
          <w:noProof/>
        </w:rPr>
        <w:t>7. cikk</w:t>
      </w:r>
      <w:r>
        <w:rPr>
          <w:noProof/>
        </w:rPr>
        <w:br/>
      </w:r>
      <w:r>
        <w:rPr>
          <w:b/>
          <w:noProof/>
        </w:rPr>
        <w:t>Közös tudományos bizottság</w:t>
      </w:r>
    </w:p>
    <w:p>
      <w:pPr>
        <w:pStyle w:val="NumPar1"/>
        <w:numPr>
          <w:ilvl w:val="0"/>
          <w:numId w:val="26"/>
        </w:numPr>
        <w:rPr>
          <w:noProof/>
        </w:rPr>
      </w:pPr>
      <w:r>
        <w:rPr>
          <w:noProof/>
        </w:rPr>
        <w:t xml:space="preserve">A közös tudományos bizottságot kutatók alkotják, akiket a két Fél egyenlő arányban nevez ki. A közös tudományos bizottság a két Fél egyetértésével kiegészülhet megfigyelőkkel, különösen a regionális halászati gazdálkodási szervezetek – például a CECAF – képviselőivel. 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lastRenderedPageBreak/>
        <w:t>A halászati partnerségi megállapodás 4. cikkének (1) bekezdésével összhangban a közös tudományos bizottság évente legalább egyszer ülésezik. Az üléseket főszabályként felváltva Bissau-Guineában és az Európai Unióban kell megtartani. Bármelyik Fél kérésére más ülések is összehívhatók. Az üléseken a két Fél felváltva elnököl.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A közös tudományos bizottság hatásköre elsősorban a következő tevékenységekre terjed ki:</w:t>
      </w:r>
    </w:p>
    <w:p>
      <w:pPr>
        <w:pStyle w:val="Point0letter"/>
        <w:numPr>
          <w:ilvl w:val="1"/>
          <w:numId w:val="27"/>
        </w:numPr>
        <w:rPr>
          <w:noProof/>
        </w:rPr>
      </w:pPr>
      <w:r>
        <w:rPr>
          <w:noProof/>
        </w:rPr>
        <w:t xml:space="preserve">a bissau-guineai halászati övezetben az e jegyzőkönyv hatálya alá tartozó fajokra halászó nemzeti és külföldi flották halászati erőkifejtésére és fogásaira vonatkozó adatok összegyűjtése; </w:t>
      </w:r>
    </w:p>
    <w:p>
      <w:pPr>
        <w:pStyle w:val="Point0letter"/>
        <w:rPr>
          <w:noProof/>
        </w:rPr>
      </w:pPr>
      <w:r>
        <w:rPr>
          <w:noProof/>
        </w:rPr>
        <w:t>az állományfelmérés folyamatának részét képező olyan éves felmérések előterjesztése, nyomon követése és elemzése, amelyek lehetővé teszik a halászati lehetőségek megállapítását, valamint olyan kiaknázási lehetőségek kiválasztását, amelyek biztosítják az erőforrások és az ökoszisztéma védelmét;</w:t>
      </w:r>
    </w:p>
    <w:p>
      <w:pPr>
        <w:pStyle w:val="Point0letter"/>
        <w:rPr>
          <w:noProof/>
        </w:rPr>
      </w:pPr>
      <w:r>
        <w:rPr>
          <w:noProof/>
        </w:rPr>
        <w:t>a fentiek alapján egy éves tudományos jelentés összeállítása az e megállapodás hatálya alá tartozó halászati tevékenységekről;</w:t>
      </w:r>
    </w:p>
    <w:p>
      <w:pPr>
        <w:pStyle w:val="Point0letter"/>
        <w:rPr>
          <w:noProof/>
        </w:rPr>
      </w:pPr>
      <w:r>
        <w:rPr>
          <w:noProof/>
        </w:rPr>
        <w:t>saját kezdeményezésre, illetve a vegyes bizottság vagy az egyik Fél kérésére tudományos szakvélemény készítése olyan gazdálkodási intézkedésekről, amelyeket szükségesnek ítélnek az e jegyzőkönyv hatálya alá tartozó állományok és halászati területek fenntartható kiaknázásához.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Az ICCAT keretében elfogadott ajánlások és határozatok alapján, valamint a rendelkezésre álló legmérvadóbb tudományos szakvélemények, például a CECAF szakvéleményei és adott esetben a közös tudományos munkacsoport ülésein megfogalmazott következtetések fényében a vegyes bizottság az e jegyzőkönyv hatálya alá tartozó halfajokkal való fenntartható gazdálkodást célzó és az uniós halászhajók tevékenységét érintő intézkedéseket hoz.</w:t>
      </w:r>
    </w:p>
    <w:p>
      <w:pPr>
        <w:pStyle w:val="Titrearticle"/>
        <w:rPr>
          <w:b/>
          <w:noProof/>
        </w:rPr>
      </w:pPr>
      <w:r>
        <w:rPr>
          <w:noProof/>
        </w:rPr>
        <w:t>8. cikk</w:t>
      </w:r>
      <w:r>
        <w:rPr>
          <w:noProof/>
        </w:rPr>
        <w:br/>
      </w:r>
      <w:r>
        <w:rPr>
          <w:b/>
          <w:noProof/>
        </w:rPr>
        <w:t>A halászati lehetőségek és a technikai intézkedések felülvizsgálata</w:t>
      </w:r>
    </w:p>
    <w:p>
      <w:pPr>
        <w:pStyle w:val="NumPar1"/>
        <w:numPr>
          <w:ilvl w:val="0"/>
          <w:numId w:val="28"/>
        </w:numPr>
        <w:rPr>
          <w:noProof/>
        </w:rPr>
      </w:pPr>
      <w:r>
        <w:rPr>
          <w:noProof/>
        </w:rPr>
        <w:t xml:space="preserve">Ha Bissau-Guinea a közös tudományos bizottság szakvéleménye alapján úgy határoz, hogy az erőforrások védelme érdekében egy halászati tevékenységre vonatkozóan területi vagy időszakos tilalmat vezet be, a vegyes bizottság összeül a döntést megalapozó adatok elemzésére, annak értékelésére, hogy a tilalom milyen hatást gyakorol az uniós hajók e jegyzőkönyv keretében végzett tevékenységére, valamint az esetleges korrekciós intézkedések meghozatalára. 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 xml:space="preserve">Az (1) bekezdés szerinti esetekben a vegyes bizottság megállapodik az Európai Unió által a megállapodás értelmében fizetendő pénzügyi hozzájárulás arányos csökkentéséről és – adott esetben – a hajótulajdonosoknak felajánlható kompenzációról. 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A Bissau-Guinea által bármely halászati tevékenység tekintetében tudományos szakvélemény alapján bevezetett tilalom a szóban forgó halászatban részt vevő valamennyi hajóra hátrányos megkülönböztetés nélkül alkalmazandó, beleértve mind a nemzeti, mind a harmadik országok lobogója alatt közlekedő hajókat.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 xml:space="preserve">Az 1. cikkben előírt halászati lehetőségek a vegyes bizottság keretében, a közös tudományos bizottság ajánlása alapján közös megegyezéssel felülvizsgálhatók. Ilyen esetben a 4. cikk (2) bekezdésének a) pontja szerinti pénzügyi hozzájárulást arányosan </w:t>
      </w:r>
      <w:r>
        <w:rPr>
          <w:noProof/>
        </w:rPr>
        <w:lastRenderedPageBreak/>
        <w:t xml:space="preserve">és időarányosan ki kell igazítani, továbbá a szükséges módosításokat be kell építeni e jegyzőkönyvbe és annak mellékletébe. 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A vegyes bizottság szükség esetén megvizsgálhatja és közös megegyezéssel módosíthatja a halászati tevékenységek végzésének feltételeire vonatkozó rendelkezéseket, valamint e jegyzőkönyv és mellékletei alkalmazásának, köztük az ágazati támogatás nyomon követésének szabályait.</w:t>
      </w:r>
    </w:p>
    <w:p>
      <w:pPr>
        <w:pStyle w:val="Titrearticle"/>
        <w:rPr>
          <w:b/>
          <w:noProof/>
        </w:rPr>
      </w:pPr>
      <w:r>
        <w:rPr>
          <w:noProof/>
        </w:rPr>
        <w:t>9. cikk</w:t>
      </w:r>
      <w:r>
        <w:rPr>
          <w:noProof/>
        </w:rPr>
        <w:br/>
      </w:r>
      <w:r>
        <w:rPr>
          <w:b/>
          <w:noProof/>
        </w:rPr>
        <w:t>Felderítő halászat és új halászati lehetőségek</w:t>
      </w:r>
    </w:p>
    <w:p>
      <w:pPr>
        <w:pStyle w:val="NumPar1"/>
        <w:numPr>
          <w:ilvl w:val="0"/>
          <w:numId w:val="29"/>
        </w:numPr>
        <w:rPr>
          <w:noProof/>
        </w:rPr>
      </w:pPr>
      <w:r>
        <w:rPr>
          <w:noProof/>
        </w:rPr>
        <w:t xml:space="preserve">Abban az esetben, ha az európai uniós hajók az 1. cikkben nem említett halászati tevékenységet kívánnak folytatni, valamint új halászati tevékenységek műszaki kivitelezhetőségének és gazdasági megtérülésének kivizsgálása érdekében a bissau-guineai hatályos szabályozásban előírt feltételeknek megfelelően engedély adható az ilyen tevékenységek kísérleti jellegű végzésére. A felderítő halászatot – amennyire csak lehetséges – a rendelkezésre álló helyi tudományos és műszaki szakértelem igénybevételével kell végezni. A felderítő halászati utak célja új halászati területek és tevékenységek műszaki kivitelezhetőségének és gazdasági megtérülésének vizsgálata. </w:t>
      </w:r>
    </w:p>
    <w:p>
      <w:pPr>
        <w:pStyle w:val="NumPar1"/>
        <w:rPr>
          <w:noProof/>
        </w:rPr>
      </w:pPr>
      <w:r>
        <w:rPr>
          <w:noProof/>
        </w:rPr>
        <w:t>A felderítő halászatra vonatkozó engedély iránti kérelmekről az Európai Bizottság tájékoztatja a bissau-guineai hatóságokat egy műszaki dokumentáció alapján, amelynek meg kell határoznia:</w:t>
      </w:r>
    </w:p>
    <w:p>
      <w:pPr>
        <w:pStyle w:val="Point0letter"/>
        <w:numPr>
          <w:ilvl w:val="1"/>
          <w:numId w:val="30"/>
        </w:numPr>
        <w:rPr>
          <w:noProof/>
        </w:rPr>
      </w:pPr>
      <w:r>
        <w:rPr>
          <w:noProof/>
        </w:rPr>
        <w:t>a célfajokat;</w:t>
      </w:r>
    </w:p>
    <w:p>
      <w:pPr>
        <w:pStyle w:val="Point0letter"/>
        <w:rPr>
          <w:noProof/>
        </w:rPr>
      </w:pPr>
      <w:r>
        <w:rPr>
          <w:noProof/>
        </w:rPr>
        <w:t>a hajó műszaki jellemzőit;</w:t>
      </w:r>
    </w:p>
    <w:p>
      <w:pPr>
        <w:pStyle w:val="Point0letter"/>
        <w:rPr>
          <w:noProof/>
        </w:rPr>
      </w:pPr>
      <w:r>
        <w:rPr>
          <w:noProof/>
        </w:rPr>
        <w:t>a hajón szolgáló tisztek tapasztalatát az érintett halászati tevékenységek vonatkozásában;</w:t>
      </w:r>
    </w:p>
    <w:p>
      <w:pPr>
        <w:pStyle w:val="Point0letter"/>
        <w:rPr>
          <w:rFonts w:eastAsia="EUAlbertina-Regular-Identity-H"/>
          <w:noProof/>
        </w:rPr>
      </w:pPr>
      <w:r>
        <w:rPr>
          <w:noProof/>
        </w:rPr>
        <w:t>a halászati út technikai adataira vonatkozó javaslatot (időtartam, halászeszköz, felderítendő térségek stb.);</w:t>
      </w:r>
    </w:p>
    <w:p>
      <w:pPr>
        <w:pStyle w:val="Point0letter"/>
        <w:rPr>
          <w:noProof/>
        </w:rPr>
      </w:pPr>
      <w:r>
        <w:rPr>
          <w:noProof/>
        </w:rPr>
        <w:t>azon gyűjtendő adatok típusát, amelyek a szóban forgó tevékenységek erőforrásokra és ökoszisztémákra gyakorolt hatásának tudományos nyomon követéséhez szükségesek.</w:t>
      </w:r>
    </w:p>
    <w:p>
      <w:pPr>
        <w:pStyle w:val="NumPar1"/>
        <w:rPr>
          <w:rFonts w:eastAsia="EUAlbertina-Regular-Identity-H"/>
          <w:noProof/>
          <w:szCs w:val="24"/>
        </w:rPr>
      </w:pPr>
      <w:r>
        <w:rPr>
          <w:noProof/>
        </w:rPr>
        <w:t xml:space="preserve">A felderítő halászatra vonatkozó engedélyek legfeljebb hat hónapos időszakra adhatók meg. Előfeltételük a bissau-guineai hatóságok által megállapított díj kifizetése. </w:t>
      </w:r>
    </w:p>
    <w:p>
      <w:pPr>
        <w:pStyle w:val="NumPar1"/>
        <w:rPr>
          <w:rFonts w:eastAsia="EUAlbertina-Regular-Identity-H"/>
          <w:noProof/>
          <w:szCs w:val="24"/>
        </w:rPr>
      </w:pPr>
      <w:r>
        <w:rPr>
          <w:noProof/>
        </w:rPr>
        <w:t>A lobogó szerinti tagállam egy tudományos megfigyelőjének és egy, a bissau-guineai hatóságok által kiválasztott megfigyelőnek az út egész ideje alatt a fedélzeten kell tartózkodnia.</w:t>
      </w:r>
    </w:p>
    <w:p>
      <w:pPr>
        <w:pStyle w:val="NumPar1"/>
        <w:rPr>
          <w:rFonts w:eastAsia="EUAlbertina-Regular-Identity-H"/>
          <w:noProof/>
          <w:szCs w:val="24"/>
        </w:rPr>
      </w:pPr>
      <w:r>
        <w:rPr>
          <w:noProof/>
        </w:rPr>
        <w:t>A felderítő halászati út során ejthető fogások mennyiségét a bissau-guineai hatóságok határozzák meg. A felderítő úton fogott zsákmány a hajótulajdonos tulajdonában marad. Nem tarthatók a fedélzeten, illetőleg nem értékesíthetők olyan halak, amelyek mérete nem felel meg a hatályos bissau-guineai szabályozásban előírtaknak, vagy amelyek halászatát tiltják a hatályos bissau-guineai jogszabályok.</w:t>
      </w:r>
    </w:p>
    <w:p>
      <w:pPr>
        <w:pStyle w:val="NumPar1"/>
        <w:rPr>
          <w:rFonts w:eastAsia="EUAlbertina-Regular-Identity-H"/>
          <w:noProof/>
          <w:szCs w:val="24"/>
        </w:rPr>
      </w:pPr>
      <w:r>
        <w:rPr>
          <w:noProof/>
        </w:rPr>
        <w:t xml:space="preserve">A felderítő halászati utak részletes eredményeit elemzés céljából közölni kell a vegyes bizottsággal és a közös tudományos bizottsággal. </w:t>
      </w:r>
    </w:p>
    <w:p>
      <w:pPr>
        <w:pStyle w:val="NumPar1"/>
        <w:rPr>
          <w:rFonts w:eastAsia="EUAlbertina-Regular-Identity-H"/>
          <w:noProof/>
          <w:szCs w:val="24"/>
        </w:rPr>
      </w:pPr>
      <w:r>
        <w:rPr>
          <w:noProof/>
        </w:rPr>
        <w:t xml:space="preserve">Abban az esetben, ha az európai uniós halászhajók az 1. cikkben nem említett halászati tevékenységet kívánnak végezni, a Felek konzultálnak a közös tudományos bizottsággal. A Felek megállapodnak az ilyen új halászati lehetőségekre vonatkozó feltételekről, és érvényessége lejártáig módosítják e jegyzőkönyvet és annak mellékletét. A jegyzőkönyv 4. cikke (2) bekezdésének a) pontjában említett pénzügyi hozzájárulás összegét ebben az esetben növelni kell. A hajótulajdonosok által fizetendő </w:t>
      </w:r>
      <w:r>
        <w:rPr>
          <w:noProof/>
        </w:rPr>
        <w:lastRenderedPageBreak/>
        <w:t>díjakat és a mellékletben meghatározott feltételeket is ennek megfelelően módosítani kell.</w:t>
      </w:r>
    </w:p>
    <w:p>
      <w:pPr>
        <w:pStyle w:val="Titrearticle"/>
        <w:rPr>
          <w:rFonts w:eastAsia="EUAlbertina-Bold-Identity-H"/>
          <w:b/>
          <w:bCs/>
          <w:noProof/>
        </w:rPr>
      </w:pPr>
      <w:r>
        <w:rPr>
          <w:noProof/>
        </w:rPr>
        <w:t>10. cikk</w:t>
      </w:r>
      <w:r>
        <w:rPr>
          <w:noProof/>
        </w:rPr>
        <w:br/>
      </w:r>
      <w:r>
        <w:rPr>
          <w:b/>
          <w:noProof/>
        </w:rPr>
        <w:t>Az európai uniós szereplők gazdasági integrálódása a bissau-guineai halászati ágazatba</w:t>
      </w:r>
    </w:p>
    <w:p>
      <w:pPr>
        <w:pStyle w:val="NumPar1"/>
        <w:numPr>
          <w:ilvl w:val="0"/>
          <w:numId w:val="31"/>
        </w:numPr>
        <w:rPr>
          <w:noProof/>
        </w:rPr>
      </w:pPr>
      <w:r>
        <w:rPr>
          <w:noProof/>
        </w:rPr>
        <w:t>A két Fél vállalja, hogy előmozdítja az európai uniós szereplőknek a bissau-guineai halászati ágazat egészébe való gazdasági integrálódását, különösen vegyes vállalkozások létrehozása és infrastruktúrák megvalósítása tekintetében.</w:t>
      </w:r>
    </w:p>
    <w:p>
      <w:pPr>
        <w:pStyle w:val="NumPar1"/>
        <w:rPr>
          <w:noProof/>
        </w:rPr>
      </w:pPr>
      <w:r>
        <w:rPr>
          <w:noProof/>
        </w:rPr>
        <w:t>A két Fél együttműködik annak érdekében, hogy az európai uniós magánszereplők figyelmét felhívják a bissau-guineai halászati ágazat egészében rejlő kereskedelmi és ipari lehetőségekre, különösen a közvetlen beruházások vonatkozásában.</w:t>
      </w:r>
    </w:p>
    <w:p>
      <w:pPr>
        <w:pStyle w:val="NumPar1"/>
        <w:rPr>
          <w:noProof/>
        </w:rPr>
      </w:pPr>
      <w:r>
        <w:rPr>
          <w:noProof/>
        </w:rPr>
        <w:t xml:space="preserve">E célból Bissau-Guinea ösztönzést nyújthat az ilyen beruházásokat vállaló gazdasági szereplőknek. </w:t>
      </w:r>
    </w:p>
    <w:p>
      <w:pPr>
        <w:pStyle w:val="NumPar1"/>
        <w:rPr>
          <w:noProof/>
        </w:rPr>
      </w:pPr>
      <w:r>
        <w:rPr>
          <w:noProof/>
        </w:rPr>
        <w:t>A két Fél együttműködik a tervezett intézkedések vagy projektek végrehajtásához szükséges beruházási lehetőségek és finanszírozási eszközök meghatározásában is.</w:t>
      </w:r>
    </w:p>
    <w:p>
      <w:pPr>
        <w:pStyle w:val="NumPar1"/>
        <w:rPr>
          <w:noProof/>
        </w:rPr>
      </w:pPr>
      <w:r>
        <w:rPr>
          <w:noProof/>
        </w:rPr>
        <w:t xml:space="preserve">A vegyes bizottság évente jelentést tesz e cikk végrehajtásáról. </w:t>
      </w:r>
    </w:p>
    <w:p>
      <w:pPr>
        <w:pStyle w:val="Titrearticle"/>
        <w:rPr>
          <w:b/>
          <w:noProof/>
        </w:rPr>
      </w:pPr>
      <w:r>
        <w:rPr>
          <w:noProof/>
        </w:rPr>
        <w:t>11. cikk</w:t>
      </w:r>
      <w:r>
        <w:rPr>
          <w:noProof/>
        </w:rPr>
        <w:br/>
      </w:r>
      <w:r>
        <w:rPr>
          <w:b/>
          <w:noProof/>
        </w:rPr>
        <w:t xml:space="preserve">Információcsere </w:t>
      </w:r>
    </w:p>
    <w:p>
      <w:pPr>
        <w:pStyle w:val="NumPar1"/>
        <w:numPr>
          <w:ilvl w:val="0"/>
          <w:numId w:val="32"/>
        </w:numPr>
        <w:rPr>
          <w:noProof/>
        </w:rPr>
      </w:pPr>
      <w:r>
        <w:rPr>
          <w:noProof/>
        </w:rPr>
        <w:t xml:space="preserve">A Felek vállalják, hogy a jegyzőkönyv végrehajtásával kapcsolatos információk és dokumentumok egymással való megosztásához az elektronikus rendszereket részesítik előnyben. </w:t>
      </w:r>
    </w:p>
    <w:p>
      <w:pPr>
        <w:pStyle w:val="NumPar1"/>
        <w:numPr>
          <w:ilvl w:val="0"/>
          <w:numId w:val="32"/>
        </w:numPr>
        <w:rPr>
          <w:noProof/>
        </w:rPr>
      </w:pPr>
      <w:r>
        <w:rPr>
          <w:noProof/>
        </w:rPr>
        <w:t>Az e jegyzőkönyvben előírt dokumentumok elektronikus változata minden tekintetben egyenértékűnek tekintendő a dokumentumok papírváltozatával.</w:t>
      </w:r>
    </w:p>
    <w:p>
      <w:pPr>
        <w:pStyle w:val="NumPar1"/>
        <w:numPr>
          <w:ilvl w:val="0"/>
          <w:numId w:val="32"/>
        </w:numPr>
        <w:rPr>
          <w:noProof/>
        </w:rPr>
      </w:pPr>
      <w:r>
        <w:rPr>
          <w:noProof/>
        </w:rPr>
        <w:t>A Felek haladéktalanul tájékoztatják egymást számítógépes rendszereik bárminemű meghibásodásáról. Ilyen esetben automatikusan a megállapodás végrehajtásához kapcsolódó valamennyi információ és dokumentum papírváltozatát kell használni a mellékletben megállapított szabályok szerint.</w:t>
      </w:r>
    </w:p>
    <w:p>
      <w:pPr>
        <w:pStyle w:val="Titrearticle"/>
        <w:rPr>
          <w:b/>
          <w:noProof/>
        </w:rPr>
      </w:pPr>
      <w:r>
        <w:rPr>
          <w:noProof/>
        </w:rPr>
        <w:t>12. cikk</w:t>
      </w:r>
      <w:r>
        <w:rPr>
          <w:noProof/>
        </w:rPr>
        <w:br/>
      </w:r>
      <w:r>
        <w:rPr>
          <w:b/>
          <w:noProof/>
        </w:rPr>
        <w:t>Adatvédelem</w:t>
      </w:r>
    </w:p>
    <w:p>
      <w:pPr>
        <w:pStyle w:val="NumPar1"/>
        <w:numPr>
          <w:ilvl w:val="0"/>
          <w:numId w:val="33"/>
        </w:numPr>
        <w:rPr>
          <w:noProof/>
        </w:rPr>
      </w:pPr>
      <w:r>
        <w:rPr>
          <w:noProof/>
        </w:rPr>
        <w:t>A Felek vállalják, hogy a megállapodás alkalmazása során kapott, az európai uniós hajókkal és azok halászati tevékenységével összefüggő név szerinti adatokat mindenkor a titoktartási és adatvédelmi rendelkezések maradéktalan tiszteletben tartása mellett kezelik.</w:t>
      </w:r>
    </w:p>
    <w:p>
      <w:pPr>
        <w:pStyle w:val="NumPar1"/>
        <w:numPr>
          <w:ilvl w:val="0"/>
          <w:numId w:val="33"/>
        </w:numPr>
        <w:rPr>
          <w:noProof/>
        </w:rPr>
      </w:pPr>
      <w:r>
        <w:rPr>
          <w:noProof/>
        </w:rPr>
        <w:t xml:space="preserve">A Felek gondoskodnak arról, hogy az uniós flotta által a bissau-guineai halászati övezetben folytatott halászati tevékenységekre vonatkozóan csupán összesített adatokat hoznak nyilvánosságra, az ICCAT és más regionális és szubregionális halászati gazdálkodási szervezetek idevágó rendelkezéseinek megfelelően. </w:t>
      </w:r>
    </w:p>
    <w:p>
      <w:pPr>
        <w:pStyle w:val="NumPar1"/>
        <w:numPr>
          <w:ilvl w:val="0"/>
          <w:numId w:val="33"/>
        </w:numPr>
        <w:rPr>
          <w:noProof/>
        </w:rPr>
      </w:pPr>
      <w:r>
        <w:rPr>
          <w:noProof/>
        </w:rPr>
        <w:t>Azokat az adatokat, amelyek esetleg bizalmasnak minősülhetnek, az illetékes hatóságok kizárólag a megállapodás végrehajtása érdekében, valamint a halászati gazdálkodás, a nyomon követés, az ellenőrzés és a felügyelet céljára használhatják fel.</w:t>
      </w:r>
    </w:p>
    <w:p>
      <w:pPr>
        <w:pStyle w:val="NumPar1"/>
        <w:numPr>
          <w:ilvl w:val="0"/>
          <w:numId w:val="33"/>
        </w:numPr>
        <w:rPr>
          <w:noProof/>
        </w:rPr>
      </w:pPr>
      <w:r>
        <w:rPr>
          <w:noProof/>
        </w:rPr>
        <w:t>Az Európai Unió által továbbított személyes adatok tekintetében a vegyes bizottság az általános adatvédelmi rendelettel összhangban megfelelő biztosítékokat és jogorvoslati eszközöket állapíthat meg.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lastRenderedPageBreak/>
        <w:t>13. cikk</w:t>
      </w:r>
      <w:r>
        <w:rPr>
          <w:noProof/>
        </w:rPr>
        <w:br/>
      </w:r>
      <w:r>
        <w:rPr>
          <w:b/>
          <w:noProof/>
        </w:rPr>
        <w:t>Alkalmazandó jog</w:t>
      </w:r>
    </w:p>
    <w:p>
      <w:pPr>
        <w:pStyle w:val="NumPar1"/>
        <w:numPr>
          <w:ilvl w:val="0"/>
          <w:numId w:val="34"/>
        </w:numPr>
        <w:rPr>
          <w:noProof/>
        </w:rPr>
      </w:pPr>
      <w:r>
        <w:rPr>
          <w:noProof/>
        </w:rPr>
        <w:t xml:space="preserve">A bissau-guineai vizeken halászó uniós halászhajók tevékenységeire a Bissau-Guineában alkalmazandó jogszabályok az irányadók, hacsak a halászati partnerségi megállapodás, e jegyzőkönyv, valamint annak melléklete és függelékei erről másképpen nem rendelkeznek. </w:t>
      </w:r>
    </w:p>
    <w:p>
      <w:pPr>
        <w:pStyle w:val="NumPar1"/>
        <w:numPr>
          <w:ilvl w:val="0"/>
          <w:numId w:val="34"/>
        </w:numPr>
        <w:rPr>
          <w:noProof/>
        </w:rPr>
      </w:pPr>
      <w:r>
        <w:rPr>
          <w:noProof/>
        </w:rPr>
        <w:t>A Felek a szakpolitikájukban és halászati jogszabályaikban bekövetkező mindennemű változásról írásban értesítik egymást. Ezek a halászati tevékenységekre nézve technikai jellegű hatással járó jogszabályváltozások a hivatalos értesítéstől számított három hónap elteltével alkalmazandók az európai uniós hajókra.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14. cikk</w:t>
      </w:r>
      <w:r>
        <w:rPr>
          <w:noProof/>
        </w:rPr>
        <w:br/>
      </w:r>
      <w:r>
        <w:rPr>
          <w:b/>
          <w:noProof/>
        </w:rPr>
        <w:t>A jegyzőkönyv végrehajtásának felfüggesztése</w:t>
      </w:r>
    </w:p>
    <w:p>
      <w:pPr>
        <w:pStyle w:val="NumPar1"/>
        <w:numPr>
          <w:ilvl w:val="0"/>
          <w:numId w:val="35"/>
        </w:numPr>
        <w:rPr>
          <w:noProof/>
        </w:rPr>
      </w:pPr>
      <w:r>
        <w:rPr>
          <w:noProof/>
        </w:rPr>
        <w:t>A jegyzőkönyv végrehajtása, és azon belül a 4. cikk (2) bekezdésének a) és b) pontja szerinti pénzügyi hozzájárulás kifizetése – a vegyes bizottság keretében folytatott konzultációt követően – felfüggeszthető, ha az alábbi feltételek közül egy vagy több fennáll:</w:t>
      </w:r>
    </w:p>
    <w:p>
      <w:pPr>
        <w:pStyle w:val="Point0letter"/>
        <w:numPr>
          <w:ilvl w:val="1"/>
          <w:numId w:val="36"/>
        </w:numPr>
        <w:rPr>
          <w:noProof/>
        </w:rPr>
      </w:pPr>
      <w:r>
        <w:rPr>
          <w:noProof/>
        </w:rPr>
        <w:t>természeti jelenségektől eltérő rendkívüli körülmények megakadályozzák a halászati tevékenységek végzését a bissau-guineai halászati övezetben;</w:t>
      </w:r>
    </w:p>
    <w:p>
      <w:pPr>
        <w:pStyle w:val="Point0letter"/>
        <w:numPr>
          <w:ilvl w:val="1"/>
          <w:numId w:val="36"/>
        </w:numPr>
        <w:rPr>
          <w:noProof/>
        </w:rPr>
      </w:pPr>
      <w:r>
        <w:rPr>
          <w:noProof/>
        </w:rPr>
        <w:t>egyik vagy másik Fél halászati politikájának meghatározásában vagy végrehajtásában jelentős változások állnak be, amelyek hatással vannak e jegyzőkönyv rendelkezéseire;</w:t>
      </w:r>
    </w:p>
    <w:p>
      <w:pPr>
        <w:pStyle w:val="Point0letter"/>
        <w:numPr>
          <w:ilvl w:val="1"/>
          <w:numId w:val="36"/>
        </w:numPr>
        <w:rPr>
          <w:noProof/>
        </w:rPr>
      </w:pPr>
      <w:r>
        <w:rPr>
          <w:noProof/>
        </w:rPr>
        <w:t>életbe lépnek a Cotonoui Megállapodás 96. cikkében előírt emberi jogok lényeges és alapvető elemeinek megsértésével összefüggésben megkezdett, az említett megállapodás 9. cikke szerinti konzultációs mechanizmusok;</w:t>
      </w:r>
    </w:p>
    <w:p>
      <w:pPr>
        <w:pStyle w:val="Point0letter"/>
        <w:numPr>
          <w:ilvl w:val="1"/>
          <w:numId w:val="36"/>
        </w:numPr>
        <w:rPr>
          <w:noProof/>
        </w:rPr>
      </w:pPr>
      <w:r>
        <w:rPr>
          <w:noProof/>
        </w:rPr>
        <w:t xml:space="preserve">az Európai Unió a 4. cikk (2) bekezdésének a) pontja szerinti pénzügyi hozzájárulás kifizetését az e bekezdés c) pontjában leírtaktól eltérő okból nem teljesíti; </w:t>
      </w:r>
    </w:p>
    <w:p>
      <w:pPr>
        <w:pStyle w:val="Point0letter"/>
        <w:numPr>
          <w:ilvl w:val="1"/>
          <w:numId w:val="36"/>
        </w:numPr>
        <w:rPr>
          <w:noProof/>
        </w:rPr>
      </w:pPr>
      <w:r>
        <w:rPr>
          <w:noProof/>
        </w:rPr>
        <w:t xml:space="preserve">a Felek között súlyos és megoldatlan vita merül fel a megállapodás és e jegyzőkönyv értelmezésével vagy végrehajtásával kapcsolatban. </w:t>
      </w:r>
    </w:p>
    <w:p>
      <w:pPr>
        <w:pStyle w:val="NumPar1"/>
        <w:numPr>
          <w:ilvl w:val="0"/>
          <w:numId w:val="35"/>
        </w:numPr>
        <w:rPr>
          <w:noProof/>
        </w:rPr>
      </w:pPr>
      <w:r>
        <w:rPr>
          <w:noProof/>
        </w:rPr>
        <w:t>A pénzügyi hozzájárulás kifizetése a két Fél közötti konzultációt és megállapodást követően folytatódik, amint az (1) bekezdésben említett események előtti helyzet visszaáll. Mindazonáltal a 4. cikk (2) bekezdésének b) pontjában előírt külön pénzügyi hozzájárulás kifizetése a jegyzőkönyv lejártát követő 6 hónapos időszak után már nem teljesíthető.</w:t>
      </w:r>
    </w:p>
    <w:p>
      <w:pPr>
        <w:pStyle w:val="NumPar1"/>
        <w:numPr>
          <w:ilvl w:val="0"/>
          <w:numId w:val="35"/>
        </w:numPr>
        <w:rPr>
          <w:noProof/>
        </w:rPr>
      </w:pPr>
      <w:r>
        <w:rPr>
          <w:noProof/>
        </w:rPr>
        <w:t>Az európai uniós hajók számára kiadott halászati engedélyek a 4. cikk (2) bekezdésének a) pontja szerinti pénzügyi hozzájárulás kifizetésének felfüggesztésével egyidejűleg felfüggeszthetők. Érvényességük visszaállításakor a szóban forgó halászati engedélyek érvényessége a halászati tevékenység felfüggesztésének időtartamával megegyező időtartammal meghosszabbodik. A felfüggesztés időtartama alatt az európai uniós halászhajók minden tevékenysége szünetel a bissau-guineai halászati övezetben.</w:t>
      </w:r>
    </w:p>
    <w:p>
      <w:pPr>
        <w:pStyle w:val="NumPar1"/>
        <w:numPr>
          <w:ilvl w:val="0"/>
          <w:numId w:val="35"/>
        </w:numPr>
        <w:rPr>
          <w:noProof/>
        </w:rPr>
      </w:pPr>
      <w:r>
        <w:rPr>
          <w:noProof/>
        </w:rPr>
        <w:t>A jegyzőkönyv alkalmazásának felfüggesztéséhez az érintett Fél a felfüggesztés hatálybalépésének időpontja előtt legalább három hónappal írásbeli értesítést küld szándékáról, kivéve az (1) bekezdés c) pontja szerinti esetben, amely azonnali felfüggesztést von maga után. A Felek időközben konzultációkat kezdenek a vegyes bizottság keretében.</w:t>
      </w:r>
    </w:p>
    <w:p>
      <w:pPr>
        <w:pStyle w:val="NumPar1"/>
        <w:numPr>
          <w:ilvl w:val="0"/>
          <w:numId w:val="35"/>
        </w:numPr>
        <w:rPr>
          <w:noProof/>
        </w:rPr>
      </w:pPr>
      <w:r>
        <w:rPr>
          <w:noProof/>
        </w:rPr>
        <w:t xml:space="preserve">Felfüggesztés esetén a Felek az őket szembeállító vita békés rendezése érdekében továbbra is egyeztetnek egymással. Amennyiben sikerül a vitát rendezni, e </w:t>
      </w:r>
      <w:r>
        <w:rPr>
          <w:noProof/>
        </w:rPr>
        <w:lastRenderedPageBreak/>
        <w:t>jegyzőkönyv alkalmazása újból megkezdődik, és a pénzügyi hozzájárulás összege arányosan és időarányosan csökken annak az időszaknak megfelelően, amelynek során e jegyzőkönyv alkalmazását felfüggesztették.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15. cikk</w:t>
      </w:r>
      <w:r>
        <w:rPr>
          <w:noProof/>
        </w:rPr>
        <w:br/>
      </w:r>
      <w:r>
        <w:rPr>
          <w:b/>
          <w:noProof/>
        </w:rPr>
        <w:t xml:space="preserve">Felmondás </w:t>
      </w:r>
    </w:p>
    <w:p>
      <w:pPr>
        <w:pStyle w:val="NumPar1"/>
        <w:numPr>
          <w:ilvl w:val="0"/>
          <w:numId w:val="37"/>
        </w:numPr>
        <w:rPr>
          <w:noProof/>
        </w:rPr>
      </w:pPr>
      <w:r>
        <w:rPr>
          <w:noProof/>
        </w:rPr>
        <w:t>E jegyzőkönyv felmondásához az érintett Fél legalább hat hónappal a felmondás hatálybalépésének időpontja előtt írásban értesíti a másik Felet erre irányuló szándékáról.</w:t>
      </w:r>
    </w:p>
    <w:p>
      <w:pPr>
        <w:pStyle w:val="NumPar1"/>
        <w:numPr>
          <w:ilvl w:val="0"/>
          <w:numId w:val="37"/>
        </w:numPr>
        <w:rPr>
          <w:noProof/>
        </w:rPr>
      </w:pPr>
      <w:r>
        <w:rPr>
          <w:noProof/>
        </w:rPr>
        <w:t>Az előző bekezdés szerinti értesítés elküldése után a Felek konzultációt kezdenek.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16. cikk</w:t>
      </w:r>
      <w:r>
        <w:rPr>
          <w:noProof/>
        </w:rPr>
        <w:br/>
      </w:r>
      <w:r>
        <w:rPr>
          <w:b/>
          <w:noProof/>
        </w:rPr>
        <w:t>Ideiglenes alkalmazás</w:t>
      </w:r>
    </w:p>
    <w:p>
      <w:pPr>
        <w:keepNext/>
        <w:spacing w:after="0"/>
        <w:rPr>
          <w:noProof/>
        </w:rPr>
      </w:pPr>
      <w:r>
        <w:rPr>
          <w:noProof/>
        </w:rPr>
        <w:t>Ez a jegyzőkönyv és melléklete aláírásuk napjától ideiglenesen alkalmazandó.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17. cikk</w:t>
      </w:r>
      <w:r>
        <w:rPr>
          <w:noProof/>
        </w:rPr>
        <w:br/>
      </w:r>
      <w:r>
        <w:rPr>
          <w:b/>
          <w:noProof/>
        </w:rPr>
        <w:t>Hatálybalépés</w:t>
      </w:r>
    </w:p>
    <w:p>
      <w:pPr>
        <w:keepNext/>
        <w:spacing w:after="0"/>
        <w:rPr>
          <w:noProof/>
        </w:rPr>
      </w:pPr>
      <w:r>
        <w:rPr>
          <w:noProof/>
        </w:rPr>
        <w:t>Ez a jegyzőkönyv és melléklete azon a napon lép hatályba, amelyen a Felek kölcsönösen értesítik egymást a hatálybalépéshez szükséges eljárások befejezéséről.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NormalCentered"/>
        <w:rPr>
          <w:b/>
          <w:noProof/>
        </w:rPr>
      </w:pPr>
      <w:r>
        <w:rPr>
          <w:b/>
          <w:noProof/>
        </w:rPr>
        <w:lastRenderedPageBreak/>
        <w:t>MELLÉKLET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AZ EURÓPAI UNIÓS HAJÓK ÁLTAL A BISSAU-GUINEAI HALÁSZATI ÖVEZETBEN FOLYTATOTT HALÁSZATI TEVÉKENYSÉGEKRE IRÁNYADÓ FELTÉTELEK</w:t>
      </w:r>
    </w:p>
    <w:p>
      <w:pPr>
        <w:pStyle w:val="NormalCentered"/>
        <w:rPr>
          <w:rFonts w:eastAsia="EUAlbertina-Regular-Identity-H"/>
          <w:noProof/>
        </w:rPr>
      </w:pPr>
    </w:p>
    <w:p>
      <w:pPr>
        <w:pStyle w:val="NormalCentered"/>
        <w:rPr>
          <w:rFonts w:eastAsia="EUAlbertina-Regular-Identity-H"/>
          <w:noProof/>
        </w:rPr>
      </w:pPr>
      <w:r>
        <w:rPr>
          <w:noProof/>
        </w:rPr>
        <w:t>I. FEJEZET</w:t>
      </w:r>
    </w:p>
    <w:p>
      <w:pPr>
        <w:pStyle w:val="NormalCentered"/>
        <w:rPr>
          <w:rFonts w:eastAsia="EUAlbertina-BoldItalic-Identity"/>
          <w:b/>
          <w:iCs/>
          <w:noProof/>
        </w:rPr>
      </w:pPr>
      <w:r>
        <w:rPr>
          <w:b/>
          <w:iCs/>
          <w:noProof/>
        </w:rPr>
        <w:t>ÁLTALÁNOS RENDELKEZÉSEK</w:t>
      </w: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rFonts w:eastAsia="EUAlbertina-BoldItalic-Identity"/>
          <w:b/>
          <w:bCs/>
          <w:iCs/>
          <w:noProof/>
        </w:rPr>
      </w:pPr>
    </w:p>
    <w:p>
      <w:pPr>
        <w:pStyle w:val="ManualNumPar1"/>
        <w:tabs>
          <w:tab w:val="left" w:pos="480"/>
        </w:tabs>
        <w:spacing w:before="0" w:after="240"/>
        <w:ind w:left="480" w:hanging="480"/>
        <w:rPr>
          <w:b/>
          <w:bCs/>
          <w:iCs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  <w:t>Az illetékes hatóság kijelölése</w:t>
      </w:r>
    </w:p>
    <w:p>
      <w:pPr>
        <w:pStyle w:val="ManualNumPar2"/>
        <w:spacing w:before="0"/>
        <w:ind w:left="0" w:firstLine="0"/>
        <w:rPr>
          <w:noProof/>
        </w:rPr>
      </w:pPr>
      <w:r>
        <w:rPr>
          <w:noProof/>
        </w:rPr>
        <w:t>E melléklet alkalmazásában és ellenkező megjelölés hiányában az Európai Unióra (EU) vagy Bissau-Guineára az illetékes hatóság címén történő hivatkozás az alábbiakat jelenti:</w:t>
      </w:r>
    </w:p>
    <w:p>
      <w:pPr>
        <w:pStyle w:val="Tiret1"/>
        <w:rPr>
          <w:noProof/>
        </w:rPr>
      </w:pPr>
      <w:r>
        <w:rPr>
          <w:noProof/>
        </w:rPr>
        <w:t>az EU esetében: az Európai Bizottság, adott esetben az Európai Unió küldöttsége útján;</w:t>
      </w:r>
    </w:p>
    <w:p>
      <w:pPr>
        <w:pStyle w:val="Tiret1"/>
        <w:rPr>
          <w:noProof/>
        </w:rPr>
      </w:pPr>
      <w:r>
        <w:rPr>
          <w:noProof/>
        </w:rPr>
        <w:t>Bissau-Guinea esetében: a halászatért felelős kormányzati egység.</w:t>
      </w:r>
    </w:p>
    <w:p>
      <w:pPr>
        <w:pStyle w:val="ManualNumPar1"/>
        <w:spacing w:before="0" w:after="240"/>
        <w:ind w:left="480" w:hanging="480"/>
        <w:rPr>
          <w:b/>
          <w:bCs/>
          <w:iCs/>
          <w:noProof/>
        </w:rPr>
      </w:pPr>
      <w:r>
        <w:rPr>
          <w:b/>
          <w:bCs/>
          <w:iCs/>
          <w:noProof/>
        </w:rPr>
        <w:t>2.</w:t>
      </w:r>
      <w:r>
        <w:rPr>
          <w:b/>
          <w:bCs/>
          <w:iCs/>
          <w:noProof/>
        </w:rPr>
        <w:tab/>
        <w:t>Engedélyezett halászati övezet</w:t>
      </w:r>
    </w:p>
    <w:p>
      <w:pPr>
        <w:spacing w:before="0"/>
        <w:rPr>
          <w:rFonts w:eastAsia="EUAlbertina-Regular-Identity-H"/>
          <w:noProof/>
        </w:rPr>
      </w:pPr>
      <w:r>
        <w:rPr>
          <w:noProof/>
        </w:rPr>
        <w:t>Az engedélyezett halászati övezet, amelyben az európai uniós hajók számára engedélyezett a halászat, Bissau-Guinea halászati övezetének felel meg, beleértve a Bissau-Guinea és Szenegál közötti közös övezetnek megfelelő részt, a bissau-guineai jogszabályoknak és azoknak a hatályos nemzetközi egyezményeknek megfelelően, amelyeknek Bissau-Guinea is részes fele.</w:t>
      </w:r>
    </w:p>
    <w:p>
      <w:pPr>
        <w:spacing w:before="0" w:after="240"/>
        <w:ind w:left="482" w:hanging="482"/>
        <w:rPr>
          <w:noProof/>
        </w:rPr>
      </w:pPr>
      <w:r>
        <w:rPr>
          <w:noProof/>
        </w:rPr>
        <w:t>Az övezet alapvonalait a nemzeti jog határozza meg.</w:t>
      </w:r>
    </w:p>
    <w:p>
      <w:pPr>
        <w:pStyle w:val="ManualNumPar1"/>
        <w:spacing w:before="0" w:after="240"/>
        <w:ind w:left="480" w:hanging="480"/>
        <w:rPr>
          <w:b/>
          <w:bCs/>
          <w:iCs/>
          <w:noProof/>
        </w:rPr>
      </w:pPr>
      <w:r>
        <w:rPr>
          <w:b/>
          <w:bCs/>
          <w:iCs/>
          <w:noProof/>
        </w:rPr>
        <w:t>3.</w:t>
      </w:r>
      <w:r>
        <w:rPr>
          <w:b/>
          <w:bCs/>
          <w:iCs/>
          <w:noProof/>
        </w:rPr>
        <w:tab/>
        <w:t>Helyi ügynök kijelölése</w:t>
      </w:r>
    </w:p>
    <w:p>
      <w:pPr>
        <w:spacing w:before="0" w:after="240"/>
        <w:rPr>
          <w:noProof/>
        </w:rPr>
      </w:pPr>
      <w:r>
        <w:rPr>
          <w:noProof/>
          <w:color w:val="000000"/>
        </w:rPr>
        <w:t>A tonhalhalászhajók kivételével</w:t>
      </w:r>
      <w:r>
        <w:rPr>
          <w:noProof/>
        </w:rPr>
        <w:t xml:space="preserve"> minden, e jegyzőkönyv értelmében halászati engedélyt szerezni szándékozó európai uniós hajót egy Bissau-Guineában letelepedett ügynöknek kell képviselnie.</w:t>
      </w:r>
    </w:p>
    <w:p>
      <w:pPr>
        <w:pStyle w:val="ManualNumPar1"/>
        <w:spacing w:before="0" w:after="240"/>
        <w:ind w:left="480" w:hanging="480"/>
        <w:rPr>
          <w:b/>
          <w:bCs/>
          <w:iCs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  <w:t>Bankszámla</w:t>
      </w:r>
    </w:p>
    <w:p>
      <w:pPr>
        <w:tabs>
          <w:tab w:val="left" w:pos="0"/>
        </w:tabs>
        <w:spacing w:before="0" w:after="240"/>
        <w:rPr>
          <w:noProof/>
        </w:rPr>
      </w:pPr>
      <w:r>
        <w:rPr>
          <w:noProof/>
        </w:rPr>
        <w:t xml:space="preserve">Bissau-Guinea e jegyzőkönyv hatálybalépése előtt közli az Európai Unióval azon bankszámlájának vagy bankszámláinak az adatait, amely(ek)re a halászhajók által a megállapodás keretében fizetendő pénzösszegeket be kell fizetni. A banki átutalásokkal járó költségeket a hajótulajdonosok viselik. </w:t>
      </w:r>
    </w:p>
    <w:p>
      <w:pPr>
        <w:tabs>
          <w:tab w:val="left" w:pos="0"/>
          <w:tab w:val="left" w:pos="480"/>
        </w:tabs>
        <w:spacing w:before="0" w:after="240"/>
        <w:rPr>
          <w:b/>
          <w:noProof/>
        </w:rPr>
      </w:pPr>
      <w:r>
        <w:rPr>
          <w:b/>
          <w:noProof/>
        </w:rPr>
        <w:t>5.</w:t>
      </w:r>
      <w:r>
        <w:rPr>
          <w:b/>
          <w:noProof/>
        </w:rPr>
        <w:tab/>
        <w:t>Kapcsolattartó pontok</w:t>
      </w:r>
    </w:p>
    <w:p>
      <w:pPr>
        <w:tabs>
          <w:tab w:val="left" w:pos="0"/>
        </w:tabs>
        <w:spacing w:before="0" w:after="240"/>
        <w:rPr>
          <w:rFonts w:eastAsia="EUAlbertina-Regular-Identity-H"/>
          <w:i/>
          <w:noProof/>
        </w:rPr>
      </w:pPr>
      <w:r>
        <w:rPr>
          <w:noProof/>
        </w:rPr>
        <w:t>A két Fél kölcsönösen tájékoztatja egymást a jegyzőkönyv végrehajtására, különösen az összesített fogási és halászati erőkifejtési adatok cseréjére, a halászati engedélyekkel kapcsolatos eljárásokra és az ágazati támogatás végrehajtására vonatkozó információk egymással való megosztását lehetővé tévő kapcsolattartó pontjairól.</w:t>
      </w:r>
    </w:p>
    <w:p>
      <w:pPr>
        <w:spacing w:before="0" w:after="200" w:line="276" w:lineRule="auto"/>
        <w:jc w:val="left"/>
        <w:rPr>
          <w:rFonts w:eastAsia="EUAlbertina-Regular-Identity-H"/>
          <w:noProof/>
        </w:rPr>
      </w:pPr>
      <w:r>
        <w:rPr>
          <w:noProof/>
        </w:rPr>
        <w:br w:type="page"/>
      </w:r>
    </w:p>
    <w:p>
      <w:pPr>
        <w:autoSpaceDE w:val="0"/>
        <w:autoSpaceDN w:val="0"/>
        <w:adjustRightInd w:val="0"/>
        <w:outlineLvl w:val="0"/>
        <w:rPr>
          <w:rFonts w:eastAsia="EUAlbertina-Regular-Identity-H"/>
          <w:noProof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t>II. FEJEZET</w:t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HALÁSZATI ENGEDÉLYEK</w:t>
      </w:r>
    </w:p>
    <w:p>
      <w:pPr>
        <w:rPr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1. szakasz: Az alkalmazandó eljárások</w:t>
      </w:r>
    </w:p>
    <w:p>
      <w:pPr>
        <w:pStyle w:val="ManualNumPar1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  <w:t>A halászati engedély kiadásának előfeltétele – jogosult hajók</w:t>
      </w:r>
    </w:p>
    <w:p>
      <w:pPr>
        <w:spacing w:before="0" w:after="240"/>
        <w:rPr>
          <w:noProof/>
        </w:rPr>
      </w:pPr>
      <w:r>
        <w:rPr>
          <w:noProof/>
        </w:rPr>
        <w:t>A megállapodás 6. cikkében említett halászati engedélyek kibocsátásának az a feltétele, hogy a hajónak szerepelnie kell az európai uniós halászhajók nyilvántartásában és meg kell felelnie a külső vizeken halászó flották fenntartható kezeléséről szóló (EU) 2017/2403 rendeletben foglaltaknak. További előfeltétel, hogy a megállapodás keretében Bissau-Guineában végzett halászati tevékenységből eredően a hajótulajdonosra, a hajóparancsnokra vagy a hajóra háruló minden korábbi kötelezettségnek eleget kellett tenni.</w:t>
      </w:r>
    </w:p>
    <w:p>
      <w:pPr>
        <w:pStyle w:val="ManualNumPar1"/>
        <w:tabs>
          <w:tab w:val="left" w:pos="480"/>
        </w:tabs>
        <w:spacing w:before="0" w:after="24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2.</w:t>
      </w:r>
      <w:r>
        <w:rPr>
          <w:b/>
          <w:bCs/>
          <w:iCs/>
          <w:noProof/>
        </w:rPr>
        <w:tab/>
        <w:t>Halászati engedély kérelmezése</w:t>
      </w:r>
    </w:p>
    <w:p>
      <w:pPr>
        <w:pStyle w:val="ManualNumPar2"/>
        <w:tabs>
          <w:tab w:val="left" w:pos="480"/>
        </w:tabs>
        <w:spacing w:before="0"/>
        <w:ind w:left="0" w:firstLine="0"/>
        <w:rPr>
          <w:rFonts w:eastAsia="EUAlbertina-Regular-Identity-H"/>
          <w:noProof/>
        </w:rPr>
      </w:pPr>
      <w:r>
        <w:rPr>
          <w:noProof/>
        </w:rPr>
        <w:t xml:space="preserve">Az Európai Unió legalább 40 </w:t>
      </w:r>
      <w:r>
        <w:rPr>
          <w:noProof/>
          <w:shd w:val="clear" w:color="auto" w:fill="FFFFFF"/>
        </w:rPr>
        <w:t>nappal az engedély kérelmezett érvényességi időpontja előtt az e függelékben foglalt nyomtatványminta felhasználásával</w:t>
      </w:r>
      <w:r>
        <w:rPr>
          <w:noProof/>
        </w:rPr>
        <w:t xml:space="preserve"> a bissau-guineai hatóságok elé terjeszti minden olyan hajó kérelmét, amely a megállapodás keretében halászni kíván. </w:t>
      </w:r>
    </w:p>
    <w:p>
      <w:pPr>
        <w:pStyle w:val="ManualNumPar2"/>
        <w:tabs>
          <w:tab w:val="left" w:pos="480"/>
        </w:tabs>
        <w:spacing w:before="0"/>
        <w:ind w:left="0" w:firstLine="0"/>
        <w:rPr>
          <w:noProof/>
        </w:rPr>
      </w:pPr>
      <w:r>
        <w:rPr>
          <w:noProof/>
        </w:rPr>
        <w:t xml:space="preserve">A hatályos jegyzőkönyv alapján minden </w:t>
      </w:r>
      <w:r>
        <w:rPr>
          <w:noProof/>
          <w:shd w:val="clear" w:color="auto" w:fill="FFFFFF"/>
        </w:rPr>
        <w:t>első</w:t>
      </w:r>
      <w:r>
        <w:rPr>
          <w:noProof/>
        </w:rPr>
        <w:t xml:space="preserve"> ízben benyújtott engedélykérelemhez, illetve az érintett hajó </w:t>
      </w:r>
      <w:r>
        <w:rPr>
          <w:noProof/>
          <w:shd w:val="clear" w:color="auto" w:fill="FFFFFF"/>
        </w:rPr>
        <w:t>műszaki</w:t>
      </w:r>
      <w:r>
        <w:rPr>
          <w:noProof/>
        </w:rPr>
        <w:t xml:space="preserve"> módosítását követően az engedélykérelemhez csatolni kell az alábbiakat:</w:t>
      </w:r>
    </w:p>
    <w:p>
      <w:pPr>
        <w:pStyle w:val="Point1"/>
        <w:tabs>
          <w:tab w:val="left" w:pos="480"/>
        </w:tabs>
        <w:spacing w:before="0"/>
        <w:ind w:left="1080" w:hanging="600"/>
        <w:rPr>
          <w:noProof/>
        </w:rPr>
      </w:pPr>
      <w:r>
        <w:rPr>
          <w:noProof/>
        </w:rPr>
        <w:t>(a)</w:t>
      </w:r>
      <w:r>
        <w:rPr>
          <w:noProof/>
        </w:rPr>
        <w:tab/>
        <w:t>a kérelmezett halászati engedély érvényességi időszakára esedékes átalánydíj befizetéséről szóló igazolás;</w:t>
      </w:r>
    </w:p>
    <w:p>
      <w:pPr>
        <w:pStyle w:val="Point1"/>
        <w:tabs>
          <w:tab w:val="left" w:pos="480"/>
        </w:tabs>
        <w:spacing w:before="0"/>
        <w:ind w:left="1080" w:hanging="600"/>
        <w:rPr>
          <w:noProof/>
        </w:rPr>
      </w:pPr>
      <w:r>
        <w:rPr>
          <w:noProof/>
        </w:rPr>
        <w:t>(b)</w:t>
      </w:r>
      <w:r>
        <w:rPr>
          <w:noProof/>
        </w:rPr>
        <w:tab/>
        <w:t>a hajó helyi ügynökének neve és címe, ha létezik ilyen ügynök;</w:t>
      </w:r>
    </w:p>
    <w:p>
      <w:pPr>
        <w:pStyle w:val="Point1"/>
        <w:tabs>
          <w:tab w:val="left" w:pos="480"/>
        </w:tabs>
        <w:spacing w:before="0"/>
        <w:ind w:left="1080" w:hanging="600"/>
        <w:rPr>
          <w:noProof/>
        </w:rPr>
      </w:pPr>
      <w:r>
        <w:rPr>
          <w:noProof/>
        </w:rPr>
        <w:t>(c)</w:t>
      </w:r>
      <w:r>
        <w:rPr>
          <w:noProof/>
        </w:rPr>
        <w:tab/>
        <w:t>vonóhálós hajók esetében a megfigyelő költségeit fedező előzetes átalány-hozzájárulás kifizetéséről szóló igazolás;</w:t>
      </w:r>
    </w:p>
    <w:p>
      <w:pPr>
        <w:pStyle w:val="Point1"/>
        <w:tabs>
          <w:tab w:val="left" w:pos="480"/>
        </w:tabs>
        <w:spacing w:before="0"/>
        <w:ind w:left="1080" w:hanging="600"/>
        <w:rPr>
          <w:noProof/>
        </w:rPr>
      </w:pPr>
      <w:r>
        <w:rPr>
          <w:noProof/>
        </w:rPr>
        <w:t>(d)</w:t>
      </w:r>
      <w:r>
        <w:rPr>
          <w:noProof/>
        </w:rPr>
        <w:tab/>
        <w:t>vonóhálós hajók esetében a lobogó szerinti állam által a hajó tonnatartalmáról kiállított igazolás;</w:t>
      </w:r>
    </w:p>
    <w:p>
      <w:pPr>
        <w:pStyle w:val="ManualNumPar2"/>
        <w:tabs>
          <w:tab w:val="left" w:pos="480"/>
        </w:tabs>
        <w:spacing w:before="0"/>
        <w:ind w:left="0" w:firstLine="0"/>
        <w:rPr>
          <w:rFonts w:eastAsia="EUAlbertina-Regular-Identity-H"/>
          <w:noProof/>
          <w:shd w:val="clear" w:color="auto" w:fill="FFFFFF"/>
        </w:rPr>
      </w:pPr>
      <w:r>
        <w:rPr>
          <w:noProof/>
        </w:rPr>
        <w:t>Azoknál a hajóknál, amelyeknél a műszaki jellemzők nem változtak, a halászati engedélynek a hatályos jegyzőkönyv alapján történő megújításakor a vonatkozó kérelemhez csak a díj és – adott esetben – a megfigyelővel kapcsolatos költségekhez való átalány-hozzájárulás befizetésének igazolását kell csatolni.</w:t>
      </w:r>
    </w:p>
    <w:p>
      <w:pPr>
        <w:pStyle w:val="ManualNumPar1"/>
        <w:tabs>
          <w:tab w:val="left" w:pos="480"/>
        </w:tabs>
        <w:rPr>
          <w:rFonts w:eastAsia="EUAlbertina-Regular-Identity-H"/>
          <w:b/>
          <w:noProof/>
        </w:rPr>
      </w:pPr>
      <w:r>
        <w:rPr>
          <w:b/>
          <w:bCs/>
          <w:iCs/>
          <w:noProof/>
        </w:rPr>
        <w:t>3.</w:t>
      </w:r>
      <w:r>
        <w:rPr>
          <w:b/>
          <w:bCs/>
          <w:iCs/>
          <w:noProof/>
        </w:rPr>
        <w:tab/>
      </w:r>
      <w:r>
        <w:rPr>
          <w:b/>
          <w:noProof/>
        </w:rPr>
        <w:t>A halászati engedély kiállítása</w:t>
      </w:r>
    </w:p>
    <w:p>
      <w:pPr>
        <w:tabs>
          <w:tab w:val="left" w:pos="0"/>
        </w:tabs>
        <w:spacing w:before="0"/>
        <w:ind w:right="23"/>
        <w:rPr>
          <w:noProof/>
        </w:rPr>
      </w:pPr>
      <w:r>
        <w:rPr>
          <w:noProof/>
        </w:rPr>
        <w:t>Bissau-Guinea a hiánytalan kérelem átvételét követően legfeljebb 25 napon belül, de legalább 15 nappal a halászati időszak kezdete előtt kiállítja a halászati engedély eredeti példányát. Az engedély az alábbiak szerint kerül átadásra a hajótulajdonosoknak:</w:t>
      </w:r>
    </w:p>
    <w:p>
      <w:pPr>
        <w:pStyle w:val="Tiret0"/>
        <w:rPr>
          <w:noProof/>
        </w:rPr>
      </w:pPr>
      <w:r>
        <w:rPr>
          <w:noProof/>
        </w:rPr>
        <w:t xml:space="preserve">a vonóhálós hajók esetében az ügynökökön keresztül, másolatban elküldve az Európai Uniónak is; </w:t>
      </w:r>
    </w:p>
    <w:p>
      <w:pPr>
        <w:pStyle w:val="Tiret0"/>
        <w:rPr>
          <w:noProof/>
        </w:rPr>
      </w:pPr>
      <w:r>
        <w:rPr>
          <w:noProof/>
        </w:rPr>
        <w:t>a tonhalhalászhajók esetében az Európai Unió bissau-guineai képviselete közvetítésével.</w:t>
      </w:r>
    </w:p>
    <w:p>
      <w:pPr>
        <w:tabs>
          <w:tab w:val="left" w:pos="0"/>
        </w:tabs>
        <w:spacing w:before="0"/>
        <w:ind w:right="20"/>
        <w:rPr>
          <w:noProof/>
        </w:rPr>
      </w:pPr>
      <w:r>
        <w:rPr>
          <w:noProof/>
        </w:rPr>
        <w:t>A tonhalhalászhajók esetében a halászati engedély másolatát az illetékes hatóság haladéktalanul megküldi elektronikus úton a hajótulajdonosnak, adott esetben a tulajdonos helyi képviselőjének, másolatban pedig az Európai Uniónak is. E másolat érvényessége a halászati engedély eredeti példányának kézhezvételekor lejár. A tonhalhalászhajók fedélzetén tartott másolat 40 napig érvényes, mely időtartam alatt az eredetivel egyenértékűnek tekintendő.</w:t>
      </w:r>
    </w:p>
    <w:p>
      <w:pPr>
        <w:pStyle w:val="ManualNumPar2"/>
        <w:tabs>
          <w:tab w:val="left" w:pos="0"/>
        </w:tabs>
        <w:spacing w:before="0"/>
        <w:ind w:left="0" w:firstLine="0"/>
        <w:rPr>
          <w:noProof/>
        </w:rPr>
      </w:pPr>
      <w:r>
        <w:rPr>
          <w:noProof/>
        </w:rPr>
        <w:lastRenderedPageBreak/>
        <w:t xml:space="preserve">A halászati engedélynek a jegyzőkönyv alkalmazási időszaka alatt történő megújítása esetén az új halászati engedélynek egyértelmű hivatkozást kell tartalmaznia az eredeti halászati engedélyre. </w:t>
      </w:r>
    </w:p>
    <w:p>
      <w:pPr>
        <w:pStyle w:val="ManualNumPar2"/>
        <w:tabs>
          <w:tab w:val="left" w:pos="0"/>
        </w:tabs>
        <w:spacing w:before="0"/>
        <w:ind w:left="0" w:firstLine="0"/>
        <w:rPr>
          <w:noProof/>
        </w:rPr>
      </w:pPr>
      <w:r>
        <w:rPr>
          <w:noProof/>
        </w:rPr>
        <w:t>Az Európai Unió továbbítja a halászati engedélyt a hajótulajdonosnak vagy az ügynöknek. Ha az Unió irodái zárva vannak, Bissau-Guinea a halászati engedélyt közvetlenül is kiadhatja a hajótulajdonosnak vagy ügynökének, miközben az engedély másolatát megküldi az Uniónak.</w:t>
      </w:r>
    </w:p>
    <w:p>
      <w:pPr>
        <w:pStyle w:val="ManualNumPar1"/>
        <w:tabs>
          <w:tab w:val="left" w:pos="480"/>
        </w:tabs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  <w:t>A halászatra engedéllyel rendelkező hajók jegyzéke</w:t>
      </w:r>
    </w:p>
    <w:p>
      <w:pPr>
        <w:rPr>
          <w:noProof/>
        </w:rPr>
      </w:pPr>
      <w:r>
        <w:rPr>
          <w:noProof/>
        </w:rPr>
        <w:t xml:space="preserve">A halászati engedély kibocsátását követően Bissau-Guinea minden hajókategóriára vonatkozóan haladéktalanul elkészíti a Bissau-Guinea halászati övezetében halászatra engedéllyel rendelkező hajók végleges jegyzékét. E jegyzéket haladéktalanul eljuttatja a halászati ellenőrzésért felelős nemzeti hatóságnak és – elektronikus úton – az Európai Uniónak. </w:t>
      </w:r>
    </w:p>
    <w:p>
      <w:pPr>
        <w:pStyle w:val="ManualNumPar1"/>
        <w:tabs>
          <w:tab w:val="left" w:pos="480"/>
        </w:tabs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5.</w:t>
      </w:r>
      <w:r>
        <w:rPr>
          <w:b/>
          <w:bCs/>
          <w:iCs/>
          <w:noProof/>
        </w:rPr>
        <w:tab/>
        <w:t>A halászati engedély érvényességi ideje</w:t>
      </w:r>
    </w:p>
    <w:p>
      <w:pPr>
        <w:rPr>
          <w:noProof/>
          <w:sz w:val="16"/>
        </w:rPr>
      </w:pPr>
      <w:r>
        <w:rPr>
          <w:noProof/>
        </w:rPr>
        <w:t xml:space="preserve">A halászati engedélyeket negyedéves, féléves vagy éves időszakra állítják ki. </w:t>
      </w:r>
    </w:p>
    <w:p>
      <w:pPr>
        <w:rPr>
          <w:noProof/>
        </w:rPr>
      </w:pPr>
      <w:r>
        <w:rPr>
          <w:noProof/>
        </w:rPr>
        <w:t>Az érvényességi időszak kezdetének megállapításához „éves időszak” alatt az alábbiak értendők:</w:t>
      </w:r>
    </w:p>
    <w:p>
      <w:pPr>
        <w:pStyle w:val="Point1"/>
        <w:spacing w:before="0"/>
        <w:ind w:left="1080" w:hanging="600"/>
        <w:rPr>
          <w:noProof/>
        </w:rPr>
      </w:pPr>
      <w:r>
        <w:rPr>
          <w:noProof/>
        </w:rPr>
        <w:t>(a)</w:t>
      </w:r>
      <w:r>
        <w:rPr>
          <w:noProof/>
        </w:rPr>
        <w:tab/>
        <w:t>a jegyzőkönyv alkalmazásának első évében a jegyzőkönyv ideiglenes alkalmazásának kezdőnapja és ugyanazon év december 31. közötti időszak;</w:t>
      </w:r>
    </w:p>
    <w:p>
      <w:pPr>
        <w:pStyle w:val="Point1"/>
        <w:spacing w:before="0"/>
        <w:ind w:left="1080" w:hanging="600"/>
        <w:rPr>
          <w:noProof/>
        </w:rPr>
      </w:pPr>
      <w:r>
        <w:rPr>
          <w:noProof/>
        </w:rPr>
        <w:t>(b)</w:t>
      </w:r>
      <w:r>
        <w:rPr>
          <w:noProof/>
        </w:rPr>
        <w:tab/>
        <w:t>ezt követően minden teljes naptári év;</w:t>
      </w:r>
    </w:p>
    <w:p>
      <w:pPr>
        <w:pStyle w:val="Point1"/>
        <w:spacing w:before="0"/>
        <w:ind w:left="1080" w:hanging="600"/>
        <w:rPr>
          <w:noProof/>
        </w:rPr>
      </w:pPr>
      <w:r>
        <w:rPr>
          <w:noProof/>
        </w:rPr>
        <w:t>(c)</w:t>
      </w:r>
      <w:r>
        <w:rPr>
          <w:noProof/>
        </w:rPr>
        <w:tab/>
        <w:t>a jegyzőkönyv alkalmazásának utolsó évében a január 1-je és a jegyzőkönyv lejárati dátuma közötti időszak.</w:t>
      </w:r>
    </w:p>
    <w:p>
      <w:pPr>
        <w:pStyle w:val="ManualNumPar2"/>
        <w:spacing w:before="0"/>
        <w:ind w:left="0" w:firstLine="0"/>
        <w:rPr>
          <w:noProof/>
        </w:rPr>
      </w:pPr>
      <w:r>
        <w:rPr>
          <w:noProof/>
        </w:rPr>
        <w:t>A negyedéves vagy féléves érvényességi időszakok mindig az adott hónap első napján kezdődnek. A halászati engedélyek érvényessége azonban nem lépheti túl a kiadásuk évének december 31. napját.</w:t>
      </w:r>
    </w:p>
    <w:p>
      <w:pPr>
        <w:pStyle w:val="ManualNumPar1"/>
        <w:tabs>
          <w:tab w:val="left" w:pos="480"/>
        </w:tabs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6.</w:t>
      </w:r>
      <w:r>
        <w:rPr>
          <w:b/>
          <w:bCs/>
          <w:iCs/>
          <w:noProof/>
        </w:rPr>
        <w:tab/>
        <w:t>A halászati engedély fedélzeten tartása</w:t>
      </w:r>
    </w:p>
    <w:p>
      <w:pPr>
        <w:rPr>
          <w:noProof/>
        </w:rPr>
      </w:pPr>
      <w:r>
        <w:rPr>
          <w:noProof/>
        </w:rPr>
        <w:t>A halászati engedélyt mindenkor a hajó fedélzetén kell tartani.</w:t>
      </w:r>
    </w:p>
    <w:p>
      <w:pPr>
        <w:rPr>
          <w:noProof/>
        </w:rPr>
      </w:pPr>
      <w:r>
        <w:rPr>
          <w:noProof/>
        </w:rPr>
        <w:t>Mindazonáltal a tonhalhalászhajók és a felszíni horogsoros hajók a fent említett ideiglenes jegyzékbe való felvételük időpontjától halászhatnak. A halászati engedély kibocsátásáig az ideiglenes jegyzéket mindenkor e hajók fedélzetén kell tartani.</w:t>
      </w:r>
    </w:p>
    <w:p>
      <w:pPr>
        <w:pStyle w:val="ManualNumPar1"/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7.</w:t>
      </w:r>
      <w:r>
        <w:rPr>
          <w:b/>
          <w:bCs/>
          <w:iCs/>
          <w:noProof/>
        </w:rPr>
        <w:tab/>
        <w:t>A halászati engedély átruházása</w:t>
      </w:r>
    </w:p>
    <w:p>
      <w:pPr>
        <w:rPr>
          <w:noProof/>
        </w:rPr>
      </w:pPr>
      <w:r>
        <w:rPr>
          <w:noProof/>
        </w:rPr>
        <w:t>A halászati engedélyt egy meghatározott hajó nevére kell kiállítani, és nem ruházható át.</w:t>
      </w:r>
    </w:p>
    <w:p>
      <w:pPr>
        <w:rPr>
          <w:noProof/>
        </w:rPr>
      </w:pPr>
      <w:r>
        <w:rPr>
          <w:noProof/>
        </w:rPr>
        <w:t xml:space="preserve">Azonban igazolt </w:t>
      </w:r>
      <w:r>
        <w:rPr>
          <w:i/>
          <w:noProof/>
        </w:rPr>
        <w:t>vis maior</w:t>
      </w:r>
      <w:r>
        <w:rPr>
          <w:noProof/>
        </w:rPr>
        <w:t xml:space="preserve"> esetén és az Európai Unió kérésére a hajó halászati engedélye felváltható egy másik, a helyettesítendő hajóhoz hasonló hajó nevére kiállított új halászati engedéllyel. </w:t>
      </w:r>
    </w:p>
    <w:p>
      <w:pPr>
        <w:rPr>
          <w:noProof/>
        </w:rPr>
      </w:pPr>
      <w:r>
        <w:rPr>
          <w:noProof/>
        </w:rPr>
        <w:t xml:space="preserve">Az átruházás úgy történik, hogy a hajó tulajdonosa vagy annak bissau-guineai ügynöke visszaadja a felváltandó halászati engedélyt, és Bissau-Guinea haladéktalanul kiállítja a fenti engedélyt felváltó új engedélyt. A korábbi engedélyt felváltó új engedélyt a felváltandó engedély visszaadása után késedelem nélkül ki kell állítani a hajótulajdonos vagy ügynöke részére, amint e fejezet 9. pontjával összhangban elvégezték a műszaki szemlét. A korábbi engedélyt felváltó új engedély a felváltandó engedély visszaadásának napján lép hatályba. </w:t>
      </w:r>
    </w:p>
    <w:p>
      <w:pPr>
        <w:rPr>
          <w:noProof/>
        </w:rPr>
      </w:pPr>
      <w:r>
        <w:rPr>
          <w:noProof/>
        </w:rPr>
        <w:t>Amennyiben a vonóhálós hajók esetében a cserehajó bruttó tonnatartalma meghaladja a helyettesítendő hajó tonnatartalmát, a pótdíjat a tonnatartalom és a fennmaradó érvényességi idő különbözete alapján arányosan kell kiszámítani. A pótdíjat a hajótulajdonosnak a halászati engedély átadásakor kell kifizetnie.</w:t>
      </w:r>
    </w:p>
    <w:p>
      <w:pPr>
        <w:rPr>
          <w:noProof/>
        </w:rPr>
      </w:pPr>
      <w:r>
        <w:rPr>
          <w:noProof/>
        </w:rPr>
        <w:lastRenderedPageBreak/>
        <w:t>Bissau-Guinea késedelem nélkül naprakésszé teszi a halászatra engedéllyel rendelkező hajók jegyzékét. Az új jegyzéket haladéktalanul el kell juttatni a halászati ellenőrzésért felelős nemzeti hatóságnak és az Európai Uniónak.</w:t>
      </w:r>
    </w:p>
    <w:p>
      <w:pPr>
        <w:pStyle w:val="ManualNumPar1"/>
        <w:tabs>
          <w:tab w:val="left" w:pos="480"/>
        </w:tabs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8.</w:t>
      </w:r>
      <w:r>
        <w:rPr>
          <w:b/>
          <w:bCs/>
          <w:iCs/>
          <w:noProof/>
        </w:rPr>
        <w:tab/>
        <w:t>Segédhajók</w:t>
      </w:r>
    </w:p>
    <w:p>
      <w:pPr>
        <w:rPr>
          <w:noProof/>
        </w:rPr>
      </w:pPr>
      <w:r>
        <w:rPr>
          <w:noProof/>
        </w:rPr>
        <w:t xml:space="preserve">Az Európai Unió kérésére Bissau-Guinea a halászati engedéllyel rendelkező európai uniós hajók számára engedélyezi segédhajók igénybevételét. A segédhajóknak az Európai Unió valamely tagállamának lobogója alatt kell közlekedniük, vagy valamely európai uniós vállalat tulajdonában kell állniuk, és nem rendelkezhetnek halászatra alkalmas eszközökkel. </w:t>
      </w:r>
    </w:p>
    <w:p>
      <w:pPr>
        <w:rPr>
          <w:noProof/>
        </w:rPr>
      </w:pPr>
      <w:r>
        <w:rPr>
          <w:noProof/>
        </w:rPr>
        <w:t xml:space="preserve">Bissau-Guinea elkészíti az engedélyezett segédhajók jegyzékét és azt haladéktalanul eljuttatja a halászati ellenőrzésért felelős nemzeti hatóságnak és az Európai Uniónak. </w:t>
      </w:r>
    </w:p>
    <w:p>
      <w:pPr>
        <w:rPr>
          <w:noProof/>
        </w:rPr>
      </w:pPr>
      <w:r>
        <w:rPr>
          <w:noProof/>
        </w:rPr>
        <w:t xml:space="preserve">A segédhajóknak ehhez rendelkezniük kell egy éves díj ellenében, a vonatkozó bissau-guineai jogszabálynak megfelelően kiállított engedéllyel. </w:t>
      </w:r>
    </w:p>
    <w:p>
      <w:pPr>
        <w:pStyle w:val="ManualNumPar1"/>
        <w:tabs>
          <w:tab w:val="left" w:pos="480"/>
        </w:tabs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9.</w:t>
      </w:r>
      <w:r>
        <w:rPr>
          <w:b/>
          <w:bCs/>
          <w:iCs/>
          <w:noProof/>
        </w:rPr>
        <w:tab/>
        <w:t>A vonóhálós hajók műszaki szemléje</w:t>
      </w:r>
    </w:p>
    <w:p>
      <w:pPr>
        <w:rPr>
          <w:noProof/>
        </w:rPr>
      </w:pPr>
      <w:r>
        <w:rPr>
          <w:noProof/>
        </w:rPr>
        <w:t xml:space="preserve">Évente egyszer, illetve a tonnatartalom módosulása esetén, továbbá minden olyan esetben, amikor valamely más típusú halászeszköz használata a halászati kategória megváltozását vonja maga után, valamennyi európai uniós vonóhálós halászhajónak jelentkeznie kell Bissau kikötőjében a hatályos bissau-guineai jogszabályok által előírt műszaki szemle elvégzésére. </w:t>
      </w:r>
    </w:p>
    <w:p>
      <w:pPr>
        <w:rPr>
          <w:noProof/>
        </w:rPr>
      </w:pPr>
      <w:r>
        <w:rPr>
          <w:noProof/>
        </w:rPr>
        <w:t>A műszaki szemle során ellenőrzik a hajó műszaki jellemzőinek és a fedélzeten lévő halászeszközöknek a megfelelőségét, valamint a nemzeti tengerészek hajóra vételére vonatkozó rendelkezések betartását.</w:t>
      </w:r>
    </w:p>
    <w:p>
      <w:pPr>
        <w:rPr>
          <w:noProof/>
        </w:rPr>
      </w:pPr>
      <w:r>
        <w:rPr>
          <w:noProof/>
        </w:rPr>
        <w:t xml:space="preserve">A műszaki szemlét Bissau-Guinea köteles a hajónak a kikötőbe való megérkezését követő 48 órán belül elvégezni, legalábbis ha annak várható érkezéséről előzőleg értesítették. </w:t>
      </w:r>
    </w:p>
    <w:p>
      <w:pPr>
        <w:rPr>
          <w:noProof/>
        </w:rPr>
      </w:pPr>
      <w:r>
        <w:rPr>
          <w:noProof/>
        </w:rPr>
        <w:t xml:space="preserve">A műszaki szemlét követően Bissau-Guinea késedelem nélkül kiállít egy megfelelőségi igazolást a hajóparancsnok részére. </w:t>
      </w:r>
    </w:p>
    <w:p>
      <w:pPr>
        <w:rPr>
          <w:noProof/>
        </w:rPr>
      </w:pPr>
      <w:r>
        <w:rPr>
          <w:noProof/>
        </w:rPr>
        <w:t>A megfelelőségi igazolás érvényességi ideje egy év. Mindazonáltal minden olyan változás esetén, amely a garnélahalászatra, illetőleg a garnélahalászatról valamely más tevékenységre való áttérést jelent, új megfelelőségi igazolás kiállítására van szükség. Ezenkívül akkor is új megfelelőségi igazolást kell kiállítani, ha a hajó 45 napnál hosszabb időre elhagyja Bissau-Guinea halászati övezetét.</w:t>
      </w:r>
    </w:p>
    <w:p>
      <w:pPr>
        <w:rPr>
          <w:noProof/>
        </w:rPr>
      </w:pPr>
      <w:r>
        <w:rPr>
          <w:noProof/>
        </w:rPr>
        <w:t xml:space="preserve">A megfelelőségi igazolást mindenkor a fedélzeten kell tartani. </w:t>
      </w:r>
    </w:p>
    <w:p>
      <w:pPr>
        <w:rPr>
          <w:noProof/>
        </w:rPr>
      </w:pPr>
      <w:r>
        <w:rPr>
          <w:noProof/>
        </w:rPr>
        <w:t>A műszaki szemlék költségeit a hajótulajdonos viseli a bissau-guineai jogszabályok által megállapított díjszabás szerint. E költségek nem haladhatják meg azt az összeget, amelyet azonos szolgáltatásért a nemzeti hajók vagy a harmadik országok lobogója alatt közlekedő hajók fizetnek.</w:t>
      </w:r>
    </w:p>
    <w:p>
      <w:pPr>
        <w:widowControl w:val="0"/>
        <w:spacing w:before="0" w:after="24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2. szakasz: Díjak és előlegek</w:t>
      </w:r>
    </w:p>
    <w:p>
      <w:pPr>
        <w:rPr>
          <w:noProof/>
        </w:rPr>
      </w:pPr>
      <w:r>
        <w:rPr>
          <w:noProof/>
        </w:rPr>
        <w:t xml:space="preserve">A különböző hajókategóriákra vonatkozó </w:t>
      </w:r>
      <w:r>
        <w:rPr>
          <w:noProof/>
          <w:shd w:val="clear" w:color="auto" w:fill="FFFFFF"/>
        </w:rPr>
        <w:t>átalánydíj</w:t>
      </w:r>
      <w:r>
        <w:rPr>
          <w:noProof/>
        </w:rPr>
        <w:t xml:space="preserve"> </w:t>
      </w:r>
      <w:r>
        <w:rPr>
          <w:noProof/>
          <w:shd w:val="clear" w:color="auto" w:fill="FFFFFF"/>
        </w:rPr>
        <w:t>összegét</w:t>
      </w:r>
      <w:r>
        <w:rPr>
          <w:noProof/>
        </w:rPr>
        <w:t xml:space="preserve"> az e melléklet függelékében foglalt adatlapok határozzák meg. A díj a kikötői illetékek és a szolgáltatások költségei kivételével minden nemzeti és helyi adót magában foglal.</w:t>
      </w:r>
    </w:p>
    <w:p>
      <w:pPr>
        <w:rPr>
          <w:noProof/>
        </w:rPr>
      </w:pPr>
      <w:r>
        <w:rPr>
          <w:noProof/>
        </w:rPr>
        <w:t xml:space="preserve">Ha a halászati engedély érvényességi időtartama rövidebb egy évnél, az említett átalánydíj összegét a halászati engedély érvényességi időszakával időarányosan csökkenteni kell. Ezt az összeget adott esetben a megfelelő adatlapokon rögzített mértékek alapján növelni kell a negyedéves vagy féléves időtartamoknak megfelelő összegekkel. </w:t>
      </w:r>
    </w:p>
    <w:p>
      <w:pPr>
        <w:spacing w:before="0" w:after="200" w:line="276" w:lineRule="auto"/>
        <w:jc w:val="left"/>
        <w:rPr>
          <w:rFonts w:eastAsia="EUAlbertina-Regular-Identity-H"/>
          <w:noProof/>
        </w:rPr>
      </w:pPr>
      <w:r>
        <w:rPr>
          <w:noProof/>
        </w:rPr>
        <w:br w:type="page"/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lastRenderedPageBreak/>
        <w:t>III. FEJEZET</w:t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 xml:space="preserve">TECHNIKAI ÁLLOMÁNYVÉDELMI INTÉZKEDÉSEK </w:t>
      </w:r>
    </w:p>
    <w:p>
      <w:pPr>
        <w:rPr>
          <w:noProof/>
        </w:rPr>
      </w:pPr>
      <w:r>
        <w:rPr>
          <w:noProof/>
        </w:rPr>
        <w:t xml:space="preserve">A halászati engedéllyel rendelkező hajókra az övezet, a halászeszközök és a járulékos fogások tekintetében alkalmazandó technikai intézkedéseket a halászat egyes kategóriáira vonatkozóan az e melléklet függelékében foglalt adatlapok határozzák meg. </w:t>
      </w:r>
    </w:p>
    <w:p>
      <w:pPr>
        <w:rPr>
          <w:noProof/>
        </w:rPr>
      </w:pPr>
      <w:r>
        <w:rPr>
          <w:noProof/>
        </w:rPr>
        <w:t>A tonhalhalászhajók és a felszíni horogsoros hajók kötelesek betartani az ICCAT által elfogadott valamennyi ajánlást.</w:t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t>IV. FEJEZET</w:t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A FOGÁSOK BEJELENTÉSE</w:t>
      </w:r>
    </w:p>
    <w:p>
      <w:pPr>
        <w:pStyle w:val="ManualNumPar1"/>
        <w:ind w:left="480" w:hanging="480"/>
        <w:rPr>
          <w:b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</w:r>
      <w:r>
        <w:rPr>
          <w:b/>
          <w:noProof/>
        </w:rPr>
        <w:t>Halászati napló</w:t>
      </w:r>
    </w:p>
    <w:p>
      <w:pPr>
        <w:spacing w:before="0"/>
        <w:rPr>
          <w:noProof/>
        </w:rPr>
      </w:pPr>
      <w:r>
        <w:rPr>
          <w:noProof/>
        </w:rPr>
        <w:t xml:space="preserve">A megállapodás keretében halászó európai uniós hajók parancsnokai halászati naplót vezetnek. A tonhalhalászhajók esetében a halászati naplónak meg kell felelnie az ICCAT halászati tevékenységgel kapcsolatos adatok gyűjtéséről és továbbításáról szóló határozatainak. </w:t>
      </w:r>
    </w:p>
    <w:p>
      <w:pPr>
        <w:spacing w:before="0"/>
        <w:rPr>
          <w:noProof/>
        </w:rPr>
      </w:pPr>
      <w:r>
        <w:rPr>
          <w:noProof/>
        </w:rPr>
        <w:t xml:space="preserve">A hajóparancsnok a halászati naplóba minden nap feljegyzi a kifogott és fedélzeten tárolt – a FAO hárombetűs kódjával azonosított – fajok élőtömeg-kilogrammban vagy adott esetben az egyedek számában kifejezett mennyiségét. A főbb fajok esetében a hajóparancsnok megemlíti azt is, ha nem történt fogás. </w:t>
      </w:r>
    </w:p>
    <w:p>
      <w:pPr>
        <w:spacing w:before="0"/>
        <w:rPr>
          <w:noProof/>
        </w:rPr>
      </w:pPr>
      <w:r>
        <w:rPr>
          <w:noProof/>
        </w:rPr>
        <w:t>Adott esetben a hajóparancsnok minden nap beírja a halászati naplóba az egyes fajok tengerbe visszadobott, élőtömeg-kilogrammban vagy adott esetben az egyedek számában kifejezett mennyiségét.</w:t>
      </w:r>
    </w:p>
    <w:p>
      <w:pPr>
        <w:spacing w:before="0"/>
        <w:rPr>
          <w:noProof/>
        </w:rPr>
      </w:pPr>
      <w:r>
        <w:rPr>
          <w:noProof/>
        </w:rPr>
        <w:t xml:space="preserve">A halászati naplót olvashatóan, nagybetűkkel kell kitölteni, és a hajóparancsnoknak alá kell írnia. </w:t>
      </w:r>
    </w:p>
    <w:p>
      <w:pPr>
        <w:spacing w:before="0"/>
        <w:rPr>
          <w:noProof/>
        </w:rPr>
      </w:pPr>
      <w:r>
        <w:rPr>
          <w:noProof/>
        </w:rPr>
        <w:t>A halászati naplóban rögzített adatok pontosságáért a hajóparancsnok felel.</w:t>
      </w:r>
    </w:p>
    <w:p>
      <w:pPr>
        <w:pStyle w:val="ManualNumPar1"/>
        <w:tabs>
          <w:tab w:val="left" w:pos="480"/>
        </w:tabs>
        <w:ind w:left="480" w:hanging="480"/>
        <w:rPr>
          <w:b/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  <w:t>A fogások bejelentése</w:t>
      </w:r>
    </w:p>
    <w:p>
      <w:pPr>
        <w:pStyle w:val="ManualNumPar2"/>
        <w:spacing w:before="0"/>
        <w:ind w:left="0" w:firstLine="0"/>
        <w:rPr>
          <w:b/>
          <w:noProof/>
        </w:rPr>
      </w:pPr>
      <w:r>
        <w:rPr>
          <w:b/>
          <w:noProof/>
        </w:rPr>
        <w:t>2.1.</w:t>
      </w:r>
      <w:r>
        <w:rPr>
          <w:b/>
          <w:noProof/>
        </w:rPr>
        <w:tab/>
        <w:t xml:space="preserve">Erőkifejtés-alapú állománygazdálkodási rendszer a jegyzőkönyv alkalmazásának első és második évében </w:t>
      </w:r>
    </w:p>
    <w:p>
      <w:pPr>
        <w:rPr>
          <w:noProof/>
        </w:rPr>
      </w:pPr>
      <w:r>
        <w:rPr>
          <w:noProof/>
        </w:rPr>
        <w:t xml:space="preserve">A hajó fogásait a hajóparancsnok a bissau-guineai halászati övezetben töltött időszakra vonatkozó halászati naplóinak a bissau-guineai hatóságok részére történő átadásával jelenti be. </w:t>
      </w:r>
    </w:p>
    <w:p>
      <w:pPr>
        <w:rPr>
          <w:noProof/>
        </w:rPr>
      </w:pPr>
      <w:r>
        <w:rPr>
          <w:noProof/>
        </w:rPr>
        <w:t>A hajóparancsnok a halászati naplókat a Bissau-Guinea által e célból közölt e-mail-címre küldi el. A dokumentum(ok) kézhezvételét Bissau-Guinea válasz e-mailben haladéktalanul visszaigazolja.</w:t>
      </w:r>
    </w:p>
    <w:p>
      <w:pPr>
        <w:rPr>
          <w:noProof/>
        </w:rPr>
      </w:pPr>
      <w:r>
        <w:rPr>
          <w:noProof/>
        </w:rPr>
        <w:t>Alternatív lehetőségként a halászati naplók az alábbiak szerint is elküldhetők:</w:t>
      </w:r>
    </w:p>
    <w:p>
      <w:pPr>
        <w:pStyle w:val="Point1"/>
        <w:spacing w:before="0"/>
        <w:ind w:left="1080" w:hanging="600"/>
        <w:rPr>
          <w:noProof/>
        </w:rPr>
      </w:pPr>
      <w:r>
        <w:rPr>
          <w:noProof/>
        </w:rPr>
        <w:t>a)</w:t>
      </w:r>
      <w:r>
        <w:rPr>
          <w:noProof/>
        </w:rPr>
        <w:tab/>
        <w:t>valamely bissau-guineai kikötőbe való beérkezéskor minden egyes halászati napló eredeti példányát be kell nyújtani az ipari halászati főigazgatóság képviselőjének, aki annak átvételét írásban igazolja;</w:t>
      </w:r>
    </w:p>
    <w:p>
      <w:pPr>
        <w:pStyle w:val="Point1"/>
        <w:spacing w:before="0"/>
        <w:ind w:left="1080" w:hanging="600"/>
        <w:rPr>
          <w:noProof/>
        </w:rPr>
      </w:pPr>
      <w:r>
        <w:rPr>
          <w:noProof/>
        </w:rPr>
        <w:t>b)</w:t>
      </w:r>
      <w:r>
        <w:rPr>
          <w:noProof/>
        </w:rPr>
        <w:tab/>
        <w:t>ha a hajó anélkül hagyja el Bissau-Guinea halászati övezetét, hogy kikötne valamely bissau-guineai kikötőben, minden egyes halászati napló eredeti példányát bármely más kikötőbe való megérkezéstől számított 14 napon belül, de legkésőbb a bissau-guineai halászati övezet elhagyását követő 30 napon belül kell elküldeni.</w:t>
      </w:r>
    </w:p>
    <w:p>
      <w:pPr>
        <w:rPr>
          <w:noProof/>
        </w:rPr>
      </w:pPr>
      <w:r>
        <w:rPr>
          <w:noProof/>
        </w:rPr>
        <w:t>A hajóparancsnok minden halászati napló egy példányát megküldi az Európai Uniónak. A tonhalhalászhajók és a felszíni horogsoros hajók esetében a hajóparancsnok minden halászati napló egy példányát megküldi az alábbi tudományos intézetek egyikének is:</w:t>
      </w:r>
    </w:p>
    <w:p>
      <w:pPr>
        <w:pStyle w:val="Point1letter"/>
        <w:rPr>
          <w:noProof/>
        </w:rPr>
      </w:pPr>
      <w:r>
        <w:rPr>
          <w:noProof/>
        </w:rPr>
        <w:t>Institut de recherche pour le développement (IRD);</w:t>
      </w:r>
    </w:p>
    <w:p>
      <w:pPr>
        <w:pStyle w:val="Point1letter"/>
        <w:rPr>
          <w:noProof/>
        </w:rPr>
      </w:pPr>
      <w:r>
        <w:rPr>
          <w:noProof/>
        </w:rPr>
        <w:lastRenderedPageBreak/>
        <w:t>Instituto Español de Oceanografia (IEO); vagy</w:t>
      </w:r>
    </w:p>
    <w:p>
      <w:pPr>
        <w:pStyle w:val="Point1letter"/>
        <w:rPr>
          <w:noProof/>
          <w:color w:val="000000"/>
        </w:rPr>
      </w:pPr>
      <w:r>
        <w:rPr>
          <w:noProof/>
        </w:rPr>
        <w:t>Instituto Português do Mar e da Atmosféra (IPMA).</w:t>
      </w:r>
    </w:p>
    <w:p>
      <w:pPr>
        <w:rPr>
          <w:noProof/>
        </w:rPr>
      </w:pPr>
      <w:r>
        <w:rPr>
          <w:noProof/>
        </w:rPr>
        <w:t xml:space="preserve">Ha a hajó halászati engedélyének érvényességi időszaka alatt visszatér Bissau-Guinea halászati övezetébe, újabb tevékenységi és fogási jelentést kell készítenie. </w:t>
      </w:r>
    </w:p>
    <w:p>
      <w:pPr>
        <w:rPr>
          <w:rFonts w:eastAsia="EUAlbertina-Regular-Identity-H"/>
          <w:noProof/>
        </w:rPr>
      </w:pPr>
      <w:r>
        <w:rPr>
          <w:noProof/>
        </w:rPr>
        <w:t>Az e fejezetben előírt rendelkezések be nem tartása esetén Bissau-Guinea a hiányzó fogási jelentések benyújtásáig felfüggesztheti az érintett hajó halászati engedélyét, és a hajótulajdonost az e célból a hatályos nemzeti jogszabályokban előírt rendelkezések szerint büntetéssel sújthatja. Ismételt jogszabálysértés esetén Bissau-Guinea megtagadhatja a halászati engedély megújítását. Bissau-Guinea haladéktalanul tájékoztatja az Európai Uniót az ilyen összefüggésben alkalmazott mindennemű szankcióról.</w:t>
      </w:r>
    </w:p>
    <w:p>
      <w:pPr>
        <w:pStyle w:val="ManualNumPar2"/>
        <w:spacing w:before="0"/>
        <w:ind w:left="0" w:firstLine="0"/>
        <w:rPr>
          <w:b/>
          <w:noProof/>
        </w:rPr>
      </w:pPr>
      <w:r>
        <w:rPr>
          <w:b/>
          <w:noProof/>
        </w:rPr>
        <w:t>2.2.</w:t>
      </w:r>
      <w:r>
        <w:rPr>
          <w:b/>
          <w:noProof/>
        </w:rPr>
        <w:tab/>
        <w:t>Kvóta alapú állománygazdálkodási rendszer a jegyzőkönyv alkalmazásának harmadik évétől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megállapodás keretében halászó európai uniós hajók parancsnokai kötelesek az ICCAT vonatkozó határozatainak és ajánlásainak megfelelő halászati naplót vezetni. Az elektronikus halászati naplóban rögzített adatok pontosságáért a hajóparancsnok felel.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Az e jegyzőkönyv értelmében kiadott jogosítvánnyal rendelkező uniós halászhajók mindegyikének rendelkeznie kell olyan elektronikus rendszerrel (a továbbiakban: ERS rendszer), amely alkalmas a hajó halászati tevékenységére vonatkozó adatok (a továbbiakban: ERS-adatok) rögzítésére és továbbítására. 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A fogások közlésének szabályai a következők:</w:t>
      </w:r>
    </w:p>
    <w:p>
      <w:pPr>
        <w:pStyle w:val="Point1letter"/>
        <w:numPr>
          <w:ilvl w:val="3"/>
          <w:numId w:val="40"/>
        </w:numPr>
        <w:rPr>
          <w:noProof/>
        </w:rPr>
      </w:pPr>
      <w:r>
        <w:rPr>
          <w:noProof/>
        </w:rPr>
        <w:t xml:space="preserve">az e jegyzőkönyv keretében Bissau-Guinea vizein tevékenységet folytató minden hajó parancsnoka minden nap kitölti az elektronikus halászati naplót és a halászati övezet elhagyását követő hét napon belül az ERS rendszeren keresztül (4. függelék), illetve annak meghibásodása esetén e-mailen továbbítja a lobogó szerinti állam, illetve Bissau-Guinea halászati felügyelő központjának. </w:t>
      </w:r>
    </w:p>
    <w:p>
      <w:pPr>
        <w:pStyle w:val="Point1letter"/>
        <w:rPr>
          <w:noProof/>
        </w:rPr>
      </w:pPr>
      <w:r>
        <w:rPr>
          <w:noProof/>
        </w:rPr>
        <w:t>az elektronikus halászati naplónak tartalmaznia kell a kifogott és fedélzeten tárolt – a FAO hárombetűs kódjával azonosított – fajok élőtömeg-kilogrammban vagy adott esetben az egyedek számában kifejezett mennyiségét. A főbb fajok esetében a hajóparancsnok megemlíti azt is, ha nem történt fogás. Rögzíti továbbá az egyes fajok tengerbe visszadobott, élőtömeg-kilogrammban vagy adott esetben az egyedek számában kifejezett mennyiségét.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Az ERS-adatokat a hajó a lobogója szerinti államnak továbbítja, amely automatikusan biztosítja Bissau-Guinea számára az adatok elérhetőségét. A lobogó szerinti állam biztosítja az adatok fogadását és olyan informatikai adatbázisban történő rögzítését, amelyben legalább 36 hónapig biztonságosan tárolhatók.</w:t>
      </w:r>
    </w:p>
    <w:p>
      <w:pPr>
        <w:pStyle w:val="ManualNumPar1"/>
        <w:rPr>
          <w:rFonts w:eastAsia="Calibri"/>
          <w:noProof/>
        </w:rPr>
      </w:pPr>
      <w:r>
        <w:rPr>
          <w:noProof/>
        </w:rPr>
        <w:t>5.</w:t>
      </w:r>
      <w:r>
        <w:rPr>
          <w:noProof/>
        </w:rPr>
        <w:tab/>
        <w:t xml:space="preserve">A lobogó szerinti állam és Bissau-Guinea megbizonyosodnak arról, hogy rendelkeznek azokkal a számítástechnikai eszközökkel és szoftverekkel, amelyek szükségesek az ERS-adatoknak a 4. függelék 3. pontjában részletezett formátumban történő automatikus küldéséhez. </w:t>
      </w:r>
    </w:p>
    <w:p>
      <w:pPr>
        <w:pStyle w:val="ManualNumPar1"/>
        <w:rPr>
          <w:rFonts w:eastAsia="Calibri"/>
          <w:noProof/>
        </w:rPr>
      </w:pPr>
      <w:r>
        <w:rPr>
          <w:noProof/>
        </w:rPr>
        <w:t>6.</w:t>
      </w:r>
      <w:r>
        <w:rPr>
          <w:noProof/>
        </w:rPr>
        <w:tab/>
        <w:t xml:space="preserve">Az ERS-adatok küldésekor az Európai Bizottság által kezelt elektronikus kommunikációs eszközöket kell használni a halászatra vonatkozó adatok szabványos formában történő cseréjéhez. </w:t>
      </w:r>
    </w:p>
    <w:p>
      <w:pPr>
        <w:pStyle w:val="ManualNumPar1"/>
        <w:rPr>
          <w:noProof/>
        </w:rPr>
      </w:pPr>
      <w:r>
        <w:rPr>
          <w:noProof/>
        </w:rPr>
        <w:t>7.</w:t>
      </w:r>
      <w:r>
        <w:rPr>
          <w:noProof/>
        </w:rPr>
        <w:tab/>
        <w:t xml:space="preserve">A fogási jelentésekre vonatkozó rendelkezések be nem tartása esetén Bissau-Guinea a hiányzó nyilatkozatok benyújtásáig felfüggesztheti az érintett hajó halászati engedélyét, és a hajótulajdonost az e célból a hatályos nemzeti jogszabályokban előírt </w:t>
      </w:r>
      <w:r>
        <w:rPr>
          <w:noProof/>
        </w:rPr>
        <w:lastRenderedPageBreak/>
        <w:t>rendelkezések szerint büntetéssel sújthatja. Ismételt jogszabálysértés esetén Bissau-Guinea megtagadhatja a halászati engedély megújítását. Bissau-Guinea haladéktalanul tájékoztatja az Európai Uniót az ilyen összefüggésben alkalmazott mindennemű szankcióról.</w:t>
      </w:r>
    </w:p>
    <w:p>
      <w:pPr>
        <w:pStyle w:val="ManualNumPar1"/>
        <w:rPr>
          <w:noProof/>
        </w:rPr>
      </w:pPr>
      <w:r>
        <w:rPr>
          <w:noProof/>
        </w:rPr>
        <w:t>8.</w:t>
      </w:r>
      <w:r>
        <w:rPr>
          <w:noProof/>
        </w:rPr>
        <w:tab/>
        <w:t>A lobogó szerinti állam és Bissau-Guinea is kijelöl egy-egy ERS-kapcsolattartót, aki közvetítőként jár el a 4. függelék végrehajtásával kapcsolatban felmerülő kérdésekben. A lobogó szerinti állam és Bissau-Guinea közlik egymással ERS-kapcsolattartójuk elérhetőségeit és szükség esetén haladéktalanul frissítik ezeket az információkat.</w:t>
      </w:r>
    </w:p>
    <w:p>
      <w:pPr>
        <w:pStyle w:val="ManualNumPar1"/>
        <w:ind w:left="480" w:hanging="480"/>
        <w:rPr>
          <w:b/>
          <w:noProof/>
        </w:rPr>
      </w:pPr>
      <w:r>
        <w:rPr>
          <w:b/>
          <w:noProof/>
        </w:rPr>
        <w:t>3.</w:t>
      </w:r>
      <w:r>
        <w:rPr>
          <w:b/>
          <w:noProof/>
        </w:rPr>
        <w:tab/>
        <w:t>Elektronikus rendszerre való áttérés</w:t>
      </w:r>
    </w:p>
    <w:p>
      <w:pPr>
        <w:rPr>
          <w:noProof/>
        </w:rPr>
      </w:pPr>
      <w:r>
        <w:rPr>
          <w:noProof/>
        </w:rPr>
        <w:t xml:space="preserve">A két Fél a vegyes bizottságon belül egyeztet az elektronikus fogásbejelentő rendszerre (ERS) való áttérésről, mely rendszeren keresztül az európai uniós hajók – az e melléklet függelékében szereplő rendelkezéseknek megfelelően – elektronikus úton rögzítik és eljuttatják Bissau-Guineának a megállapodás keretében végzett halászati műveleteikre vonatkozó adatokat. </w:t>
      </w:r>
    </w:p>
    <w:p>
      <w:pPr>
        <w:rPr>
          <w:noProof/>
          <w:color w:val="1A171C"/>
        </w:rPr>
      </w:pPr>
      <w:r>
        <w:rPr>
          <w:noProof/>
        </w:rPr>
        <w:t>Az átállásnak legkésőbb a jegyzőkönyv harmadik éve kezdetéig meg kell történnie.</w:t>
      </w:r>
    </w:p>
    <w:p>
      <w:pPr>
        <w:pStyle w:val="ManualNumPar1"/>
        <w:ind w:left="480" w:hanging="480"/>
        <w:rPr>
          <w:b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</w:r>
      <w:r>
        <w:rPr>
          <w:b/>
          <w:noProof/>
        </w:rPr>
        <w:t xml:space="preserve">Tonhalhalászhajókra és felszíni horogsoros hajókra </w:t>
      </w:r>
      <w:r>
        <w:rPr>
          <w:b/>
          <w:bCs/>
          <w:iCs/>
          <w:noProof/>
        </w:rPr>
        <w:t>vonatkozó</w:t>
      </w:r>
      <w:r>
        <w:rPr>
          <w:b/>
          <w:noProof/>
        </w:rPr>
        <w:t xml:space="preserve"> </w:t>
      </w:r>
      <w:r>
        <w:rPr>
          <w:b/>
          <w:bCs/>
          <w:iCs/>
          <w:noProof/>
        </w:rPr>
        <w:t>díjkimutatás</w:t>
      </w:r>
    </w:p>
    <w:p>
      <w:pPr>
        <w:rPr>
          <w:noProof/>
        </w:rPr>
      </w:pPr>
      <w:r>
        <w:rPr>
          <w:noProof/>
        </w:rPr>
        <w:t xml:space="preserve">Az Európai Unió az említett fogási jelentések alapján minden tonhalhalászhajó és felszíni horogsoros hajó vonatkozásában elkészíti az egyes hajók által az előző naptári évi halászati idény után fizetendő díjak végleges kimutatását. </w:t>
      </w:r>
    </w:p>
    <w:p>
      <w:pPr>
        <w:rPr>
          <w:noProof/>
        </w:rPr>
      </w:pPr>
      <w:r>
        <w:rPr>
          <w:noProof/>
        </w:rPr>
        <w:t>Az Unió e végleges díjkimutatást a fogások ejtésének évét követő év május 31. napja előtt továbbítja Bissau-Guineának és a hajótulajdonosnak.</w:t>
      </w:r>
    </w:p>
    <w:p>
      <w:pPr>
        <w:rPr>
          <w:noProof/>
        </w:rPr>
      </w:pPr>
      <w:r>
        <w:rPr>
          <w:noProof/>
        </w:rPr>
        <w:t>Ha a végleges díjkimutatás összege meghaladja a halászati engedély megszerzéséért előzetesen befizetett átalánydíjat, a hajótulajdonos a fennmaradó összeget haladéktalanul megfizeti Bissau-Guineának. Ha a végleges díjkimutatás összege kisebb az átalánydíjnál, a fennmaradó összeg nem kerül visszatérítésre a hajótulajdonos számára.</w:t>
      </w:r>
    </w:p>
    <w:p>
      <w:pPr>
        <w:pStyle w:val="Text1"/>
        <w:rPr>
          <w:noProof/>
        </w:rPr>
      </w:pP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t>V. FEJEZET</w:t>
      </w: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b/>
          <w:noProof/>
        </w:rPr>
      </w:pPr>
      <w:r>
        <w:rPr>
          <w:b/>
          <w:noProof/>
        </w:rPr>
        <w:t>KIRAKODÁS ÉS ÁTRAKÁS</w:t>
      </w:r>
    </w:p>
    <w:p>
      <w:pPr>
        <w:pStyle w:val="ManualNumPar1"/>
        <w:spacing w:before="0" w:after="240"/>
        <w:ind w:left="0" w:firstLine="0"/>
        <w:rPr>
          <w:b/>
          <w:noProof/>
        </w:rPr>
      </w:pPr>
      <w:r>
        <w:rPr>
          <w:b/>
          <w:noProof/>
        </w:rPr>
        <w:t>1. A fogások kirakodása vagy átrakása</w:t>
      </w:r>
    </w:p>
    <w:p>
      <w:pPr>
        <w:rPr>
          <w:noProof/>
        </w:rPr>
      </w:pPr>
      <w:r>
        <w:rPr>
          <w:noProof/>
        </w:rPr>
        <w:t>A Bissau kikötőjében kirakodni vagy Bissau-Guinea halászati övezetében ejtett fogásokat átrakni kívánó európai uniós hajó parancsnoka a kirakodás vagy átrakás előtt legalább 24 órával köteles értesíteni az ipari halászati főigazgatóság képviselőjét az alábbiakról:</w:t>
      </w:r>
    </w:p>
    <w:p>
      <w:pPr>
        <w:pStyle w:val="Point1letter"/>
        <w:numPr>
          <w:ilvl w:val="3"/>
          <w:numId w:val="4"/>
        </w:numPr>
        <w:tabs>
          <w:tab w:val="clear" w:pos="1417"/>
          <w:tab w:val="num" w:pos="1200"/>
        </w:tabs>
        <w:spacing w:before="0"/>
        <w:ind w:left="0" w:firstLine="600"/>
        <w:rPr>
          <w:noProof/>
        </w:rPr>
      </w:pPr>
      <w:r>
        <w:rPr>
          <w:noProof/>
        </w:rPr>
        <w:t>a rakományt kirakodni vagy átrakni szándékozó halászhajó neve;</w:t>
      </w:r>
    </w:p>
    <w:p>
      <w:pPr>
        <w:pStyle w:val="Point1letter"/>
        <w:numPr>
          <w:ilvl w:val="3"/>
          <w:numId w:val="3"/>
        </w:numPr>
        <w:tabs>
          <w:tab w:val="clear" w:pos="1417"/>
          <w:tab w:val="num" w:pos="1200"/>
        </w:tabs>
        <w:spacing w:before="0"/>
        <w:ind w:left="0" w:firstLine="600"/>
        <w:rPr>
          <w:noProof/>
        </w:rPr>
      </w:pPr>
      <w:r>
        <w:rPr>
          <w:noProof/>
        </w:rPr>
        <w:t>a kirakodási vagy átrakási kikötő;</w:t>
      </w:r>
    </w:p>
    <w:p>
      <w:pPr>
        <w:pStyle w:val="Point1letter"/>
        <w:numPr>
          <w:ilvl w:val="3"/>
          <w:numId w:val="3"/>
        </w:numPr>
        <w:tabs>
          <w:tab w:val="clear" w:pos="1417"/>
          <w:tab w:val="num" w:pos="1200"/>
        </w:tabs>
        <w:spacing w:before="0"/>
        <w:ind w:left="0" w:firstLine="600"/>
        <w:rPr>
          <w:noProof/>
        </w:rPr>
      </w:pPr>
      <w:r>
        <w:rPr>
          <w:noProof/>
        </w:rPr>
        <w:t>a kirakodás vagy átrakás várható napja és időpontja;</w:t>
      </w:r>
    </w:p>
    <w:p>
      <w:pPr>
        <w:pStyle w:val="Point1letter"/>
        <w:numPr>
          <w:ilvl w:val="3"/>
          <w:numId w:val="3"/>
        </w:numPr>
        <w:tabs>
          <w:tab w:val="clear" w:pos="1417"/>
          <w:tab w:val="num" w:pos="1200"/>
        </w:tabs>
        <w:spacing w:before="0"/>
        <w:ind w:left="0" w:firstLine="600"/>
        <w:rPr>
          <w:noProof/>
        </w:rPr>
      </w:pPr>
      <w:r>
        <w:rPr>
          <w:noProof/>
        </w:rPr>
        <w:t>a kirakodásra vagy átrakásra szánt egyes fajok mennyisége (a FAO hárombetűs kódjával azonosítva, élőtömeg-kilogrammban vagy adott esetben az egyedek számában kifejezve);</w:t>
      </w:r>
    </w:p>
    <w:p>
      <w:pPr>
        <w:pStyle w:val="Point1letter"/>
        <w:numPr>
          <w:ilvl w:val="3"/>
          <w:numId w:val="3"/>
        </w:numPr>
        <w:tabs>
          <w:tab w:val="clear" w:pos="1417"/>
          <w:tab w:val="num" w:pos="1200"/>
        </w:tabs>
        <w:spacing w:before="0"/>
        <w:ind w:left="0" w:firstLine="600"/>
        <w:rPr>
          <w:noProof/>
        </w:rPr>
      </w:pPr>
      <w:r>
        <w:rPr>
          <w:noProof/>
        </w:rPr>
        <w:t>átrakás esetén a fogadó hajó neve.</w:t>
      </w:r>
    </w:p>
    <w:p>
      <w:pPr>
        <w:rPr>
          <w:noProof/>
        </w:rPr>
      </w:pPr>
      <w:r>
        <w:rPr>
          <w:noProof/>
        </w:rPr>
        <w:t>Átrakás esetén a hajóparancsnoknak meg kell győződnie arról, hogy a fogadó hajó rendelkezik az illetékes hatóságok által ilyen művelet végzésére vonatkozóan kiállított engedéllyel.</w:t>
      </w:r>
    </w:p>
    <w:p>
      <w:pPr>
        <w:rPr>
          <w:noProof/>
        </w:rPr>
      </w:pPr>
      <w:r>
        <w:rPr>
          <w:noProof/>
        </w:rPr>
        <w:lastRenderedPageBreak/>
        <w:t>Az átrakási műveletet Bissau kikötőjében kell elvégezni, melynek földrajzi koordinátáit az illetékes hatóságok átadják a hajó parancsnokának vagy ügynökének. A tengeren történő átrakás tilos.</w:t>
      </w:r>
    </w:p>
    <w:p>
      <w:pPr>
        <w:rPr>
          <w:noProof/>
        </w:rPr>
      </w:pPr>
      <w:r>
        <w:rPr>
          <w:noProof/>
        </w:rPr>
        <w:t>E rendelkezések be nem tartása a bissau-guineai jogszabályokban előírt vonatkozó szankciók alkalmazását vonja maga után.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>2. Természetbeni élelmezésbiztonsági hozzájárulás</w:t>
      </w:r>
    </w:p>
    <w:p>
      <w:pPr>
        <w:rPr>
          <w:noProof/>
        </w:rPr>
      </w:pPr>
      <w:r>
        <w:rPr>
          <w:noProof/>
        </w:rPr>
        <w:t>A vonóhálós hajók kötelesek fogásuk egy részét kirakodni Bissau-Guineában, az ország élelmezésbiztonságához való hozzájárulásként. A kirakodások a következő előírások szerint történnek:</w:t>
      </w:r>
    </w:p>
    <w:p>
      <w:pPr>
        <w:pStyle w:val="Tiret1"/>
        <w:rPr>
          <w:noProof/>
        </w:rPr>
      </w:pPr>
      <w:r>
        <w:rPr>
          <w:noProof/>
        </w:rPr>
        <w:t>a halakra/fejlábúakra halászó vonóhálós hajók esetében negyedévente és hajónként 2,5 tonna;</w:t>
      </w:r>
    </w:p>
    <w:p>
      <w:pPr>
        <w:pStyle w:val="Tiret1"/>
        <w:rPr>
          <w:noProof/>
        </w:rPr>
      </w:pPr>
      <w:r>
        <w:rPr>
          <w:noProof/>
        </w:rPr>
        <w:t>a garnélahalász-hajók esetében negyedévente és hajónként 1,25 tonna.</w:t>
      </w:r>
    </w:p>
    <w:p>
      <w:pPr>
        <w:rPr>
          <w:noProof/>
        </w:rPr>
      </w:pPr>
      <w:r>
        <w:rPr>
          <w:noProof/>
        </w:rPr>
        <w:t>A szóban forgó előírás teljesítésének megkönnyítése érdekében a hajónkénti hozzájárulás összevontan, egyszerre több hajóra, illetve több negyedévre vonatkozóan is teljesíthető. A kirakodást Bissau kikötőjében kell végrehajtani, az átvétel pedig az ipari halászati főigazgatóság képviselőjének a feladata.</w:t>
      </w:r>
    </w:p>
    <w:p>
      <w:pPr>
        <w:rPr>
          <w:noProof/>
        </w:rPr>
      </w:pPr>
      <w:r>
        <w:rPr>
          <w:noProof/>
        </w:rPr>
        <w:t>A természetbeni hozzájárulások átvételéről minden esetben ki kell tölteni egy átvételi formanyomtatványt, melyet az ipari halászati főigazgatóság képviselőjének alá kell írnia, majd át kell adni a hajóparancsnoknak.</w:t>
      </w:r>
    </w:p>
    <w:p>
      <w:pPr>
        <w:rPr>
          <w:noProof/>
        </w:rPr>
      </w:pPr>
      <w:r>
        <w:rPr>
          <w:noProof/>
        </w:rPr>
        <w:t>E kirakodások további részleteiről a Felek közös megegyezéssel dönthetnek.</w:t>
      </w: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rFonts w:eastAsia="EUAlbertina-Regular-Identity-H"/>
          <w:noProof/>
        </w:rPr>
      </w:pP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t>VI. FEJEZET</w:t>
      </w: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b/>
          <w:noProof/>
        </w:rPr>
      </w:pPr>
      <w:r>
        <w:rPr>
          <w:b/>
          <w:noProof/>
        </w:rPr>
        <w:t>ELLENŐRZÉS ÉS VIZSGÁLAT</w:t>
      </w:r>
    </w:p>
    <w:p>
      <w:pPr>
        <w:pStyle w:val="ManualNumPar1"/>
        <w:spacing w:before="0"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  <w:t>A halászati övezetbe való belépés és az onnan való kilépés</w:t>
      </w:r>
    </w:p>
    <w:p>
      <w:pPr>
        <w:rPr>
          <w:noProof/>
        </w:rPr>
      </w:pPr>
      <w:r>
        <w:rPr>
          <w:noProof/>
        </w:rPr>
        <w:t>A halászati engedéllyel rendelkező európai uniós hajóknak a bissau-guineai halászati övezetbe való minden belépését és onnan való kilépését a belépést vagy kilépést megelőző 24 órán belül be kell jelenteni Bissau-Guineának. Tonhalhalászhajók és felszíni horogsoros hajók esetében a bejelentési határidő 4 óra.</w:t>
      </w:r>
    </w:p>
    <w:p>
      <w:pPr>
        <w:rPr>
          <w:noProof/>
        </w:rPr>
      </w:pPr>
      <w:r>
        <w:rPr>
          <w:noProof/>
        </w:rPr>
        <w:t xml:space="preserve">Be- vagy kilépésének bejelentésekor a hajó tájékoztatást ad a következőkről: </w:t>
      </w:r>
    </w:p>
    <w:p>
      <w:pPr>
        <w:pStyle w:val="Point1letter"/>
        <w:numPr>
          <w:ilvl w:val="3"/>
          <w:numId w:val="41"/>
        </w:numPr>
        <w:rPr>
          <w:noProof/>
        </w:rPr>
      </w:pPr>
      <w:r>
        <w:rPr>
          <w:noProof/>
        </w:rPr>
        <w:t>az áthaladás várható napja, időpontja és helye;</w:t>
      </w:r>
      <w:r>
        <w:rPr>
          <w:noProof/>
        </w:rPr>
        <w:tab/>
      </w:r>
    </w:p>
    <w:p>
      <w:pPr>
        <w:pStyle w:val="Point1letter"/>
        <w:rPr>
          <w:noProof/>
        </w:rPr>
      </w:pPr>
      <w:r>
        <w:rPr>
          <w:noProof/>
        </w:rPr>
        <w:t>a fedélzeten tárolt, a FAO hárombetűs kódjával azonosított egyes fajok élőtömeg-kilogrammban vagy adott esetben az egyedek számában kifejezett mennyisége;</w:t>
      </w:r>
    </w:p>
    <w:p>
      <w:pPr>
        <w:pStyle w:val="Point1letter"/>
        <w:rPr>
          <w:noProof/>
        </w:rPr>
      </w:pPr>
      <w:r>
        <w:rPr>
          <w:noProof/>
        </w:rPr>
        <w:t xml:space="preserve">a termékek kiszerelése. </w:t>
      </w:r>
    </w:p>
    <w:p>
      <w:pPr>
        <w:rPr>
          <w:noProof/>
        </w:rPr>
      </w:pPr>
      <w:r>
        <w:rPr>
          <w:noProof/>
        </w:rPr>
        <w:t xml:space="preserve">A bejelentést lehetőség szerint e-mailben, vagy ennek hiányában faxon vagy rádión kell megtenni, a Bissau-Guinea által megadott e-mail-címen, hívószámon vagy frekvencián. Bissau-Guinea haladéktalanul értesíti az érintett hajókat és az Európai Uniót az e-mail-címekben, a hívószámban vagy a frekvenciában bekövetkező mindennemű változásról. </w:t>
      </w:r>
    </w:p>
    <w:p>
      <w:pPr>
        <w:rPr>
          <w:noProof/>
        </w:rPr>
      </w:pPr>
      <w:r>
        <w:rPr>
          <w:noProof/>
        </w:rPr>
        <w:t>Minden olyan hajó, amelyet a bissau-guineai halászati övezetben halászati tevékenységen érnek anélkül, hogy előzetesen bejelentette volna jelenlétét, engedély nélkül halászó hajónak minősül.</w:t>
      </w:r>
    </w:p>
    <w:p>
      <w:pPr>
        <w:pStyle w:val="ManualNumPar1"/>
        <w:spacing w:before="0"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2.</w:t>
      </w:r>
      <w:r>
        <w:rPr>
          <w:b/>
          <w:bCs/>
          <w:iCs/>
          <w:noProof/>
        </w:rPr>
        <w:tab/>
        <w:t>A hajók helyzetmeghatározási üzenetei – VMS rendszer</w:t>
      </w:r>
    </w:p>
    <w:p>
      <w:pPr>
        <w:widowControl w:val="0"/>
        <w:spacing w:before="0"/>
        <w:rPr>
          <w:noProof/>
          <w:color w:val="000000"/>
        </w:rPr>
      </w:pPr>
      <w:r>
        <w:rPr>
          <w:noProof/>
          <w:color w:val="000000"/>
        </w:rPr>
        <w:lastRenderedPageBreak/>
        <w:t>Amikor Bissau-Guinea halászati övezetében tartózkodnak, az európai uniós hajóknak műholdas megfigyelési rendszerrel (Vessel Monitoring System – VMS) kell rendelkezniük, amely automatikusan és folyamatosan, minden órában közli földrajzi helyzetüket a lobogójuk szerinti állam halászati felügyelő központjával.</w:t>
      </w:r>
    </w:p>
    <w:p>
      <w:pPr>
        <w:widowControl w:val="0"/>
        <w:spacing w:before="0"/>
        <w:rPr>
          <w:noProof/>
          <w:color w:val="000000"/>
        </w:rPr>
      </w:pPr>
      <w:r>
        <w:rPr>
          <w:noProof/>
          <w:color w:val="000000"/>
        </w:rPr>
        <w:t xml:space="preserve">Tilos áthelyezni, szétkapcsolni, megsemmisíteni, megrongálni vagy működésképtelenné tenni a hajó fedélzetén lévő, adatokat továbbító, a földrajzi helyzet folyamatos megfigyelésére szolgáló, műholdas kommunikációt használó rendszereket, továbbá tilos szándékosan módosítani, torzítani vagy meghamisítani az említett rendszerek által kibocsátott vagy rögzített adatokat. </w:t>
      </w:r>
    </w:p>
    <w:p>
      <w:pPr>
        <w:widowControl w:val="0"/>
        <w:spacing w:before="0"/>
        <w:rPr>
          <w:noProof/>
          <w:color w:val="000000"/>
        </w:rPr>
      </w:pPr>
      <w:r>
        <w:rPr>
          <w:noProof/>
          <w:color w:val="000000"/>
        </w:rPr>
        <w:t>A helymeghatározási és fogási üzenetek küldése elsősorban a VMS/ERS rendszeren keresztül, annak meghibásodása esetén pedig e-mailen, faxon vagy rádión keresztül történik. Bissau-Guinea haladéktalanul értesíti az érintett hajókat és az Uniót az e-mail-címben, a telefonszámban vagy az átviteli frekvenciában bekövetkező mindennemű változásról.</w:t>
      </w:r>
    </w:p>
    <w:p>
      <w:pPr>
        <w:widowControl w:val="0"/>
        <w:spacing w:before="0"/>
        <w:rPr>
          <w:noProof/>
          <w:color w:val="000000"/>
        </w:rPr>
      </w:pPr>
      <w:r>
        <w:rPr>
          <w:noProof/>
          <w:color w:val="000000"/>
        </w:rPr>
        <w:t>Minden helyzetmeghatározási üzenetnek tartalmaznia kell az alábbiakat:</w:t>
      </w:r>
    </w:p>
    <w:p>
      <w:pPr>
        <w:pStyle w:val="Point1letter"/>
        <w:numPr>
          <w:ilvl w:val="3"/>
          <w:numId w:val="42"/>
        </w:numPr>
        <w:rPr>
          <w:noProof/>
        </w:rPr>
      </w:pPr>
      <w:r>
        <w:rPr>
          <w:noProof/>
        </w:rPr>
        <w:t>a hajó azonosító jele;</w:t>
      </w:r>
    </w:p>
    <w:p>
      <w:pPr>
        <w:pStyle w:val="Point1letter"/>
        <w:rPr>
          <w:noProof/>
        </w:rPr>
      </w:pPr>
      <w:r>
        <w:rPr>
          <w:noProof/>
        </w:rPr>
        <w:t>a halászhajó utoljára mért földrajzi helyzete (földrajzi hosszúság és szélesség) 500 méternél kisebb megengedett eltéréssel, 99 %-os konfidenciaintervallummal;</w:t>
      </w:r>
    </w:p>
    <w:p>
      <w:pPr>
        <w:pStyle w:val="Point1letter"/>
        <w:rPr>
          <w:noProof/>
        </w:rPr>
      </w:pPr>
      <w:r>
        <w:rPr>
          <w:noProof/>
        </w:rPr>
        <w:tab/>
        <w:t>a földrajzi helyzet feljegyzésének napja és időpontja;</w:t>
      </w:r>
    </w:p>
    <w:p>
      <w:pPr>
        <w:pStyle w:val="Point1letter"/>
        <w:rPr>
          <w:noProof/>
        </w:rPr>
      </w:pPr>
      <w:r>
        <w:rPr>
          <w:noProof/>
        </w:rPr>
        <w:t>a hajó sebessége és iránya;</w:t>
      </w:r>
    </w:p>
    <w:p>
      <w:pPr>
        <w:pStyle w:val="Point1letter"/>
        <w:rPr>
          <w:noProof/>
        </w:rPr>
      </w:pPr>
      <w:r>
        <w:rPr>
          <w:noProof/>
        </w:rPr>
        <w:t>az üzenetet az 3. függelékben szereplő formátum szerint kell elkészíteni.</w:t>
      </w:r>
    </w:p>
    <w:p>
      <w:pPr>
        <w:widowControl w:val="0"/>
        <w:spacing w:before="0" w:after="240"/>
        <w:rPr>
          <w:noProof/>
          <w:color w:val="000000"/>
        </w:rPr>
      </w:pPr>
      <w:r>
        <w:rPr>
          <w:noProof/>
          <w:color w:val="000000"/>
        </w:rPr>
        <w:t>Minden olyan hajó, amelyet a bissau-guineai halászati övezetben halászati tevékenységen érnek anélkül, hogy előzetesen bejelentette volna jelenlétét, jogsértő hajónak minősül.</w:t>
      </w:r>
    </w:p>
    <w:p>
      <w:pPr>
        <w:pStyle w:val="ManualNumPar1"/>
        <w:ind w:left="480" w:hanging="480"/>
        <w:rPr>
          <w:b/>
          <w:noProof/>
        </w:rPr>
      </w:pPr>
      <w:r>
        <w:rPr>
          <w:b/>
          <w:bCs/>
          <w:iCs/>
          <w:noProof/>
        </w:rPr>
        <w:t>3.</w:t>
      </w:r>
      <w:r>
        <w:rPr>
          <w:b/>
          <w:bCs/>
          <w:iCs/>
          <w:noProof/>
        </w:rPr>
        <w:tab/>
      </w:r>
      <w:r>
        <w:rPr>
          <w:b/>
          <w:noProof/>
        </w:rPr>
        <w:t>Tengeren vagy kikötőben végzett vizsgálat</w:t>
      </w:r>
    </w:p>
    <w:p>
      <w:pPr>
        <w:rPr>
          <w:noProof/>
        </w:rPr>
      </w:pPr>
      <w:r>
        <w:rPr>
          <w:noProof/>
        </w:rPr>
        <w:t>Bissau-Guinea halászati övezetében az engedéllyel rendelkező európai uniós hajóknak a tengeren vagy a kikötőben történő vizsgálatát Bissau-Guinea halászati ellenőrzéssel megbízott és egyértelműen azonosítható hajói és ellenőrei végzik.</w:t>
      </w:r>
    </w:p>
    <w:p>
      <w:pPr>
        <w:rPr>
          <w:noProof/>
        </w:rPr>
      </w:pPr>
      <w:r>
        <w:rPr>
          <w:noProof/>
        </w:rPr>
        <w:t xml:space="preserve">Fedélzetre szállás előtt az engedéllyel rendelkező bissau-guineai ellenőröknek az uniós hajót értesíteniük kell a vizsgálat végzésére vonatkozó döntésükről. A vizsgálatot legfeljebb két ellenőr végezheti, akiknek a vizsgálat elvégzése előtt igazolniuk kell személyazonosságukat és ellenőri minőségüket. Szükséges esetben az ellenőröket – a nemzetközi tengerjoggal összhangban – a bissau-guineai nemzeti biztonsági erők képviselői kísérhetik. </w:t>
      </w:r>
    </w:p>
    <w:p>
      <w:pPr>
        <w:rPr>
          <w:noProof/>
        </w:rPr>
      </w:pPr>
      <w:r>
        <w:rPr>
          <w:noProof/>
        </w:rPr>
        <w:t>A bissau-guineai ellenőrök csak a vizsgálathoz kapcsolódó feladatok elvégzéséhez szükséges időt töltik az európai uniós hajó fedélzetén. A vizsgálatot oly módon folytatják le, hogy az a lehető legkisebb hatást gyakorolja a hajóra, a halászati tevékenységre és a rakományra.</w:t>
      </w:r>
    </w:p>
    <w:p>
      <w:pPr>
        <w:rPr>
          <w:noProof/>
        </w:rPr>
      </w:pPr>
      <w:r>
        <w:rPr>
          <w:noProof/>
        </w:rPr>
        <w:t>Bissau-Guinea engedélyezheti, hogy az ellenőrzésben uniós akkreditációval rendelkező ellenőrök is részt vegyenek megfigyelőként.</w:t>
      </w:r>
    </w:p>
    <w:p>
      <w:pPr>
        <w:rPr>
          <w:noProof/>
        </w:rPr>
      </w:pPr>
      <w:r>
        <w:rPr>
          <w:noProof/>
        </w:rPr>
        <w:t>Az uniós hajó parancsnoka köteles megkönnyíteni a bissau-guineai ellenőrök fedélzetre szállását és munkáját.</w:t>
      </w:r>
    </w:p>
    <w:p>
      <w:pPr>
        <w:rPr>
          <w:noProof/>
        </w:rPr>
      </w:pPr>
      <w:r>
        <w:rPr>
          <w:noProof/>
        </w:rPr>
        <w:t>A bissau-guineai ellenőrök minden vizsgálat végén vizsgálati jelentést készítenek. Az uniós hajó parancsnoka jogosult észrevételeket fűzni a vizsgálati jelentéshez. A vizsgálati jelentést az azt elkészítő ellenőr és az uniós hajó parancsnoka is aláírja.</w:t>
      </w:r>
    </w:p>
    <w:p>
      <w:pPr>
        <w:rPr>
          <w:noProof/>
        </w:rPr>
      </w:pPr>
      <w:r>
        <w:rPr>
          <w:noProof/>
        </w:rPr>
        <w:t>A bissau-guineai ellenőrök a hajó elhagyása előtt átadják a vizsgálati jelentés egy példányát az uniós hajó parancsnokának. Bissau-Guinea a vizsgálati jelentés egy példányát a vizsgálatot követő nyolc napon belül megküldi az Unió részére.</w:t>
      </w:r>
    </w:p>
    <w:p>
      <w:pPr>
        <w:pStyle w:val="ManualNumPar1"/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  <w:t>A fogások ellenőrzése</w:t>
      </w:r>
    </w:p>
    <w:p>
      <w:pPr>
        <w:rPr>
          <w:noProof/>
        </w:rPr>
      </w:pPr>
      <w:r>
        <w:rPr>
          <w:noProof/>
        </w:rPr>
        <w:lastRenderedPageBreak/>
        <w:t>A jegyzőkönyv BRT-alapú állománygazdálkodási rendszert alkalmazó első két évében rotációs alapon negyedévente, mintavételezéssel ellenőrizni kell a halászati engedéllyel rendelkező európai vonóhálós halászhajók egyharmadánál, hogy a halászati naplókban bejelentett adatok megfelelnek-e a tényleges fogásoknak.</w:t>
      </w:r>
    </w:p>
    <w:p>
      <w:pPr>
        <w:rPr>
          <w:noProof/>
        </w:rPr>
      </w:pPr>
      <w:r>
        <w:rPr>
          <w:noProof/>
        </w:rPr>
        <w:t>Az ellenőrzési műveleteket, melyekre csak a halászati út végeztével kerülhet sor, 24 órával előre be kell jelenteni, és nem tarthatnak tovább negyed óránál.</w:t>
      </w:r>
    </w:p>
    <w:p>
      <w:pPr>
        <w:rPr>
          <w:noProof/>
        </w:rPr>
      </w:pPr>
      <w:r>
        <w:rPr>
          <w:noProof/>
        </w:rPr>
        <w:t>Az ellenőrzéseket olyan helyen kell elvégezni, melynek földrajzi koordinátáit az illetékes hatóságok megküldik a hajó parancsnokának vagy ügynökének.</w:t>
      </w:r>
    </w:p>
    <w:p>
      <w:pPr>
        <w:rPr>
          <w:noProof/>
        </w:rPr>
      </w:pPr>
      <w:r>
        <w:rPr>
          <w:noProof/>
        </w:rPr>
        <w:t xml:space="preserve">A jegyzőkönyv alkalmazásának harmadik évétől, amikor megkezdődik a (TAC-ban kifejezett) kvóta alapú rendszer alkalmazása, a fogási adatok ERS rendszer segítségével történő ellenőrzésének bevezetésére tekintettel felül kell vizsgálni az ellenőrzési műveletek gyakoriságát. </w:t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Regular-Identity-H"/>
          <w:noProof/>
        </w:rPr>
      </w:pPr>
    </w:p>
    <w:p>
      <w:pPr>
        <w:pStyle w:val="NormalCentered"/>
        <w:rPr>
          <w:b/>
          <w:noProof/>
        </w:rPr>
      </w:pPr>
      <w:r>
        <w:rPr>
          <w:b/>
          <w:noProof/>
        </w:rPr>
        <w:t>VII. FEJEZET</w:t>
      </w:r>
    </w:p>
    <w:p>
      <w:pPr>
        <w:pStyle w:val="NormalCentered"/>
        <w:rPr>
          <w:rFonts w:eastAsia="EUAlbertina-BoldItalic-Identity"/>
          <w:b/>
          <w:bCs/>
          <w:i/>
          <w:iCs/>
          <w:noProof/>
        </w:rPr>
      </w:pPr>
      <w:r>
        <w:rPr>
          <w:b/>
          <w:noProof/>
        </w:rPr>
        <w:t>JOGSÉRTÉSEK</w:t>
      </w:r>
    </w:p>
    <w:p>
      <w:pPr>
        <w:pStyle w:val="ManualNumPar1"/>
        <w:spacing w:after="240"/>
        <w:ind w:left="480" w:hanging="480"/>
        <w:rPr>
          <w:b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</w:r>
      <w:r>
        <w:rPr>
          <w:b/>
          <w:noProof/>
        </w:rPr>
        <w:t>A jogsértések kezelése</w:t>
      </w:r>
    </w:p>
    <w:p>
      <w:pPr>
        <w:rPr>
          <w:noProof/>
        </w:rPr>
      </w:pPr>
      <w:r>
        <w:rPr>
          <w:noProof/>
        </w:rPr>
        <w:t>A halászati engedéllyel rendelkező uniós hajók által az e mellékletben foglalt rendelkezések tekintetében elkövetetett minden jogsértést vizsgálati jelentésben kell megemlíteni.</w:t>
      </w:r>
    </w:p>
    <w:p>
      <w:pPr>
        <w:rPr>
          <w:noProof/>
        </w:rPr>
      </w:pPr>
      <w:r>
        <w:rPr>
          <w:noProof/>
        </w:rPr>
        <w:t>A vizsgálati jelentés hajóparancsnok általi aláírása nem sérti a hajótulajdonos védekezési jogát a feltárt jogsértéssel kapcsolatban.</w:t>
      </w:r>
    </w:p>
    <w:p>
      <w:pPr>
        <w:pStyle w:val="ManualNumPar1"/>
        <w:spacing w:after="240"/>
        <w:ind w:left="0" w:firstLine="0"/>
        <w:rPr>
          <w:b/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  <w:t>A hajók feltartóztatása – tájékoztató értekezlet</w:t>
      </w:r>
    </w:p>
    <w:p>
      <w:pPr>
        <w:rPr>
          <w:noProof/>
        </w:rPr>
      </w:pPr>
      <w:r>
        <w:rPr>
          <w:noProof/>
        </w:rPr>
        <w:t>Ha a jogsértéssel kapcsolatban a hatályos nemzeti törvények azt előírják, minden jogsértő uniós hajó kötelezhető halászati tevékenységének beszüntetésére és – ha a hajó a tengeren tartózkodik – valamely bissau-guineai kikötőbe való visszatérésre.</w:t>
      </w:r>
    </w:p>
    <w:p>
      <w:pPr>
        <w:rPr>
          <w:noProof/>
        </w:rPr>
      </w:pPr>
      <w:r>
        <w:rPr>
          <w:noProof/>
        </w:rPr>
        <w:t>Bissau-Guinea legkésőbb 48 órán belül értesíti az Európai Uniót a halászati engedéllyel rendelkező uniós hajók feltartóztatásáról. Az értesítéshez csatolni kell a feltárt jogsértés bizonyítékait.</w:t>
      </w:r>
    </w:p>
    <w:p>
      <w:pPr>
        <w:rPr>
          <w:noProof/>
        </w:rPr>
      </w:pPr>
      <w:r>
        <w:rPr>
          <w:noProof/>
        </w:rPr>
        <w:t xml:space="preserve">A hajóval, a hajóparancsnokkal vagy a rakománnyal szemben hozandó intézkedések – kivéve a bizonyítékok megőrzését szolgáló intézkedéseket – meghozatala előtt Bissau-Guinea az Európai Unió kérésére a hajó feltartóztatásáról szóló értesítést követő egy munkanapon belül tájékoztató értekezletet szervez a hajó feltartóztatásához vezető tények tisztázása és az esetleges következmények ismertetése érdekében. Ezen a tájékoztató értekezleten részt vehet a hajó lobogója szerinti állam képviselője. </w:t>
      </w:r>
    </w:p>
    <w:p>
      <w:pPr>
        <w:pStyle w:val="ManualNumPar1"/>
        <w:spacing w:after="240"/>
        <w:ind w:left="480" w:hanging="480"/>
        <w:rPr>
          <w:b/>
          <w:noProof/>
        </w:rPr>
      </w:pPr>
      <w:r>
        <w:rPr>
          <w:b/>
          <w:bCs/>
          <w:iCs/>
          <w:noProof/>
        </w:rPr>
        <w:t>3.</w:t>
      </w:r>
      <w:r>
        <w:rPr>
          <w:b/>
          <w:bCs/>
          <w:iCs/>
          <w:noProof/>
        </w:rPr>
        <w:tab/>
      </w:r>
      <w:r>
        <w:rPr>
          <w:b/>
          <w:noProof/>
        </w:rPr>
        <w:t>A jogsértések szankcionálása – peren kívüli eljárás</w:t>
      </w:r>
    </w:p>
    <w:p>
      <w:pPr>
        <w:rPr>
          <w:noProof/>
        </w:rPr>
      </w:pPr>
      <w:r>
        <w:rPr>
          <w:noProof/>
        </w:rPr>
        <w:t>A feltárt jogsértés szankcióját Bissau-Guinea hatályos nemzeti jogszabályainak megfelelően állapítja meg.</w:t>
      </w:r>
    </w:p>
    <w:p>
      <w:pPr>
        <w:rPr>
          <w:noProof/>
        </w:rPr>
      </w:pPr>
      <w:r>
        <w:rPr>
          <w:noProof/>
        </w:rPr>
        <w:t>Amikor a jogsértés rendezése bírósági eljárást von maga után, annak megindítása előtt Bissau-Guinea és az Európai Unió peren kívüli eljárást indítanak a szankció feltételeinek és mértékének megállapítása érdekében. A hajó lobogója szerinti állam képviselője részt vehet e peren kívüli eljárásban. A peren kívüli eljárásnak legkésőbb a hajó feltartóztatásáról szóló értesítéstől számított negyedik napon be kell fejeződnie.</w:t>
      </w:r>
    </w:p>
    <w:p>
      <w:pPr>
        <w:pStyle w:val="ManualNumPar1"/>
        <w:spacing w:after="240"/>
        <w:ind w:left="480" w:hanging="480"/>
        <w:rPr>
          <w:b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</w:r>
      <w:r>
        <w:rPr>
          <w:b/>
          <w:noProof/>
        </w:rPr>
        <w:t>Bírósági eljárás – banki biztosíték</w:t>
      </w:r>
    </w:p>
    <w:p>
      <w:pPr>
        <w:rPr>
          <w:noProof/>
        </w:rPr>
      </w:pPr>
      <w:r>
        <w:rPr>
          <w:noProof/>
        </w:rPr>
        <w:lastRenderedPageBreak/>
        <w:t>Ha a peren kívüli eljárás eredménytelen, és a jogsértést az illetékes bíróság elé terjesztik, a jogsértő hajó tulajdonosának a Bissau-Guinea által meghatározott összegű banki biztosítékot kell elhelyeznie a Bissau-Guinea által megjelölt banknál, mely biztosíték a hajó feltartóztatásával kapcsolatos költségek, a becsült pénzbírság és az esetleges kompenzációs kártérítések fedezetéül szolgál. A banki biztosíték a bírósági eljárás végéig zárolva marad.</w:t>
      </w:r>
    </w:p>
    <w:p>
      <w:pPr>
        <w:rPr>
          <w:noProof/>
        </w:rPr>
      </w:pPr>
      <w:r>
        <w:rPr>
          <w:noProof/>
        </w:rPr>
        <w:t>A banki biztosítékot az ítélet kihirdetése után fel kell szabadítani és azt a hajótulajdonosnak haladéktalanul vissza kell adni:</w:t>
      </w:r>
    </w:p>
    <w:p>
      <w:pPr>
        <w:pStyle w:val="Point1letter"/>
        <w:numPr>
          <w:ilvl w:val="3"/>
          <w:numId w:val="43"/>
        </w:numPr>
        <w:rPr>
          <w:noProof/>
        </w:rPr>
      </w:pPr>
      <w:r>
        <w:rPr>
          <w:noProof/>
        </w:rPr>
        <w:t>teljes egészében, ha az ítélet nem szab ki semmilyen szankciót;</w:t>
      </w:r>
    </w:p>
    <w:p>
      <w:pPr>
        <w:pStyle w:val="Point1letter"/>
        <w:numPr>
          <w:ilvl w:val="3"/>
          <w:numId w:val="42"/>
        </w:numPr>
        <w:rPr>
          <w:noProof/>
        </w:rPr>
      </w:pPr>
      <w:r>
        <w:rPr>
          <w:noProof/>
        </w:rPr>
        <w:t>a fennmaradó egyenleg mértékéig, amennyiben a szankció a banki biztosíték mértékénél alacsonyabb pénzbüntetést ír elő.</w:t>
      </w:r>
    </w:p>
    <w:p>
      <w:pPr>
        <w:rPr>
          <w:noProof/>
        </w:rPr>
      </w:pPr>
      <w:r>
        <w:rPr>
          <w:noProof/>
        </w:rPr>
        <w:t>Bissau-Guinea az ítélet kihirdetésétől számított 8 napon belül tájékoztatja az Európai Uniót a bírósági eljárás eredményéről.</w:t>
      </w:r>
    </w:p>
    <w:p>
      <w:pPr>
        <w:pStyle w:val="ManualNumPar1"/>
        <w:ind w:left="480" w:hanging="480"/>
        <w:rPr>
          <w:b/>
          <w:noProof/>
        </w:rPr>
      </w:pPr>
      <w:r>
        <w:rPr>
          <w:b/>
          <w:bCs/>
          <w:iCs/>
          <w:noProof/>
        </w:rPr>
        <w:t>5.</w:t>
      </w:r>
      <w:r>
        <w:rPr>
          <w:b/>
          <w:bCs/>
          <w:iCs/>
          <w:noProof/>
        </w:rPr>
        <w:tab/>
      </w:r>
      <w:r>
        <w:rPr>
          <w:b/>
          <w:noProof/>
        </w:rPr>
        <w:t>A hajó felszabadítása</w:t>
      </w:r>
    </w:p>
    <w:p>
      <w:pPr>
        <w:rPr>
          <w:noProof/>
        </w:rPr>
      </w:pPr>
      <w:r>
        <w:rPr>
          <w:noProof/>
        </w:rPr>
        <w:t xml:space="preserve">A hajó és parancsnoka a peren kívüli eljárás alapján megállapított szankció rendezését vagy a banki biztosíték elhelyezését követően hagyhatja el a kikötőt. </w:t>
      </w:r>
    </w:p>
    <w:p>
      <w:pPr>
        <w:pStyle w:val="NormalCentered"/>
        <w:rPr>
          <w:b/>
          <w:noProof/>
        </w:rPr>
      </w:pPr>
    </w:p>
    <w:p>
      <w:pPr>
        <w:pStyle w:val="NormalCentered"/>
        <w:rPr>
          <w:b/>
          <w:noProof/>
        </w:rPr>
      </w:pPr>
      <w:r>
        <w:rPr>
          <w:b/>
          <w:noProof/>
        </w:rPr>
        <w:t>VIII. FEJEZET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TENGERÉSZEK FEDÉLZETRE VÉTELE</w:t>
      </w:r>
    </w:p>
    <w:p>
      <w:pPr>
        <w:pStyle w:val="ManualNumPar1"/>
        <w:tabs>
          <w:tab w:val="left" w:pos="480"/>
        </w:tabs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  <w:t xml:space="preserve">A fedélzetre veendő tengerészek száma </w:t>
      </w:r>
    </w:p>
    <w:p>
      <w:pPr>
        <w:rPr>
          <w:noProof/>
        </w:rPr>
      </w:pPr>
      <w:r>
        <w:rPr>
          <w:noProof/>
        </w:rPr>
        <w:t>Halászati engedélyének érvényessége alatt valamennyi uniós vonóhálós hajó az alábbi korlátok szerint vesz fel bissau-guineai tengerészeket:</w:t>
      </w:r>
    </w:p>
    <w:p>
      <w:pPr>
        <w:pStyle w:val="Point1letter"/>
        <w:numPr>
          <w:ilvl w:val="3"/>
          <w:numId w:val="44"/>
        </w:numPr>
        <w:rPr>
          <w:noProof/>
        </w:rPr>
      </w:pPr>
      <w:r>
        <w:rPr>
          <w:noProof/>
        </w:rPr>
        <w:t>öt tengerész 250 BRT-nél kisebb kapacitásnál;</w:t>
      </w:r>
    </w:p>
    <w:p>
      <w:pPr>
        <w:pStyle w:val="Point1letter"/>
        <w:rPr>
          <w:noProof/>
        </w:rPr>
      </w:pPr>
      <w:r>
        <w:rPr>
          <w:noProof/>
        </w:rPr>
        <w:t>hat tengerész 250 és 400 BRT közötti kapacitásnál;</w:t>
      </w:r>
    </w:p>
    <w:p>
      <w:pPr>
        <w:pStyle w:val="Point1letter"/>
        <w:rPr>
          <w:noProof/>
        </w:rPr>
      </w:pPr>
      <w:r>
        <w:rPr>
          <w:noProof/>
        </w:rPr>
        <w:t>hét tengerész 400 és 650 BRT közötti kapacitásnál;</w:t>
      </w:r>
    </w:p>
    <w:p>
      <w:pPr>
        <w:pStyle w:val="Point1letter"/>
        <w:rPr>
          <w:noProof/>
        </w:rPr>
      </w:pPr>
      <w:r>
        <w:rPr>
          <w:noProof/>
        </w:rPr>
        <w:t>nyolc tengerész 650 BRT-nél nagyobb kapacitásnál.</w:t>
      </w:r>
    </w:p>
    <w:p>
      <w:pPr>
        <w:rPr>
          <w:noProof/>
        </w:rPr>
      </w:pPr>
      <w:r>
        <w:rPr>
          <w:noProof/>
        </w:rPr>
        <w:t>Az európai uniós hajók tulajdonosai további nemzeti tengerészek fedélzetre vételére is törekszenek.</w:t>
      </w:r>
    </w:p>
    <w:p>
      <w:pPr>
        <w:pStyle w:val="ManualNumPar1"/>
        <w:tabs>
          <w:tab w:val="left" w:pos="480"/>
        </w:tabs>
        <w:spacing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2.</w:t>
      </w:r>
      <w:r>
        <w:rPr>
          <w:b/>
          <w:bCs/>
          <w:iCs/>
          <w:noProof/>
        </w:rPr>
        <w:tab/>
        <w:t>A tengerészek kiválasztása</w:t>
      </w:r>
    </w:p>
    <w:p>
      <w:pPr>
        <w:rPr>
          <w:noProof/>
        </w:rPr>
      </w:pPr>
      <w:r>
        <w:rPr>
          <w:noProof/>
        </w:rPr>
        <w:t xml:space="preserve">Bissau-Guinea illetékes hatóságai készítenek és naprakészen tartanak egy tájékoztató jellegű listát azokról a szakképzett, nevezetesen (STCW-szabályzat szerinti) tengerészeti biztonsági képzést igazolni tudó tengerészekről, akik felvehetők az európai uniós hajókra. E listát, illetve annak rendszeresen frissített változatát az Európai Unió rendelkezésére kell bocsátani. </w:t>
      </w:r>
    </w:p>
    <w:p>
      <w:pPr>
        <w:rPr>
          <w:noProof/>
        </w:rPr>
      </w:pPr>
      <w:r>
        <w:rPr>
          <w:noProof/>
        </w:rPr>
        <w:t>A lista olyan szempontok szerint készül, amelyek lehetővé teszik megfelelően képzett és kompetens tengerészek kiválasztását. A tengerésznek:</w:t>
      </w:r>
    </w:p>
    <w:p>
      <w:pPr>
        <w:pStyle w:val="Point1letter"/>
        <w:numPr>
          <w:ilvl w:val="3"/>
          <w:numId w:val="45"/>
        </w:numPr>
        <w:rPr>
          <w:noProof/>
        </w:rPr>
      </w:pPr>
      <w:r>
        <w:rPr>
          <w:noProof/>
        </w:rPr>
        <w:t>érvényes bissau-guineai útlevéllel kell rendelkeznie;</w:t>
      </w:r>
    </w:p>
    <w:p>
      <w:pPr>
        <w:pStyle w:val="Point1letter"/>
        <w:rPr>
          <w:noProof/>
        </w:rPr>
      </w:pPr>
      <w:r>
        <w:rPr>
          <w:noProof/>
        </w:rPr>
        <w:t xml:space="preserve">névre szóló érvényes tengerészigazolvánnyal kell rendelkeznie, amely igazolja, hogy a tengerész a hatályos nemzetközi normáknak megfelelően elvégezte a halászhajók fedélzetén szolgáló személyzet tengerészeti biztonsági ismereteiről szóló alapképzést; </w:t>
      </w:r>
    </w:p>
    <w:p>
      <w:pPr>
        <w:pStyle w:val="Point1letter"/>
        <w:rPr>
          <w:noProof/>
        </w:rPr>
      </w:pPr>
      <w:r>
        <w:rPr>
          <w:noProof/>
        </w:rPr>
        <w:t>igazoltan rendelkeznie kell ipari halászhajókon szerzett tapasztalattal;</w:t>
      </w:r>
    </w:p>
    <w:p>
      <w:pPr>
        <w:pStyle w:val="Point1letter"/>
        <w:rPr>
          <w:noProof/>
        </w:rPr>
      </w:pPr>
      <w:r>
        <w:rPr>
          <w:noProof/>
        </w:rPr>
        <w:t>érvényes orvosi bizonyítvánnyal kell tudnia igazolni, hogy alkalmas halászhajók fedélzetén végzendő feladatok ellátására.</w:t>
      </w:r>
    </w:p>
    <w:p>
      <w:pPr>
        <w:rPr>
          <w:noProof/>
        </w:rPr>
      </w:pPr>
      <w:r>
        <w:rPr>
          <w:noProof/>
        </w:rPr>
        <w:lastRenderedPageBreak/>
        <w:t>A hajótulajdonos vagy ügynöke erről a listáról választhatja ki a hajóra felveendő tengerészeket. Felvételükről tájékoztatja a bissau-guineai hatóságokat.</w:t>
      </w:r>
    </w:p>
    <w:p>
      <w:pPr>
        <w:pStyle w:val="ManualNumPar1"/>
        <w:tabs>
          <w:tab w:val="left" w:pos="0"/>
          <w:tab w:val="left" w:pos="480"/>
        </w:tabs>
        <w:spacing w:before="0" w:after="240"/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3.</w:t>
      </w:r>
      <w:r>
        <w:rPr>
          <w:b/>
          <w:bCs/>
          <w:iCs/>
          <w:noProof/>
        </w:rPr>
        <w:tab/>
        <w:t>A tengerészek munkaszerződése</w:t>
      </w:r>
    </w:p>
    <w:p>
      <w:pPr>
        <w:rPr>
          <w:noProof/>
        </w:rPr>
      </w:pPr>
      <w:r>
        <w:rPr>
          <w:noProof/>
        </w:rPr>
        <w:t xml:space="preserve">A tengerészek munkaszerződését Bissau-Guineával konzultálva a hajótulajdonos vagy ügynöke és az – adott esetben szakszervezete által képviselt – tengerész között kell megkötni. A szerződésben különösen a hajóra szállás napját és kikötőjét kell meghatározni. </w:t>
      </w:r>
    </w:p>
    <w:p>
      <w:pPr>
        <w:rPr>
          <w:noProof/>
        </w:rPr>
      </w:pPr>
      <w:r>
        <w:rPr>
          <w:noProof/>
        </w:rPr>
        <w:t>A szerződés biztosítja az adott tengerésznek, hogy részesülhet a Bissau-Guineában rá vonatkozó társadalombiztosítási rendszer előnyeiben. Magában foglalja az életbiztosítást, valamint a betegség- és balesetbiztosítást.</w:t>
      </w:r>
    </w:p>
    <w:p>
      <w:pPr>
        <w:rPr>
          <w:noProof/>
        </w:rPr>
      </w:pPr>
      <w:r>
        <w:rPr>
          <w:noProof/>
        </w:rPr>
        <w:t>A szerződésből valamennyi aláíró Fél kap egy-egy példányt.</w:t>
      </w:r>
    </w:p>
    <w:p>
      <w:pPr>
        <w:rPr>
          <w:rFonts w:eastAsia="EUAlbertina-Regular-Identity-H"/>
          <w:noProof/>
        </w:rPr>
      </w:pPr>
      <w:r>
        <w:rPr>
          <w:noProof/>
        </w:rPr>
        <w:t>A Nemzetközi Munkaügyi Szervezet (ILO) nyilatkozatában előírt, a munkára vonatkozó alapvető jogok megilletik a bissau-guineai tengerészeket. Ez vonatkozik különösen az egyesülési szabadságra, a kollektív tárgyalásokhoz való jog hathatós elismerésére, valamint a foglalkoztatás és a szakma terén megnyilvánuló hátrányos megkülönböztetés felszámolására.</w:t>
      </w:r>
    </w:p>
    <w:p>
      <w:pPr>
        <w:pStyle w:val="ManualNumPar1"/>
        <w:tabs>
          <w:tab w:val="left" w:pos="0"/>
          <w:tab w:val="left" w:pos="480"/>
        </w:tabs>
        <w:spacing w:before="0" w:after="240"/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  <w:t>A tengerészek munkabére</w:t>
      </w:r>
    </w:p>
    <w:p>
      <w:pPr>
        <w:rPr>
          <w:noProof/>
        </w:rPr>
      </w:pPr>
      <w:r>
        <w:rPr>
          <w:noProof/>
        </w:rPr>
        <w:t>A bissau-guineai tengerészek fizetését a hajótulajdonosok fedezik. A tengerészek fizetése a halászati engedély kibocsátását megelőzően, a hajótulajdonos vagy ügynöke és Bissau-Guinea közötti közös megállapodás alapján kerül meghatározásra.</w:t>
      </w:r>
    </w:p>
    <w:p>
      <w:pPr>
        <w:rPr>
          <w:noProof/>
        </w:rPr>
      </w:pPr>
      <w:r>
        <w:rPr>
          <w:noProof/>
        </w:rPr>
        <w:t>A munkabér nem lehet alacsonyabb a bissau-guineai hajók személyzetének munkabérénél és az ILO által előírt normáknál.</w:t>
      </w:r>
    </w:p>
    <w:p>
      <w:pPr>
        <w:pStyle w:val="ManualNumPar1"/>
        <w:tabs>
          <w:tab w:val="left" w:pos="0"/>
          <w:tab w:val="left" w:pos="480"/>
        </w:tabs>
        <w:spacing w:before="0" w:after="240"/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5.</w:t>
      </w:r>
      <w:r>
        <w:rPr>
          <w:b/>
          <w:bCs/>
          <w:iCs/>
          <w:noProof/>
        </w:rPr>
        <w:tab/>
        <w:t>A tengerészek kötelezettségei</w:t>
      </w:r>
    </w:p>
    <w:p>
      <w:pPr>
        <w:tabs>
          <w:tab w:val="left" w:pos="0"/>
        </w:tabs>
        <w:spacing w:before="0" w:after="240"/>
        <w:rPr>
          <w:noProof/>
        </w:rPr>
      </w:pPr>
      <w:r>
        <w:rPr>
          <w:noProof/>
        </w:rPr>
        <w:t>A tengerésznek meg kell jelennie a számára kijelölt hajó parancsnokánál a felvételére a munkaszerződésében meghatározott időpontot megelőző napon. A hajóparancsnok tájékoztatja a tengerészt a felvétel napjáról és időpontjáról. Ha a tengerész nem jelenik meg a felvételére előírt napon és időpontban, vagy ha a képzettsége nem felel meg a hajóparancsnok elvárásainak, akkor a munkaszerződése érvénytelennek minősül. A szóban forgó tengerészt egy másik bissau-guineai tengerésszel kell helyettesíteni oly módon, hogy a hajó indulása ne szenvedjen késedelmet.</w:t>
      </w: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rFonts w:eastAsia="EUAlbertina-Regular-Identity-H"/>
          <w:noProof/>
        </w:rPr>
      </w:pPr>
    </w:p>
    <w:p>
      <w:pPr>
        <w:pStyle w:val="NormalCentered"/>
        <w:rPr>
          <w:b/>
          <w:noProof/>
        </w:rPr>
      </w:pPr>
      <w:r>
        <w:rPr>
          <w:b/>
          <w:noProof/>
        </w:rPr>
        <w:t>IX. FEJEZET</w:t>
      </w:r>
    </w:p>
    <w:p>
      <w:pPr>
        <w:pStyle w:val="NormalCentered"/>
        <w:rPr>
          <w:rFonts w:eastAsia="EUAlbertina-Bold-Identity-H"/>
          <w:b/>
          <w:bCs/>
          <w:noProof/>
        </w:rPr>
      </w:pPr>
      <w:r>
        <w:rPr>
          <w:b/>
          <w:bCs/>
          <w:noProof/>
        </w:rPr>
        <w:t>MEGFIGYELŐK</w:t>
      </w:r>
    </w:p>
    <w:p>
      <w:pPr>
        <w:pStyle w:val="ManualNumPar1"/>
        <w:tabs>
          <w:tab w:val="left" w:pos="480"/>
        </w:tabs>
        <w:spacing w:before="0" w:after="240"/>
        <w:ind w:left="0" w:firstLine="0"/>
        <w:rPr>
          <w:rFonts w:eastAsia="EUAlbertina-Regular-Identity-H"/>
          <w:b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</w:r>
      <w:r>
        <w:rPr>
          <w:b/>
          <w:noProof/>
        </w:rPr>
        <w:t xml:space="preserve">A halászati tevékenységek megfigyelése </w:t>
      </w:r>
    </w:p>
    <w:p>
      <w:pPr>
        <w:rPr>
          <w:noProof/>
        </w:rPr>
      </w:pPr>
      <w:r>
        <w:rPr>
          <w:noProof/>
        </w:rPr>
        <w:t>A halászati engedéllyel rendelkező hajók a megállapodás keretében végzett halászati tevékenységeik megfigyelésére irányuló rendszer hatálya alá tartoznak.</w:t>
      </w:r>
    </w:p>
    <w:p>
      <w:pPr>
        <w:rPr>
          <w:noProof/>
        </w:rPr>
      </w:pPr>
      <w:r>
        <w:rPr>
          <w:noProof/>
        </w:rPr>
        <w:t>A tonhalhalászhajók és a felszíni horogsoros hajók esetében a két Fél a lehető leghamarabb konzultál az érdekelt országokkal a regionális megfigyelői rendszer meghatározásáról és az illetékes halászati szervezet kiválasztásáról.</w:t>
      </w:r>
    </w:p>
    <w:p>
      <w:pPr>
        <w:rPr>
          <w:noProof/>
        </w:rPr>
      </w:pPr>
      <w:r>
        <w:rPr>
          <w:noProof/>
        </w:rPr>
        <w:t xml:space="preserve">A többi hajó egy Bissau-Guinea által kijelölt megfigyelőt vesz fedélzetre. Ha a megfigyelő nem jelenik meg a megbeszélt időben és helyen, akkor gondoskodni kell a helyettesítéséről, hogy a hajó késedelem nélkül megkezdhesse tevékenységét. </w:t>
      </w:r>
    </w:p>
    <w:p>
      <w:pPr>
        <w:pStyle w:val="ManualNumPar1"/>
        <w:spacing w:before="0"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2.</w:t>
      </w:r>
      <w:r>
        <w:rPr>
          <w:b/>
          <w:bCs/>
          <w:iCs/>
          <w:noProof/>
        </w:rPr>
        <w:tab/>
        <w:t>Kijelölt hajók és megfigyelők</w:t>
      </w:r>
    </w:p>
    <w:p>
      <w:pPr>
        <w:rPr>
          <w:noProof/>
        </w:rPr>
      </w:pPr>
      <w:r>
        <w:rPr>
          <w:noProof/>
        </w:rPr>
        <w:lastRenderedPageBreak/>
        <w:t>A halászati engedély kiállításakor Bissau-Guinea tájékoztatja az Európai Uniót és a hajótulajdonost vagy ügynökét a kijelölt hajókról és megfigyelőkről, valamint arról az időtartamról, amelyet a megfigyelő az egyes hajók fedélzetén tölt. Bissau-Guinea a kijelölt hajókat és a kijelölt megfigyelőket érintő mindennemű változásról haladéktalanul tájékoztatja az Európai Uniót és a hajótulajdonost vagy annak ügynökét.</w:t>
      </w:r>
    </w:p>
    <w:p>
      <w:pPr>
        <w:rPr>
          <w:rFonts w:eastAsia="EUAlbertina-Regular-Identity-H"/>
          <w:noProof/>
        </w:rPr>
      </w:pPr>
      <w:r>
        <w:rPr>
          <w:noProof/>
        </w:rPr>
        <w:t>A megfigyelők csak a feladataik elvégzéséhez szükséges ideig maradhatnak a hajó fedélzetén.</w:t>
      </w:r>
    </w:p>
    <w:p>
      <w:pPr>
        <w:pStyle w:val="ManualNumPar1"/>
        <w:spacing w:before="0"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3.</w:t>
      </w:r>
      <w:r>
        <w:rPr>
          <w:b/>
          <w:bCs/>
          <w:iCs/>
          <w:noProof/>
        </w:rPr>
        <w:tab/>
        <w:t>Átalányösszegű pénzügyi hozzájárulás</w:t>
      </w:r>
    </w:p>
    <w:p>
      <w:pPr>
        <w:spacing w:before="0" w:after="240"/>
        <w:rPr>
          <w:noProof/>
        </w:rPr>
      </w:pPr>
      <w:r>
        <w:rPr>
          <w:noProof/>
        </w:rPr>
        <w:t>A díj megfizetésekor a hajótulajdonos minden hajó után évi 8 000 EUR átalányösszeget fizet Bissau-Guineának, amely összeget időarányosan ki kell igazítani a kijelölt hajók halászati engedélyének érvényességi ideje alapján.</w:t>
      </w:r>
    </w:p>
    <w:p>
      <w:pPr>
        <w:pStyle w:val="ManualNumPar1"/>
        <w:spacing w:before="0"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  <w:t>A megfigyelők fizetése</w:t>
      </w:r>
    </w:p>
    <w:p>
      <w:pPr>
        <w:spacing w:before="0" w:after="240"/>
        <w:outlineLvl w:val="0"/>
        <w:rPr>
          <w:noProof/>
        </w:rPr>
      </w:pPr>
      <w:r>
        <w:rPr>
          <w:noProof/>
        </w:rPr>
        <w:t>A megfigyelők fizetését és társadalombiztosítási járulékait Bissau-Guinea fedezi.</w:t>
      </w:r>
    </w:p>
    <w:p>
      <w:pPr>
        <w:pStyle w:val="ManualNumPar1"/>
        <w:spacing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5.</w:t>
      </w:r>
      <w:r>
        <w:rPr>
          <w:b/>
          <w:bCs/>
          <w:iCs/>
          <w:noProof/>
        </w:rPr>
        <w:tab/>
        <w:t>A hajóra való felvétel feltételei</w:t>
      </w:r>
    </w:p>
    <w:p>
      <w:pPr>
        <w:rPr>
          <w:noProof/>
        </w:rPr>
      </w:pPr>
      <w:r>
        <w:rPr>
          <w:noProof/>
        </w:rPr>
        <w:t>A megfigyelőt a hajó fedélzetén tisztként kell kezelni. Mindazonáltal a megfigyelő fedélzeten történő elszállásolásakor figyelembe kell venni a hajó műszaki szerkezetét.</w:t>
      </w:r>
    </w:p>
    <w:p>
      <w:pPr>
        <w:rPr>
          <w:noProof/>
        </w:rPr>
      </w:pPr>
      <w:r>
        <w:rPr>
          <w:noProof/>
        </w:rPr>
        <w:t xml:space="preserve">A megfigyelő fedélzeten való elszállásolásának és étkeztetésének költségeit a hajótulajdonos viseli. </w:t>
      </w:r>
    </w:p>
    <w:p>
      <w:pPr>
        <w:rPr>
          <w:noProof/>
        </w:rPr>
      </w:pPr>
      <w:r>
        <w:rPr>
          <w:noProof/>
        </w:rPr>
        <w:t>A hajóparancsnok saját felelősségi körében mindent megtesz a megfigyelő fizikai biztonságának és általános kényelmének biztosítása érdekében.</w:t>
      </w:r>
    </w:p>
    <w:p>
      <w:pPr>
        <w:rPr>
          <w:rFonts w:eastAsia="EUAlbertina-Regular-Identity-H"/>
          <w:noProof/>
        </w:rPr>
      </w:pPr>
      <w:r>
        <w:rPr>
          <w:noProof/>
        </w:rPr>
        <w:t>A megfigyelő rendelkezésére kell bocsátani a feladatai ellátásához szükséges valamennyi eszközt. Hozzáférést kell kapnia a kommunikációs eszközökhöz, a hajó halászati tevékenységéhez közvetlenül kapcsolódó iratokhoz – különösen a halászati naplóhoz és a navigációs naplóhoz –, valamint a hajó azon részeihez, amelyek közvetlenül kapcsolódnak feladatai teljesítéséhez.</w:t>
      </w:r>
    </w:p>
    <w:p>
      <w:pPr>
        <w:pStyle w:val="ManualNumPar1"/>
        <w:tabs>
          <w:tab w:val="left" w:pos="480"/>
        </w:tabs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6.</w:t>
      </w:r>
      <w:r>
        <w:rPr>
          <w:b/>
          <w:bCs/>
          <w:iCs/>
          <w:noProof/>
        </w:rPr>
        <w:tab/>
        <w:t>A megfigyelő kötelezettségei</w:t>
      </w:r>
    </w:p>
    <w:p>
      <w:pPr>
        <w:tabs>
          <w:tab w:val="left" w:pos="480"/>
        </w:tabs>
        <w:spacing w:before="0"/>
        <w:rPr>
          <w:noProof/>
        </w:rPr>
      </w:pPr>
      <w:r>
        <w:rPr>
          <w:noProof/>
        </w:rPr>
        <w:t>Fedélzeti tartózkodásának teljes időtartama alatt a megfigyelő:</w:t>
      </w:r>
    </w:p>
    <w:p>
      <w:pPr>
        <w:pStyle w:val="Point1letter"/>
        <w:numPr>
          <w:ilvl w:val="3"/>
          <w:numId w:val="4"/>
        </w:numPr>
        <w:tabs>
          <w:tab w:val="clear" w:pos="1417"/>
          <w:tab w:val="left" w:pos="480"/>
          <w:tab w:val="num" w:pos="1080"/>
        </w:tabs>
        <w:spacing w:before="0"/>
        <w:ind w:left="1080" w:hanging="600"/>
        <w:rPr>
          <w:noProof/>
        </w:rPr>
      </w:pPr>
      <w:r>
        <w:rPr>
          <w:noProof/>
        </w:rPr>
        <w:t>minden megfelelő lépést megtesz annak érdekében, hogy a hajó fedélzetén való tartózkodása ne szakítsa meg és ne zavarja a halászati műveleteket;</w:t>
      </w:r>
    </w:p>
    <w:p>
      <w:pPr>
        <w:pStyle w:val="Point1letter"/>
        <w:numPr>
          <w:ilvl w:val="3"/>
          <w:numId w:val="3"/>
        </w:numPr>
        <w:tabs>
          <w:tab w:val="clear" w:pos="1417"/>
          <w:tab w:val="left" w:pos="480"/>
          <w:tab w:val="num" w:pos="1080"/>
        </w:tabs>
        <w:spacing w:before="0"/>
        <w:ind w:left="1080" w:hanging="600"/>
        <w:rPr>
          <w:noProof/>
        </w:rPr>
      </w:pPr>
      <w:r>
        <w:rPr>
          <w:noProof/>
        </w:rPr>
        <w:t>óvja a hajó fedélzetén található javakat és eszközöket;</w:t>
      </w:r>
    </w:p>
    <w:p>
      <w:pPr>
        <w:pStyle w:val="Point1letter"/>
        <w:numPr>
          <w:ilvl w:val="3"/>
          <w:numId w:val="3"/>
        </w:numPr>
        <w:tabs>
          <w:tab w:val="clear" w:pos="1417"/>
          <w:tab w:val="left" w:pos="480"/>
          <w:tab w:val="num" w:pos="1080"/>
        </w:tabs>
        <w:spacing w:before="0" w:after="240"/>
        <w:ind w:left="1080" w:hanging="600"/>
        <w:rPr>
          <w:noProof/>
        </w:rPr>
      </w:pPr>
      <w:r>
        <w:rPr>
          <w:noProof/>
        </w:rPr>
        <w:t>tiszteletben tartja a hajóhoz tartozó valamennyi irat bizalmas jellegét.</w:t>
      </w:r>
    </w:p>
    <w:p>
      <w:pPr>
        <w:pStyle w:val="ManualNumPar1"/>
        <w:tabs>
          <w:tab w:val="left" w:pos="480"/>
        </w:tabs>
        <w:spacing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7.</w:t>
      </w:r>
      <w:r>
        <w:rPr>
          <w:b/>
          <w:bCs/>
          <w:iCs/>
          <w:noProof/>
        </w:rPr>
        <w:tab/>
        <w:t>A megfigyelő fedélzetre szállása és kiszállása</w:t>
      </w:r>
    </w:p>
    <w:p>
      <w:pPr>
        <w:rPr>
          <w:rFonts w:eastAsia="EUAlbertina-Regular-Identity-H"/>
          <w:noProof/>
        </w:rPr>
      </w:pPr>
      <w:r>
        <w:rPr>
          <w:noProof/>
        </w:rPr>
        <w:t>A hajótulajdonos vagy képviselője a beszállás előtt legalább tíz nappal közli Bissau-Guineával a megfigyelő fedélzetre szállásának napját, idejét és kikötőjét. Abban az esetben, ha a megfigyelőt külföldön veszik fel, a megfigyelő beszállási kikötőig felmerülő utazási költsége a hajó tulajdonosát terheli.</w:t>
      </w:r>
    </w:p>
    <w:p>
      <w:pPr>
        <w:rPr>
          <w:noProof/>
        </w:rPr>
      </w:pPr>
      <w:r>
        <w:rPr>
          <w:noProof/>
        </w:rPr>
        <w:t>Ha a megfigyelőt nem bissau-guineai kikötőben teszik ki, a hajótulajdonos saját költségén biztosítja a megfigyelő Bissau-Guineába való mielőbbi visszatérését.</w:t>
      </w:r>
    </w:p>
    <w:p>
      <w:pPr>
        <w:pStyle w:val="ManualNumPar1"/>
        <w:tabs>
          <w:tab w:val="left" w:pos="480"/>
        </w:tabs>
        <w:spacing w:before="0"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8.</w:t>
      </w:r>
      <w:r>
        <w:rPr>
          <w:b/>
          <w:bCs/>
          <w:iCs/>
          <w:noProof/>
        </w:rPr>
        <w:tab/>
        <w:t>A megfigyelő feladatai</w:t>
      </w:r>
    </w:p>
    <w:p>
      <w:pPr>
        <w:rPr>
          <w:noProof/>
        </w:rPr>
      </w:pPr>
      <w:r>
        <w:rPr>
          <w:noProof/>
        </w:rPr>
        <w:t>A megfigyelő a következő feladatokat látja el: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lastRenderedPageBreak/>
        <w:t>megfigyeli a hajó által folytatott halászati tevékenységeket;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a halászati műveletek során ellenőrzi a hajó földrajzi helyzetét;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tudományos programok keretében különféle műveleteket, például biológiai mintavételezést végez;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kimutatást készít a használt halászeszközökről;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igazolja a bissau-guineai halászati övezetre vonatkozóan a halászati naplóba feljegyzett fogási adatokat;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az adatlapokon az egyes halászati kategóriák tekintetében meghatározottak alapján ellenőrzi a járulékos fogások arányát, valamint megbecsüli a visszadobott fogások mennyiségét;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naponta egyszer közli feladatai ellátása során tett észrevételeit, beleértve a fő és járulékos fogások hajón lévő mennyiségét.</w:t>
      </w:r>
    </w:p>
    <w:p>
      <w:pPr>
        <w:pStyle w:val="ManualNumPar1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9.</w:t>
      </w:r>
      <w:r>
        <w:rPr>
          <w:b/>
          <w:bCs/>
          <w:iCs/>
          <w:noProof/>
        </w:rPr>
        <w:tab/>
        <w:t>Megfigyelői jelentés</w:t>
      </w:r>
    </w:p>
    <w:p>
      <w:pPr>
        <w:rPr>
          <w:noProof/>
        </w:rPr>
      </w:pPr>
      <w:r>
        <w:rPr>
          <w:noProof/>
        </w:rPr>
        <w:t xml:space="preserve">A hajó elhagyása előtt a megfigyelő bemutatja a megfigyeléseiről készített jelentést a hajó parancsnokának. A hajóparancsnok jogosult észrevételeket fűzni a megfigyelői jelentéshez. A jelentést a megfigyelő és a hajóparancsnok is aláírja. A hajóparancsnok megkapja a megfigyelői jelentés egy példányát. </w:t>
      </w:r>
    </w:p>
    <w:p>
      <w:pPr>
        <w:rPr>
          <w:rFonts w:eastAsia="EUAlbertina-Regular-Identity-H"/>
          <w:noProof/>
        </w:rPr>
      </w:pPr>
      <w:r>
        <w:rPr>
          <w:noProof/>
        </w:rPr>
        <w:t>Jelentését a megfigyelő megküldi Bissau-Guineának. A fogásokra és a visszadobásokra vonatkozó adatokat Bissau-Guinea tudományos intézetének (CIPA) kell megküldeni, amely az adatokat feldolgozásuk és elemzésük után az e jegyzőkönyv 7. cikkében meghatározott közös tudományos bizottság elé terjeszti. A megfigyelői jelentés egy példányát elektronikus úton el kell küldeni az Európai Uniónak.</w:t>
      </w:r>
    </w:p>
    <w:p>
      <w:pPr>
        <w:pStyle w:val="NormalCentered"/>
        <w:rPr>
          <w:b/>
          <w:noProof/>
          <w:u w:val="single"/>
        </w:rPr>
      </w:pPr>
      <w:r>
        <w:rPr>
          <w:noProof/>
        </w:rPr>
        <w:br w:type="page"/>
      </w:r>
      <w:r>
        <w:rPr>
          <w:b/>
          <w:noProof/>
          <w:u w:val="single"/>
        </w:rPr>
        <w:lastRenderedPageBreak/>
        <w:t>Függelékek</w:t>
      </w:r>
    </w:p>
    <w:p>
      <w:pPr>
        <w:rPr>
          <w:rStyle w:val="Bodytext2Exact"/>
          <w:rFonts w:ascii="Times New Roman" w:hAnsi="Times New Roman" w:cs="Times New Roman"/>
          <w:noProof/>
          <w:sz w:val="24"/>
          <w:szCs w:val="24"/>
        </w:rPr>
      </w:pPr>
      <w:r>
        <w:rPr>
          <w:rStyle w:val="Bodytext2Exact"/>
          <w:rFonts w:ascii="Times New Roman" w:hAnsi="Times New Roman"/>
          <w:b/>
          <w:noProof/>
          <w:sz w:val="24"/>
          <w:szCs w:val="24"/>
        </w:rPr>
        <w:t>1. függelék</w:t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  <w:t xml:space="preserve">Halászati engedély iránti kérelem formanyomtatványa </w:t>
      </w:r>
    </w:p>
    <w:p>
      <w:pPr>
        <w:rPr>
          <w:rStyle w:val="Bodytext2Exact"/>
          <w:rFonts w:ascii="Times New Roman" w:hAnsi="Times New Roman" w:cs="Times New Roman"/>
          <w:noProof/>
          <w:sz w:val="24"/>
          <w:szCs w:val="24"/>
          <w:u w:val="none"/>
        </w:rPr>
      </w:pPr>
      <w:r>
        <w:rPr>
          <w:rStyle w:val="Bodytext2Exact"/>
          <w:rFonts w:ascii="Times New Roman" w:hAnsi="Times New Roman"/>
          <w:b/>
          <w:noProof/>
          <w:sz w:val="24"/>
          <w:szCs w:val="24"/>
        </w:rPr>
        <w:t>2. függelék</w:t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  <w:t>Kategóriánkénti halászati adatlapok</w:t>
      </w:r>
    </w:p>
    <w:p>
      <w:pPr>
        <w:rPr>
          <w:rStyle w:val="Bodytext2Exact"/>
          <w:rFonts w:ascii="Times New Roman" w:hAnsi="Times New Roman" w:cs="Times New Roman"/>
          <w:noProof/>
          <w:sz w:val="24"/>
          <w:szCs w:val="24"/>
          <w:u w:val="none"/>
        </w:rPr>
      </w:pPr>
      <w:r>
        <w:rPr>
          <w:rStyle w:val="Bodytext2Exact"/>
          <w:rFonts w:ascii="Times New Roman" w:hAnsi="Times New Roman"/>
          <w:b/>
          <w:noProof/>
          <w:sz w:val="24"/>
          <w:szCs w:val="24"/>
        </w:rPr>
        <w:t>3. függelék</w:t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  <w:t>Műholdas hajómegfigyelési rendszer (VMS)</w:t>
      </w:r>
    </w:p>
    <w:p>
      <w:pPr>
        <w:ind w:left="2160" w:hanging="2160"/>
        <w:rPr>
          <w:rStyle w:val="Bodytext2Exact"/>
          <w:rFonts w:ascii="Times New Roman" w:hAnsi="Times New Roman" w:cs="Times New Roman"/>
          <w:noProof/>
          <w:sz w:val="24"/>
          <w:szCs w:val="24"/>
          <w:u w:val="none"/>
        </w:rPr>
      </w:pPr>
      <w:r>
        <w:rPr>
          <w:rStyle w:val="Bodytext2Exact"/>
          <w:rFonts w:ascii="Times New Roman" w:hAnsi="Times New Roman"/>
          <w:b/>
          <w:noProof/>
          <w:sz w:val="24"/>
          <w:szCs w:val="24"/>
        </w:rPr>
        <w:t>4. függelék</w:t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  <w:t>A halászati tevékenységek bejelentésére szolgáló elektronikus rendszer megvalósítása (ERS rendszer)</w:t>
      </w:r>
    </w:p>
    <w:p>
      <w:pPr>
        <w:pStyle w:val="NormalCentered"/>
        <w:rPr>
          <w:noProof/>
          <w:color w:val="000000"/>
          <w:sz w:val="22"/>
        </w:rPr>
      </w:pPr>
      <w:r>
        <w:rPr>
          <w:noProof/>
        </w:rPr>
        <w:br w:type="page"/>
      </w:r>
    </w:p>
    <w:p>
      <w:pPr>
        <w:pStyle w:val="NormalCentered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1. függelék</w:t>
      </w:r>
    </w:p>
    <w:p>
      <w:pPr>
        <w:keepNext/>
        <w:keepLines/>
        <w:widowControl w:val="0"/>
        <w:spacing w:before="0"/>
        <w:ind w:right="40"/>
        <w:jc w:val="center"/>
        <w:outlineLvl w:val="0"/>
        <w:rPr>
          <w:b/>
          <w:bCs/>
          <w:noProof/>
          <w:color w:val="000000"/>
          <w:sz w:val="22"/>
        </w:rPr>
      </w:pPr>
      <w:r>
        <w:rPr>
          <w:b/>
          <w:bCs/>
          <w:noProof/>
          <w:color w:val="000000"/>
          <w:sz w:val="22"/>
        </w:rPr>
        <w:t>Halászati engedély iránti kérelem formanyomtatványa</w:t>
      </w:r>
    </w:p>
    <w:p>
      <w:pPr>
        <w:widowControl w:val="0"/>
        <w:spacing w:before="0"/>
        <w:ind w:right="40"/>
        <w:jc w:val="center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BISSAU-GUINEA ÉS AZ EURÓPAI UNIÓ KÖZÖTTI HALÁSZATI MEGÁLLAPODÁS</w:t>
      </w:r>
    </w:p>
    <w:p>
      <w:pPr>
        <w:widowControl w:val="0"/>
        <w:tabs>
          <w:tab w:val="left" w:pos="426"/>
          <w:tab w:val="left" w:pos="538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I.</w:t>
      </w:r>
      <w:r>
        <w:rPr>
          <w:noProof/>
          <w:color w:val="000000"/>
          <w:sz w:val="22"/>
        </w:rPr>
        <w:tab/>
        <w:t>KÉRELMEZŐ</w:t>
      </w:r>
    </w:p>
    <w:p>
      <w:pPr>
        <w:rPr>
          <w:noProof/>
          <w:sz w:val="22"/>
        </w:rPr>
      </w:pPr>
      <w:r>
        <w:rPr>
          <w:noProof/>
          <w:sz w:val="22"/>
        </w:rPr>
        <w:t>1.</w:t>
      </w:r>
      <w:r>
        <w:rPr>
          <w:noProof/>
          <w:sz w:val="22"/>
        </w:rPr>
        <w:tab/>
        <w:t>A kérelmező neve:</w:t>
      </w:r>
      <w:r>
        <w:rPr>
          <w:noProof/>
          <w:sz w:val="22"/>
        </w:rPr>
        <w:tab/>
      </w:r>
    </w:p>
    <w:p>
      <w:pPr>
        <w:rPr>
          <w:noProof/>
          <w:sz w:val="22"/>
        </w:rPr>
      </w:pPr>
      <w:r>
        <w:rPr>
          <w:noProof/>
          <w:sz w:val="22"/>
        </w:rPr>
        <w:t>2.</w:t>
      </w:r>
      <w:r>
        <w:rPr>
          <w:noProof/>
          <w:sz w:val="22"/>
        </w:rPr>
        <w:tab/>
        <w:t>A termelői szervezet vagy a hajótulajdonos neve:</w:t>
      </w:r>
      <w:r>
        <w:rPr>
          <w:noProof/>
          <w:sz w:val="22"/>
        </w:rPr>
        <w:tab/>
      </w:r>
    </w:p>
    <w:p>
      <w:pPr>
        <w:rPr>
          <w:noProof/>
          <w:sz w:val="22"/>
        </w:rPr>
      </w:pPr>
      <w:r>
        <w:rPr>
          <w:noProof/>
          <w:sz w:val="22"/>
        </w:rPr>
        <w:t>3.</w:t>
      </w:r>
      <w:r>
        <w:rPr>
          <w:noProof/>
          <w:sz w:val="22"/>
        </w:rPr>
        <w:tab/>
        <w:t>A termelői szervezet vagy a hajótulajdonos címe:</w:t>
      </w:r>
      <w:r>
        <w:rPr>
          <w:noProof/>
          <w:sz w:val="22"/>
        </w:rPr>
        <w:tab/>
      </w:r>
    </w:p>
    <w:p>
      <w:pPr>
        <w:rPr>
          <w:noProof/>
          <w:sz w:val="22"/>
        </w:rPr>
      </w:pPr>
      <w:r>
        <w:rPr>
          <w:noProof/>
          <w:sz w:val="22"/>
        </w:rPr>
        <w:t>4.</w:t>
      </w:r>
      <w:r>
        <w:rPr>
          <w:noProof/>
          <w:sz w:val="22"/>
        </w:rPr>
        <w:tab/>
        <w:t>Tel.:</w:t>
      </w:r>
      <w:r>
        <w:rPr>
          <w:noProof/>
          <w:sz w:val="22"/>
        </w:rPr>
        <w:tab/>
        <w:t>Fax:</w:t>
      </w:r>
      <w:r>
        <w:rPr>
          <w:noProof/>
          <w:sz w:val="22"/>
        </w:rPr>
        <w:tab/>
        <w:t>E-mail-cím:</w:t>
      </w:r>
      <w:r>
        <w:rPr>
          <w:noProof/>
          <w:sz w:val="22"/>
        </w:rPr>
        <w:tab/>
      </w:r>
    </w:p>
    <w:p>
      <w:pPr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Hajóparancsnok neve:</w:t>
      </w:r>
      <w:r>
        <w:rPr>
          <w:noProof/>
          <w:sz w:val="22"/>
        </w:rPr>
        <w:tab/>
        <w:t>Állampolgárság:</w:t>
      </w:r>
      <w:r>
        <w:rPr>
          <w:noProof/>
          <w:sz w:val="22"/>
        </w:rPr>
        <w:tab/>
        <w:t>E-mail-cím:</w:t>
      </w:r>
      <w:r>
        <w:rPr>
          <w:noProof/>
          <w:sz w:val="22"/>
        </w:rPr>
        <w:tab/>
      </w:r>
    </w:p>
    <w:p>
      <w:pPr>
        <w:rPr>
          <w:noProof/>
          <w:sz w:val="22"/>
        </w:rPr>
      </w:pPr>
      <w:r>
        <w:rPr>
          <w:noProof/>
          <w:sz w:val="22"/>
        </w:rPr>
        <w:t>6.</w:t>
      </w:r>
      <w:r>
        <w:rPr>
          <w:noProof/>
          <w:sz w:val="22"/>
        </w:rPr>
        <w:tab/>
        <w:t>A helyi ügynök neve és címe:</w:t>
      </w:r>
      <w:r>
        <w:rPr>
          <w:noProof/>
          <w:sz w:val="22"/>
        </w:rPr>
        <w:tab/>
      </w:r>
    </w:p>
    <w:p>
      <w:pPr>
        <w:widowControl w:val="0"/>
        <w:tabs>
          <w:tab w:val="left" w:pos="426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II.</w:t>
      </w:r>
      <w:r>
        <w:rPr>
          <w:noProof/>
          <w:color w:val="000000"/>
          <w:sz w:val="22"/>
        </w:rPr>
        <w:tab/>
        <w:t xml:space="preserve"> HAJÓAZONOSÍTÓ ADATOK</w:t>
      </w:r>
    </w:p>
    <w:p>
      <w:pPr>
        <w:widowControl w:val="0"/>
        <w:tabs>
          <w:tab w:val="left" w:pos="538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7.</w:t>
      </w:r>
      <w:r>
        <w:rPr>
          <w:noProof/>
          <w:color w:val="000000"/>
          <w:sz w:val="22"/>
        </w:rPr>
        <w:tab/>
        <w:t>A hajó neve: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38"/>
          <w:tab w:val="left" w:leader="dot" w:pos="4509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8.</w:t>
      </w:r>
      <w:r>
        <w:rPr>
          <w:noProof/>
          <w:color w:val="000000"/>
          <w:sz w:val="22"/>
        </w:rPr>
        <w:tab/>
        <w:t>Lobogó szerinti állam:</w:t>
      </w:r>
      <w:r>
        <w:rPr>
          <w:noProof/>
          <w:color w:val="000000"/>
          <w:sz w:val="22"/>
        </w:rPr>
        <w:tab/>
        <w:t>Lajstromozási kikötő: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38"/>
          <w:tab w:val="left" w:leader="dot" w:pos="4982"/>
          <w:tab w:val="left" w:leader="dot" w:pos="7340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9.</w:t>
      </w:r>
      <w:r>
        <w:rPr>
          <w:noProof/>
          <w:color w:val="000000"/>
          <w:sz w:val="22"/>
        </w:rPr>
        <w:tab/>
        <w:t>Külső jelzések:</w:t>
      </w:r>
      <w:r>
        <w:rPr>
          <w:noProof/>
          <w:color w:val="000000"/>
          <w:sz w:val="22"/>
        </w:rPr>
        <w:tab/>
        <w:t xml:space="preserve"> MMSI:</w:t>
      </w:r>
      <w:r>
        <w:rPr>
          <w:noProof/>
          <w:color w:val="000000"/>
          <w:sz w:val="22"/>
        </w:rPr>
        <w:tab/>
        <w:t>IMO-szám: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38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10.</w:t>
      </w:r>
      <w:r>
        <w:rPr>
          <w:noProof/>
          <w:color w:val="000000"/>
          <w:sz w:val="22"/>
        </w:rPr>
        <w:tab/>
        <w:t>A jelenlegi lobogó regisztrációjának időpontja (ÉÉÉÉ/HH/NN):</w:t>
      </w:r>
      <w:r>
        <w:rPr>
          <w:noProof/>
        </w:rPr>
        <w:t xml:space="preserve"> …/…/…</w:t>
      </w:r>
    </w:p>
    <w:p>
      <w:pPr>
        <w:widowControl w:val="0"/>
        <w:tabs>
          <w:tab w:val="left" w:leader="dot" w:pos="8339"/>
        </w:tabs>
        <w:spacing w:before="0" w:after="0" w:line="425" w:lineRule="exact"/>
        <w:ind w:left="62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Korábbi lobogó (ha volt):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38"/>
          <w:tab w:val="left" w:leader="dot" w:pos="6466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11.</w:t>
      </w:r>
      <w:r>
        <w:rPr>
          <w:noProof/>
          <w:color w:val="000000"/>
          <w:sz w:val="22"/>
        </w:rPr>
        <w:tab/>
        <w:t xml:space="preserve">Az építés helye:                              Kelt (ÉÉÉÉ/HH/NN): </w:t>
      </w:r>
      <w:r>
        <w:rPr>
          <w:noProof/>
        </w:rPr>
        <w:t>…/…/…</w:t>
      </w:r>
    </w:p>
    <w:p>
      <w:pPr>
        <w:widowControl w:val="0"/>
        <w:tabs>
          <w:tab w:val="left" w:pos="538"/>
          <w:tab w:val="left" w:leader="dot" w:pos="5357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12.</w:t>
      </w:r>
      <w:r>
        <w:rPr>
          <w:noProof/>
          <w:color w:val="000000"/>
          <w:sz w:val="22"/>
        </w:rPr>
        <w:tab/>
        <w:t>Hívófrekvencia: RH:</w:t>
      </w:r>
      <w:r>
        <w:rPr>
          <w:noProof/>
          <w:color w:val="000000"/>
          <w:sz w:val="22"/>
        </w:rPr>
        <w:tab/>
        <w:t>URH: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38"/>
          <w:tab w:val="left" w:leader="dot" w:pos="5357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13.</w:t>
      </w:r>
      <w:r>
        <w:rPr>
          <w:noProof/>
          <w:color w:val="000000"/>
          <w:sz w:val="22"/>
        </w:rPr>
        <w:tab/>
        <w:t>Műholdastelefon-szám:</w:t>
      </w:r>
      <w:r>
        <w:rPr>
          <w:noProof/>
          <w:color w:val="000000"/>
          <w:sz w:val="22"/>
        </w:rPr>
        <w:tab/>
        <w:t>IRCS: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67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III.</w:t>
      </w:r>
      <w:r>
        <w:rPr>
          <w:noProof/>
          <w:color w:val="000000"/>
          <w:sz w:val="22"/>
        </w:rPr>
        <w:tab/>
        <w:t>A HAJÓ MŰSZAKI ADATAI</w:t>
      </w:r>
    </w:p>
    <w:p>
      <w:pPr>
        <w:widowControl w:val="0"/>
        <w:tabs>
          <w:tab w:val="left" w:pos="538"/>
          <w:tab w:val="left" w:leader="dot" w:pos="4982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14.</w:t>
      </w:r>
      <w:r>
        <w:rPr>
          <w:noProof/>
          <w:color w:val="000000"/>
          <w:sz w:val="22"/>
        </w:rPr>
        <w:tab/>
        <w:t>A hajó teljes hosszúsága (méterben):</w:t>
      </w:r>
      <w:r>
        <w:rPr>
          <w:noProof/>
          <w:color w:val="000000"/>
          <w:sz w:val="22"/>
        </w:rPr>
        <w:tab/>
        <w:t>A hajó teljes szélessége (méterben):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leader="dot" w:pos="8339"/>
        </w:tabs>
        <w:spacing w:before="0" w:after="0" w:line="425" w:lineRule="exact"/>
        <w:ind w:left="62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Tonnatartalom (a Londoni szabályok szerinti BT-ban kifejezve):</w:t>
      </w:r>
      <w:r>
        <w:rPr>
          <w:noProof/>
          <w:color w:val="000000"/>
          <w:sz w:val="22"/>
        </w:rPr>
        <w:tab/>
      </w:r>
    </w:p>
    <w:p>
      <w:pPr>
        <w:rPr>
          <w:noProof/>
          <w:sz w:val="22"/>
        </w:rPr>
      </w:pPr>
      <w:r>
        <w:rPr>
          <w:noProof/>
          <w:sz w:val="22"/>
        </w:rPr>
        <w:t>15.</w:t>
      </w:r>
      <w:r>
        <w:rPr>
          <w:noProof/>
          <w:sz w:val="22"/>
        </w:rPr>
        <w:tab/>
        <w:t>Motortípus:</w:t>
      </w:r>
      <w:r>
        <w:rPr>
          <w:noProof/>
          <w:sz w:val="22"/>
        </w:rPr>
        <w:tab/>
        <w:t>Motorteljesítmény (kW-ban):</w:t>
      </w:r>
      <w:r>
        <w:rPr>
          <w:noProof/>
          <w:sz w:val="22"/>
        </w:rPr>
        <w:tab/>
      </w:r>
    </w:p>
    <w:p>
      <w:pPr>
        <w:widowControl w:val="0"/>
        <w:tabs>
          <w:tab w:val="left" w:pos="538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16.</w:t>
      </w:r>
      <w:r>
        <w:rPr>
          <w:noProof/>
          <w:color w:val="000000"/>
          <w:sz w:val="22"/>
        </w:rPr>
        <w:tab/>
        <w:t>Legénység létszáma: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38"/>
          <w:tab w:val="left" w:pos="3303"/>
          <w:tab w:val="left" w:pos="3600"/>
          <w:tab w:val="left" w:pos="4560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17.</w:t>
      </w:r>
      <w:r>
        <w:rPr>
          <w:noProof/>
          <w:color w:val="000000"/>
          <w:sz w:val="22"/>
        </w:rPr>
        <w:tab/>
        <w:t>Fedélzeti tartósítási mód:[ ]</w:t>
      </w:r>
      <w:r>
        <w:rPr>
          <w:noProof/>
          <w:color w:val="000000"/>
          <w:sz w:val="22"/>
        </w:rPr>
        <w:tab/>
        <w:t>Jég</w:t>
      </w:r>
      <w:r>
        <w:rPr>
          <w:noProof/>
          <w:color w:val="000000"/>
          <w:sz w:val="22"/>
        </w:rPr>
        <w:tab/>
        <w:t>[ ] hűtés</w:t>
      </w:r>
      <w:r>
        <w:rPr>
          <w:noProof/>
          <w:color w:val="000000"/>
          <w:sz w:val="22"/>
        </w:rPr>
        <w:tab/>
        <w:t>[ ] vegyes</w:t>
      </w:r>
      <w:r>
        <w:rPr>
          <w:noProof/>
          <w:color w:val="000000"/>
          <w:sz w:val="22"/>
        </w:rPr>
        <w:tab/>
        <w:t>[ ] fagyasztás</w:t>
      </w:r>
    </w:p>
    <w:p>
      <w:pPr>
        <w:widowControl w:val="0"/>
        <w:tabs>
          <w:tab w:val="left" w:pos="538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18.</w:t>
      </w:r>
      <w:r>
        <w:rPr>
          <w:noProof/>
          <w:color w:val="000000"/>
          <w:sz w:val="22"/>
        </w:rPr>
        <w:tab/>
        <w:t>Napi (24 óra) feldolgozási kapacitás tonnában: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leader="dot" w:pos="4509"/>
          <w:tab w:val="left" w:leader="dot" w:pos="8339"/>
        </w:tabs>
        <w:spacing w:before="0" w:after="0" w:line="425" w:lineRule="exact"/>
        <w:ind w:left="62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 xml:space="preserve">Halraktárak száma: </w:t>
      </w:r>
      <w:r>
        <w:rPr>
          <w:noProof/>
          <w:color w:val="000000"/>
          <w:sz w:val="22"/>
        </w:rPr>
        <w:tab/>
        <w:t xml:space="preserve"> Halraktárak teljes kapacitása</w:t>
      </w:r>
      <w:r>
        <w:rPr>
          <w:noProof/>
        </w:rPr>
        <w:t xml:space="preserve"> (m</w:t>
      </w:r>
      <w:r>
        <w:rPr>
          <w:noProof/>
          <w:vertAlign w:val="superscript"/>
        </w:rPr>
        <w:t>3</w:t>
      </w:r>
      <w:r>
        <w:rPr>
          <w:noProof/>
        </w:rPr>
        <w:t>-ben)</w:t>
      </w:r>
      <w:r>
        <w:rPr>
          <w:noProof/>
          <w:color w:val="000000"/>
          <w:sz w:val="22"/>
        </w:rPr>
        <w:t xml:space="preserve">: </w:t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47"/>
        </w:tabs>
        <w:spacing w:before="0" w:after="0" w:line="468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19.</w:t>
      </w:r>
      <w:r>
        <w:rPr>
          <w:noProof/>
          <w:color w:val="000000"/>
          <w:sz w:val="22"/>
        </w:rPr>
        <w:tab/>
        <w:t>VMS. Az automatikus helyzetmeghatározó berendezés adatai:</w:t>
      </w:r>
    </w:p>
    <w:p>
      <w:pPr>
        <w:widowControl w:val="0"/>
        <w:tabs>
          <w:tab w:val="left" w:leader="dot" w:pos="3855"/>
          <w:tab w:val="left" w:leader="dot" w:pos="6152"/>
          <w:tab w:val="left" w:leader="dot" w:pos="8841"/>
        </w:tabs>
        <w:spacing w:before="0" w:after="0" w:line="468" w:lineRule="exact"/>
        <w:ind w:left="64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Gyártó:</w:t>
      </w:r>
      <w:r>
        <w:rPr>
          <w:noProof/>
          <w:color w:val="000000"/>
          <w:sz w:val="22"/>
        </w:rPr>
        <w:tab/>
        <w:t>Modell:</w:t>
      </w:r>
      <w:r>
        <w:rPr>
          <w:noProof/>
          <w:color w:val="000000"/>
          <w:sz w:val="22"/>
        </w:rPr>
        <w:tab/>
        <w:t>Sorszám: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leader="dot" w:pos="4575"/>
          <w:tab w:val="left" w:leader="dot" w:pos="8841"/>
        </w:tabs>
        <w:spacing w:before="0" w:after="0" w:line="468" w:lineRule="exact"/>
        <w:ind w:left="64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Szoftververzió:</w:t>
      </w:r>
      <w:r>
        <w:rPr>
          <w:noProof/>
          <w:color w:val="000000"/>
          <w:sz w:val="22"/>
        </w:rPr>
        <w:tab/>
        <w:t>A műhold üzemeltetője (MCSP):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67"/>
        </w:tabs>
        <w:spacing w:before="0" w:after="0" w:line="464" w:lineRule="exac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IV.</w:t>
      </w:r>
      <w:r>
        <w:rPr>
          <w:noProof/>
          <w:color w:val="000000"/>
          <w:sz w:val="22"/>
        </w:rPr>
        <w:tab/>
        <w:t>HALÁSZATI TEVÉKENYSÉG</w:t>
      </w:r>
    </w:p>
    <w:p>
      <w:pPr>
        <w:widowControl w:val="0"/>
        <w:tabs>
          <w:tab w:val="left" w:pos="547"/>
          <w:tab w:val="left" w:pos="3120"/>
          <w:tab w:val="left" w:pos="5160"/>
          <w:tab w:val="left" w:pos="7440"/>
        </w:tabs>
        <w:spacing w:before="0" w:after="0" w:line="464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20.</w:t>
      </w:r>
      <w:r>
        <w:rPr>
          <w:noProof/>
          <w:color w:val="000000"/>
          <w:sz w:val="22"/>
        </w:rPr>
        <w:tab/>
        <w:t>Engedélyezett halászeszköz:</w:t>
      </w:r>
      <w:r>
        <w:rPr>
          <w:noProof/>
          <w:color w:val="000000"/>
          <w:sz w:val="22"/>
        </w:rPr>
        <w:tab/>
        <w:t>[  ] erszényes kerítőháló</w:t>
      </w:r>
      <w:r>
        <w:rPr>
          <w:noProof/>
          <w:color w:val="000000"/>
          <w:sz w:val="22"/>
        </w:rPr>
        <w:tab/>
        <w:t>[  ] horogsor</w:t>
      </w:r>
      <w:r>
        <w:rPr>
          <w:noProof/>
          <w:color w:val="000000"/>
          <w:sz w:val="22"/>
        </w:rPr>
        <w:tab/>
        <w:t>[  ] horgászbot</w:t>
      </w:r>
    </w:p>
    <w:p>
      <w:pPr>
        <w:widowControl w:val="0"/>
        <w:tabs>
          <w:tab w:val="left" w:pos="547"/>
          <w:tab w:val="left" w:leader="dot" w:pos="8841"/>
        </w:tabs>
        <w:spacing w:before="0" w:after="0" w:line="464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21.</w:t>
      </w:r>
      <w:r>
        <w:rPr>
          <w:noProof/>
          <w:color w:val="000000"/>
          <w:sz w:val="22"/>
        </w:rPr>
        <w:tab/>
        <w:t xml:space="preserve">A fogások kirakodási helye: 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47"/>
        </w:tabs>
        <w:spacing w:before="0" w:after="0" w:line="464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lastRenderedPageBreak/>
        <w:t>22.</w:t>
      </w:r>
      <w:r>
        <w:rPr>
          <w:noProof/>
          <w:color w:val="000000"/>
          <w:sz w:val="22"/>
        </w:rPr>
        <w:tab/>
        <w:t>Az engedély kért érvényességi idejének határnapjai</w:t>
      </w:r>
      <w:r>
        <w:rPr>
          <w:noProof/>
        </w:rPr>
        <w:t xml:space="preserve"> </w:t>
      </w:r>
      <w:r>
        <w:rPr>
          <w:noProof/>
          <w:color w:val="000000"/>
          <w:sz w:val="22"/>
        </w:rPr>
        <w:t xml:space="preserve">(ÉÉÉÉ/HH/NN formátumban): </w:t>
      </w:r>
      <w:r>
        <w:rPr>
          <w:noProof/>
        </w:rPr>
        <w:t xml:space="preserve">…/…/…-tól </w:t>
      </w:r>
      <w:r>
        <w:rPr>
          <w:rStyle w:val="Bodytext2Spacing2pt"/>
          <w:rFonts w:eastAsiaTheme="minorHAnsi"/>
          <w:noProof/>
          <w:szCs w:val="24"/>
        </w:rPr>
        <w:t xml:space="preserve"> </w:t>
      </w:r>
      <w:r>
        <w:rPr>
          <w:noProof/>
        </w:rPr>
        <w:t>…/…/…-ig</w:t>
      </w:r>
    </w:p>
    <w:p>
      <w:pPr>
        <w:widowControl w:val="0"/>
        <w:spacing w:before="0" w:after="0" w:line="468" w:lineRule="exac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Alulírott igazolom, hogy a kérelemben feltüntetett adatokat jóhiszeműen és a legjobb tudomásom szerint a valóságnak megfelelően adtam meg.</w:t>
      </w:r>
    </w:p>
    <w:p>
      <w:pPr>
        <w:widowControl w:val="0"/>
        <w:spacing w:before="0" w:after="0" w:line="468" w:lineRule="exact"/>
        <w:rPr>
          <w:noProof/>
          <w:color w:val="000000"/>
          <w:sz w:val="22"/>
          <w:lang w:eastAsia="fr-FR" w:bidi="fr-FR"/>
        </w:rPr>
      </w:pPr>
    </w:p>
    <w:p>
      <w:pPr>
        <w:widowControl w:val="0"/>
        <w:tabs>
          <w:tab w:val="left" w:leader="dot" w:pos="8064"/>
        </w:tabs>
        <w:spacing w:before="0" w:after="0" w:line="468" w:lineRule="exac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Kelt                        -ban/-ben,              , -án/-én.</w:t>
      </w:r>
    </w:p>
    <w:p>
      <w:pPr>
        <w:widowControl w:val="0"/>
        <w:tabs>
          <w:tab w:val="left" w:leader="dot" w:pos="8841"/>
        </w:tabs>
        <w:spacing w:before="0" w:after="0" w:line="468" w:lineRule="exac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 xml:space="preserve">A kérelmező aláírása: </w:t>
      </w:r>
      <w:r>
        <w:rPr>
          <w:noProof/>
        </w:rPr>
        <w:tab/>
      </w:r>
    </w:p>
    <w:p>
      <w:pPr>
        <w:widowControl w:val="0"/>
        <w:tabs>
          <w:tab w:val="left" w:leader="dot" w:pos="8841"/>
        </w:tabs>
        <w:spacing w:before="0" w:after="0" w:line="468" w:lineRule="exact"/>
        <w:rPr>
          <w:noProof/>
          <w:color w:val="000000"/>
          <w:sz w:val="22"/>
          <w:lang w:eastAsia="fr-FR" w:bidi="fr-FR"/>
        </w:rPr>
      </w:pP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1035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680"/>
        <w:gridCol w:w="4678"/>
      </w:tblGrid>
      <w:tr>
        <w:trPr>
          <w:trHeight w:val="702"/>
        </w:trPr>
        <w:tc>
          <w:tcPr>
            <w:tcW w:w="103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lastRenderedPageBreak/>
              <w:t xml:space="preserve">1. ADATLAP </w:t>
            </w:r>
          </w:p>
          <w:p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1. HALÁSZATI KATEGÓRIA</w:t>
            </w:r>
            <w:r>
              <w:rPr>
                <w:b/>
                <w:noProof/>
                <w:sz w:val="20"/>
              </w:rPr>
              <w:t xml:space="preserve"> – HALAKRA ÉS FEJLÁBÚAKRA HALÁSZÓ VONÓHÁLÓS HAJÓK</w:t>
            </w:r>
            <w:r>
              <w:rPr>
                <w:b/>
                <w:noProof/>
                <w:sz w:val="20"/>
              </w:rPr>
              <w:br/>
            </w:r>
          </w:p>
        </w:tc>
      </w:tr>
      <w:tr>
        <w:trPr>
          <w:trHeight w:val="34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  <w:r>
              <w:rPr>
                <w:noProof/>
                <w:sz w:val="20"/>
                <w:szCs w:val="20"/>
              </w:rPr>
              <w:tab/>
              <w:t>Halászati övezet</w:t>
            </w:r>
          </w:p>
        </w:tc>
      </w:tr>
      <w:tr>
        <w:trPr>
          <w:trHeight w:val="600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Az alapvonaltól számított 12 tengeri mérföldes sávon túl, beleértve Bissau-Guinea és Szenegál közös gazdálkodási övezetét, északra egészen a 268°-os irányszögig.</w:t>
            </w:r>
          </w:p>
        </w:tc>
      </w:tr>
      <w:tr>
        <w:trPr>
          <w:trHeight w:val="42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  <w:r>
              <w:rPr>
                <w:noProof/>
                <w:sz w:val="20"/>
                <w:szCs w:val="20"/>
              </w:rPr>
              <w:tab/>
              <w:t>Engedélyezett halászeszközök</w:t>
            </w:r>
          </w:p>
        </w:tc>
      </w:tr>
      <w:tr>
        <w:trPr>
          <w:trHeight w:val="2206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2.1.</w:t>
            </w:r>
            <w:r>
              <w:rPr>
                <w:noProof/>
                <w:sz w:val="20"/>
                <w:szCs w:val="20"/>
              </w:rPr>
              <w:tab/>
              <w:t>Engedélyezett a hagyományos feszítőlapos vonóháló és egyéb szelektív halászeszközök használata.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2.2.</w:t>
            </w:r>
            <w:r>
              <w:rPr>
                <w:noProof/>
                <w:sz w:val="20"/>
                <w:szCs w:val="20"/>
              </w:rPr>
              <w:tab/>
              <w:t>Engedélyezett a hajóra szerelt vendégrudak használata.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2.3.</w:t>
            </w:r>
            <w:r>
              <w:rPr>
                <w:noProof/>
                <w:sz w:val="20"/>
                <w:szCs w:val="20"/>
              </w:rPr>
              <w:tab/>
              <w:t>Valamennyi halászeszköz esetében tilos minden olyan módszer vagy eszköz alkalmazása, amely elzárja a hálószemeket vagy csökkenti szelektív hatásukat. A hálókopás vagy -szakadás elkerülésére azonban a fenékvonóhálók zsákvégének alsó részéhez rögzíthető egy léhésből vagy egyéb anyagból készült védőpanel. A vonóhálók esetében ilyen hálópanelek kizárólag a zsákvég elülső és oldalperemeire erősíthetők. A vonóháló felső részére felszerelhetők védőeszközök, feltéve, hogy azok egyetlen, a zsákvég anyagával megegyező léhésdarabból állnak, amelynek szembősége kifeszített állapotban legalább 300 milliméter.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2.4.</w:t>
            </w:r>
            <w:r>
              <w:rPr>
                <w:noProof/>
                <w:sz w:val="20"/>
                <w:szCs w:val="20"/>
              </w:rPr>
              <w:tab/>
              <w:t>A vonóhálók zsákvégét alkotó – egy- vagy többszálas (sodort) – fonal megkettőzése tilos.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0"/>
                <w:szCs w:val="20"/>
              </w:rPr>
              <w:tab/>
              <w:t>Engedélyezett legkisebb hálószembőség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mm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  <w:r>
              <w:rPr>
                <w:noProof/>
                <w:sz w:val="20"/>
                <w:szCs w:val="20"/>
              </w:rPr>
              <w:tab/>
              <w:t>Járulékos fogások</w:t>
            </w:r>
          </w:p>
        </w:tc>
      </w:tr>
      <w:tr>
        <w:trPr>
          <w:trHeight w:val="501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jegyzőkönyv alkalmazásának első két évében a hajók által Bissau-Guinea halászati övezetében megtett halászati út során ejtett összfogásban a rákfélék aránya nem haladhatja meg az 5 %-ot.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jegyzőkönyv alkalmazásának harmadik évétől: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kizárólag halakra halászó hajók által Bissau-Guinea halászati övezetében megtett halászati út során ejtett összfogásban a rákfélék aránya nem haladhatja meg az 5 %-ot, a fejlábúak aránya pedig a 15 %-ot. A kalmárok (</w:t>
            </w:r>
            <w:r>
              <w:rPr>
                <w:i/>
                <w:noProof/>
                <w:sz w:val="20"/>
                <w:szCs w:val="20"/>
              </w:rPr>
              <w:t xml:space="preserve">Todarodes sagittatus </w:t>
            </w:r>
            <w:r>
              <w:rPr>
                <w:noProof/>
                <w:sz w:val="20"/>
                <w:szCs w:val="20"/>
              </w:rPr>
              <w:t xml:space="preserve">és </w:t>
            </w:r>
            <w:r>
              <w:rPr>
                <w:i/>
                <w:noProof/>
                <w:sz w:val="20"/>
                <w:szCs w:val="20"/>
              </w:rPr>
              <w:t>Todaropsis eblanae</w:t>
            </w:r>
            <w:r>
              <w:rPr>
                <w:noProof/>
                <w:sz w:val="20"/>
                <w:szCs w:val="20"/>
              </w:rPr>
              <w:t>) fogása megengedett és a célfajok közé számít.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fejlábúakra halászó hajók által Bissau-Guinea halászati övezetében megtett halászati út során ejtett összfogásban a halak aránya nem haladhatja meg a 60 %-ot, a rákfélék aránya pedig az 5 %-ot.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megengedett járulékos fogások százalékos arányának túllépéséért a bissau-guineai jogszabályoknak megfelelő szankció jár.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két Fél a vegyes bizottság keretében konzultál egymással az engedélyezett aránynak a közös tudományos bizottság ajánlása alapján történő kiigazításáról.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  <w:r>
              <w:rPr>
                <w:noProof/>
                <w:sz w:val="20"/>
                <w:szCs w:val="20"/>
              </w:rPr>
              <w:tab/>
              <w:t>Engedélyezett tonnatartalom/díjak</w:t>
            </w:r>
          </w:p>
        </w:tc>
      </w:tr>
      <w:tr>
        <w:trPr>
          <w:trHeight w:val="5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5.1.</w:t>
            </w:r>
            <w:r>
              <w:rPr>
                <w:noProof/>
                <w:sz w:val="20"/>
                <w:szCs w:val="20"/>
              </w:rPr>
              <w:tab/>
              <w:t>Engedélyezett tonnatartalom (BRT-ben) a jegyzőkönyv alkalmazásának első két évében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3 500 BRT/év</w:t>
            </w:r>
          </w:p>
        </w:tc>
      </w:tr>
      <w:tr>
        <w:trPr>
          <w:trHeight w:val="146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5.2.</w:t>
            </w:r>
            <w:r>
              <w:rPr>
                <w:noProof/>
                <w:sz w:val="20"/>
                <w:szCs w:val="20"/>
              </w:rPr>
              <w:tab/>
              <w:t>Díjak (EUR/BRT-ben) a jegyzőkönyv alkalmazásának első két évében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282 EUR/BRT/év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Negyed-, illetve féléves engedélyek esetében a díjakat időarányosan kell kiszámítani, 4 %, illetve 2,5 % hozzáadásával.</w:t>
            </w:r>
          </w:p>
        </w:tc>
      </w:tr>
      <w:tr>
        <w:trPr>
          <w:trHeight w:val="112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5.3. </w:t>
            </w:r>
            <w:r>
              <w:rPr>
                <w:noProof/>
                <w:sz w:val="20"/>
                <w:szCs w:val="20"/>
              </w:rPr>
              <w:tab/>
              <w:t>Engedélyezett tonnatartalom (TAC-ban) a jegyzőkönyv alkalmazásának harmadik évétől annak lejártáig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11 000 tonna/év a tengerfenéki halak esetében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1 500 tonna/év a fejlábúak esetében</w:t>
            </w:r>
          </w:p>
          <w:p>
            <w:pPr>
              <w:rPr>
                <w:noProof/>
                <w:sz w:val="20"/>
                <w:szCs w:val="20"/>
                <w:highlight w:val="yellow"/>
              </w:rPr>
            </w:pPr>
          </w:p>
        </w:tc>
      </w:tr>
      <w:tr>
        <w:trPr>
          <w:trHeight w:val="11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5.4. </w:t>
            </w:r>
            <w:r>
              <w:rPr>
                <w:noProof/>
                <w:sz w:val="20"/>
                <w:szCs w:val="20"/>
              </w:rPr>
              <w:tab/>
              <w:t>Díjak (EUR/tonnában) a jegyzőkönyv alkalmazásának harmadik évétől annak lejártáig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90 EUR/tonna a tengerfenéki halak esetében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270 EUR/tonna a fejlábúak esetében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</w:tbl>
    <w:p>
      <w:pPr>
        <w:rPr>
          <w:noProof/>
        </w:rPr>
      </w:pPr>
    </w:p>
    <w:tbl>
      <w:tblPr>
        <w:tblpPr w:leftFromText="180" w:rightFromText="180" w:vertAnchor="text" w:horzAnchor="margin" w:tblpXSpec="center" w:tblpY="380"/>
        <w:tblW w:w="10358" w:type="dxa"/>
        <w:tblLayout w:type="fixed"/>
        <w:tblLook w:val="0000" w:firstRow="0" w:lastRow="0" w:firstColumn="0" w:lastColumn="0" w:noHBand="0" w:noVBand="0"/>
      </w:tblPr>
      <w:tblGrid>
        <w:gridCol w:w="5680"/>
        <w:gridCol w:w="4678"/>
      </w:tblGrid>
      <w:tr>
        <w:trPr>
          <w:trHeight w:val="702"/>
        </w:trPr>
        <w:tc>
          <w:tcPr>
            <w:tcW w:w="103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b/>
                <w:bCs/>
                <w:noProof/>
                <w:sz w:val="20"/>
              </w:rPr>
              <w:t xml:space="preserve">2. ADATLAP </w:t>
            </w:r>
          </w:p>
          <w:p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2. HALÁSZATI KATEGÓRIA – VONÓHÁLÓS GARNÉLAHALÁSZ-HAJÓK</w:t>
            </w:r>
          </w:p>
        </w:tc>
      </w:tr>
      <w:tr>
        <w:trPr>
          <w:trHeight w:val="34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  <w:r>
              <w:rPr>
                <w:noProof/>
                <w:sz w:val="20"/>
                <w:szCs w:val="20"/>
              </w:rPr>
              <w:tab/>
              <w:t>Halászati övezet</w:t>
            </w:r>
          </w:p>
        </w:tc>
      </w:tr>
      <w:tr>
        <w:trPr>
          <w:trHeight w:val="600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alapvonaltól számított 12 tengeri mérföldes sávon túl, beleértve Bissau-Guinea és Szenegál közös gazdálkodási övezetét, északra egészen a 268°-os irányszögig.</w:t>
            </w:r>
          </w:p>
        </w:tc>
      </w:tr>
      <w:tr>
        <w:trPr>
          <w:trHeight w:val="42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  <w:r>
              <w:rPr>
                <w:noProof/>
                <w:sz w:val="20"/>
                <w:szCs w:val="20"/>
              </w:rPr>
              <w:tab/>
              <w:t>Engedélyezett halászeszköz</w:t>
            </w:r>
          </w:p>
        </w:tc>
      </w:tr>
      <w:tr>
        <w:trPr>
          <w:trHeight w:val="2206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2.1.</w:t>
            </w:r>
            <w:r>
              <w:rPr>
                <w:bCs/>
                <w:noProof/>
                <w:sz w:val="20"/>
              </w:rPr>
              <w:tab/>
            </w:r>
            <w:r>
              <w:rPr>
                <w:noProof/>
                <w:sz w:val="20"/>
              </w:rPr>
              <w:t>A hagyományos feszítőlapos vonóháló és egyéb szelektív halászeszközök használata engedélyezett.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2.2.</w:t>
            </w:r>
            <w:r>
              <w:rPr>
                <w:noProof/>
                <w:sz w:val="20"/>
              </w:rPr>
              <w:tab/>
              <w:t>A hajóra szerelt vendégrudak használata engedélyezett.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2.3.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  <w:szCs w:val="20"/>
              </w:rPr>
              <w:t>Valamennyi</w:t>
            </w:r>
            <w:r>
              <w:rPr>
                <w:noProof/>
                <w:sz w:val="20"/>
              </w:rPr>
              <w:t xml:space="preserve"> halászeszköz esetében tilos minden olyan módszer vagy eszköz alkalmazása, amely elzárja a hálószemeket vagy csökkenti szelektív hatásukat. A hálókopás vagy -szakadás elkerülésére azonban a fenékvonóhálók zsákvégének alsó részéhez rögzíthető egy léhésből vagy egyéb anyagból készült védőpanel. A vonóhálók esetében ilyen hálópanelek kizárólag a zsákvég elülső és oldalperemeire erősíthetők. A vonóháló felső részére felszerelhetők védőeszközök, feltéve, hogy azok egyetlen, a zsákvég anyagával megegyező léhésdarabból állnak, amelynek szembősége kifeszített állapotban legalább 300 milliméter.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2.4.</w:t>
            </w:r>
            <w:r>
              <w:rPr>
                <w:noProof/>
                <w:sz w:val="20"/>
              </w:rPr>
              <w:tab/>
              <w:t xml:space="preserve">A vonóhálók zsákvégét alkotó – </w:t>
            </w:r>
            <w:r>
              <w:rPr>
                <w:noProof/>
                <w:sz w:val="20"/>
                <w:szCs w:val="20"/>
              </w:rPr>
              <w:t>egy</w:t>
            </w:r>
            <w:r>
              <w:rPr>
                <w:noProof/>
                <w:sz w:val="20"/>
              </w:rPr>
              <w:t xml:space="preserve">- vagy többszálas (sodort) – fonal </w:t>
            </w:r>
            <w:r>
              <w:rPr>
                <w:noProof/>
                <w:sz w:val="20"/>
                <w:szCs w:val="20"/>
              </w:rPr>
              <w:t>megkettőzése</w:t>
            </w:r>
            <w:r>
              <w:rPr>
                <w:noProof/>
                <w:sz w:val="20"/>
              </w:rPr>
              <w:t xml:space="preserve"> tilos.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0"/>
                <w:szCs w:val="20"/>
              </w:rPr>
              <w:tab/>
              <w:t>Engedélyezett legkisebb hálószembőség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50 mm. 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  <w:r>
              <w:rPr>
                <w:noProof/>
                <w:sz w:val="20"/>
                <w:szCs w:val="20"/>
              </w:rPr>
              <w:tab/>
              <w:t>Járulékos fogások</w:t>
            </w:r>
          </w:p>
        </w:tc>
      </w:tr>
      <w:tr>
        <w:trPr>
          <w:trHeight w:val="501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4.1.</w:t>
            </w:r>
            <w:r>
              <w:rPr>
                <w:noProof/>
                <w:sz w:val="20"/>
              </w:rPr>
              <w:tab/>
              <w:t>A garnélahalász hajók által Bissau-Guinea halászati övezetében megtett halászati út során ejtett összfogásban a fejlábúak aránya nem haladhatja meg a 15 %-ot, a halak aránya pedig a 70 %-ot.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4.2.</w:t>
            </w:r>
            <w:r>
              <w:rPr>
                <w:noProof/>
                <w:sz w:val="20"/>
              </w:rPr>
              <w:tab/>
              <w:t>A megengedett járulékos fogások százalékos arányának túllépéséért a bissau-guineai jogszabályoknak megfelelő szankció jár.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4.3.</w:t>
            </w:r>
            <w:r>
              <w:rPr>
                <w:noProof/>
                <w:sz w:val="20"/>
              </w:rPr>
              <w:tab/>
              <w:t>A két Fél a vegyes bizottság keretében konzultál egymással az engedélyezett aránynak a közös tudományos bizottság ajánlása alapján történő kiigazításáról.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  <w:r>
              <w:rPr>
                <w:noProof/>
                <w:sz w:val="20"/>
                <w:szCs w:val="20"/>
              </w:rPr>
              <w:tab/>
              <w:t>Engedélyezett tonnatartalom/díjak</w:t>
            </w:r>
          </w:p>
        </w:tc>
      </w:tr>
      <w:tr>
        <w:trPr>
          <w:trHeight w:val="4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5.1.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</w:rPr>
              <w:t>Engedélyezett tonnatartalom (BRT-ben) a jegyzőkönyv alkalmazásának első két évében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3 700 BRT/év</w:t>
            </w:r>
          </w:p>
        </w:tc>
      </w:tr>
      <w:tr>
        <w:trPr>
          <w:trHeight w:val="35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5.2.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</w:rPr>
              <w:t>Díjak (EUR/BRT-ben) a jegyzőkönyv alkalmazásának első két évében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395 EUR/BRT/év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Negyed-, illetve féléves engedélyek esetén a díjakat időarányosan kell kiszámítani, 4 %, illetve 2,5 % hozzáadásával.</w:t>
            </w:r>
          </w:p>
        </w:tc>
      </w:tr>
      <w:tr>
        <w:trPr>
          <w:trHeight w:val="35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5.3.</w:t>
            </w:r>
            <w:r>
              <w:rPr>
                <w:noProof/>
                <w:sz w:val="20"/>
                <w:szCs w:val="20"/>
              </w:rPr>
              <w:tab/>
              <w:t>Engedélyezett tonnatartalom (TAC-ban) a jegyzőkönyv alkalmazásának harmadik évétől annak lejártáig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2 500 tonna/év</w:t>
            </w:r>
          </w:p>
        </w:tc>
      </w:tr>
      <w:tr>
        <w:trPr>
          <w:trHeight w:val="35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5.4.</w:t>
            </w:r>
            <w:r>
              <w:rPr>
                <w:noProof/>
                <w:sz w:val="20"/>
                <w:szCs w:val="20"/>
              </w:rPr>
              <w:tab/>
              <w:t>Díjak (EUR/tonnában) a jegyzőkönyv alkalmazásának harmadik évétől annak lejártáig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</w:rPr>
              <w:t>280 EUR/tonna</w:t>
            </w:r>
          </w:p>
        </w:tc>
      </w:tr>
    </w:tbl>
    <w:p>
      <w:pPr>
        <w:rPr>
          <w:noProof/>
        </w:rPr>
      </w:pPr>
      <w:r>
        <w:rPr>
          <w:noProof/>
        </w:rPr>
        <w:lastRenderedPageBreak/>
        <w:br w:type="page"/>
      </w:r>
    </w:p>
    <w:tbl>
      <w:tblPr>
        <w:tblW w:w="9856" w:type="dxa"/>
        <w:tblLook w:val="0000" w:firstRow="0" w:lastRow="0" w:firstColumn="0" w:lastColumn="0" w:noHBand="0" w:noVBand="0"/>
      </w:tblPr>
      <w:tblGrid>
        <w:gridCol w:w="5569"/>
        <w:gridCol w:w="4287"/>
      </w:tblGrid>
      <w:tr>
        <w:trPr>
          <w:trHeight w:val="900"/>
        </w:trPr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</w:rPr>
              <w:lastRenderedPageBreak/>
              <w:br w:type="page"/>
            </w: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>
              <w:rPr>
                <w:b/>
                <w:bCs/>
                <w:noProof/>
                <w:sz w:val="20"/>
              </w:rPr>
              <w:t xml:space="preserve">3. ADATLAP </w:t>
            </w:r>
          </w:p>
          <w:p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3. HALÁSZATI KATEGÓRIA – HORGÁSZBOTOS TONHALHALÁSZHAJÓK</w:t>
            </w:r>
          </w:p>
        </w:tc>
      </w:tr>
      <w:tr>
        <w:trPr>
          <w:trHeight w:val="342"/>
        </w:trPr>
        <w:tc>
          <w:tcPr>
            <w:tcW w:w="9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1.</w:t>
            </w:r>
            <w:r>
              <w:rPr>
                <w:b/>
                <w:bCs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>Halászati övezet:</w:t>
            </w:r>
          </w:p>
        </w:tc>
      </w:tr>
      <w:tr>
        <w:trPr>
          <w:trHeight w:val="600"/>
        </w:trPr>
        <w:tc>
          <w:tcPr>
            <w:tcW w:w="9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1.1.</w:t>
            </w:r>
            <w:r>
              <w:rPr>
                <w:noProof/>
                <w:sz w:val="20"/>
              </w:rPr>
              <w:tab/>
              <w:t>Az alapvonaltól számított 12 tengeri mérföldes sávon túl, beleértve Bissau-Guinea és Szenegál közös gazdálkodási övezetét, északra egészen a 268°-os irányszögig.</w:t>
            </w:r>
          </w:p>
          <w:p>
            <w:pPr>
              <w:rPr>
                <w:noProof/>
              </w:rPr>
            </w:pPr>
            <w:r>
              <w:rPr>
                <w:noProof/>
                <w:sz w:val="20"/>
              </w:rPr>
              <w:t>1.2.</w:t>
            </w:r>
            <w:r>
              <w:rPr>
                <w:noProof/>
                <w:sz w:val="20"/>
              </w:rPr>
              <w:tab/>
              <w:t>A Bissau-Guinea halászati övezetében folytatott halászati tevékenységük végzésére tekintettel a horgászbotos tonhalhalászhajók számára engedélyezett az élőcsali-halászat.</w:t>
            </w:r>
          </w:p>
        </w:tc>
      </w:tr>
      <w:tr>
        <w:trPr>
          <w:trHeight w:val="342"/>
        </w:trPr>
        <w:tc>
          <w:tcPr>
            <w:tcW w:w="9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2.</w:t>
            </w:r>
            <w:r>
              <w:rPr>
                <w:b/>
                <w:bCs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>Engedélyezett halászeszköz:</w:t>
            </w:r>
          </w:p>
        </w:tc>
      </w:tr>
      <w:tr>
        <w:trPr>
          <w:trHeight w:val="600"/>
        </w:trPr>
        <w:tc>
          <w:tcPr>
            <w:tcW w:w="9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2.1.</w:t>
            </w:r>
            <w:r>
              <w:rPr>
                <w:noProof/>
                <w:sz w:val="20"/>
                <w:szCs w:val="20"/>
              </w:rPr>
              <w:tab/>
              <w:t>Horgászbot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2.2.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</w:rPr>
              <w:t>Élő csalis erszényes kerítőháló: 16 mm</w:t>
            </w:r>
          </w:p>
        </w:tc>
      </w:tr>
      <w:tr>
        <w:trPr>
          <w:trHeight w:val="342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b/>
                <w:noProof/>
                <w:sz w:val="20"/>
              </w:rPr>
              <w:t>Járulékos fogások</w:t>
            </w:r>
            <w:r>
              <w:rPr>
                <w:noProof/>
                <w:sz w:val="20"/>
              </w:rPr>
              <w:t xml:space="preserve">: </w:t>
            </w:r>
          </w:p>
        </w:tc>
      </w:tr>
      <w:tr>
        <w:trPr>
          <w:trHeight w:val="402"/>
        </w:trPr>
        <w:tc>
          <w:tcPr>
            <w:tcW w:w="9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</w:t>
            </w:r>
            <w:r>
              <w:rPr>
                <w:noProof/>
                <w:sz w:val="20"/>
              </w:rPr>
              <w:tab/>
              <w:t>A vándorló fajokról szóló egyezménnyel és az ICCAT ajánlásaival összhangban tilos az óriáscápa (</w:t>
            </w:r>
            <w:r>
              <w:rPr>
                <w:i/>
                <w:noProof/>
                <w:sz w:val="20"/>
              </w:rPr>
              <w:t>Cetorhinus maximus</w:t>
            </w:r>
            <w:r>
              <w:rPr>
                <w:noProof/>
                <w:sz w:val="20"/>
              </w:rPr>
              <w:t>), a fehér cápa (</w:t>
            </w:r>
            <w:r>
              <w:rPr>
                <w:i/>
                <w:noProof/>
                <w:sz w:val="20"/>
              </w:rPr>
              <w:t>Carcharodon carcharias</w:t>
            </w:r>
            <w:r>
              <w:rPr>
                <w:noProof/>
                <w:sz w:val="20"/>
              </w:rPr>
              <w:t>), a nagyszemű rókacápa (</w:t>
            </w:r>
            <w:r>
              <w:rPr>
                <w:i/>
                <w:noProof/>
                <w:sz w:val="20"/>
              </w:rPr>
              <w:t>Alopias superciliosus</w:t>
            </w:r>
            <w:r>
              <w:rPr>
                <w:noProof/>
                <w:sz w:val="20"/>
              </w:rPr>
              <w:t xml:space="preserve">), a </w:t>
            </w:r>
            <w:r>
              <w:rPr>
                <w:i/>
                <w:noProof/>
                <w:sz w:val="20"/>
              </w:rPr>
              <w:t>Sphyrnidae</w:t>
            </w:r>
            <w:r>
              <w:rPr>
                <w:noProof/>
                <w:sz w:val="20"/>
              </w:rPr>
              <w:t xml:space="preserve"> családba tartozó cápafajok (a pörölycápák kivételével), a fehérfoltúcápa (</w:t>
            </w:r>
            <w:r>
              <w:rPr>
                <w:i/>
                <w:noProof/>
                <w:sz w:val="20"/>
              </w:rPr>
              <w:t>Carcharhinus longimanus</w:t>
            </w:r>
            <w:r>
              <w:rPr>
                <w:noProof/>
                <w:sz w:val="20"/>
              </w:rPr>
              <w:t>) és a selyemcápa (</w:t>
            </w:r>
            <w:r>
              <w:rPr>
                <w:i/>
                <w:noProof/>
                <w:sz w:val="20"/>
              </w:rPr>
              <w:t>Carcharhinus falciformis</w:t>
            </w:r>
            <w:r>
              <w:rPr>
                <w:noProof/>
                <w:sz w:val="20"/>
              </w:rPr>
              <w:t>) halászata. A homoki tigriscápa (</w:t>
            </w:r>
            <w:r>
              <w:rPr>
                <w:i/>
                <w:noProof/>
                <w:sz w:val="20"/>
              </w:rPr>
              <w:t>Carcharias taurus</w:t>
            </w:r>
            <w:r>
              <w:rPr>
                <w:noProof/>
                <w:sz w:val="20"/>
              </w:rPr>
              <w:t>) és a közönséges kutyacápa (</w:t>
            </w:r>
            <w:r>
              <w:rPr>
                <w:i/>
                <w:noProof/>
                <w:sz w:val="20"/>
              </w:rPr>
              <w:t>Galeorhinus galeus</w:t>
            </w:r>
            <w:r>
              <w:rPr>
                <w:noProof/>
                <w:sz w:val="20"/>
              </w:rPr>
              <w:t>) halászata is tilos.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3.2.</w:t>
            </w:r>
            <w:r>
              <w:rPr>
                <w:noProof/>
                <w:sz w:val="20"/>
              </w:rPr>
              <w:tab/>
              <w:t>A két Fél tudományos ajánlások alapján a vegyes bizottság keretében konzultál egymással a szóban forgó jegyzék naprakésszé tétele érdekében.</w:t>
            </w:r>
          </w:p>
        </w:tc>
      </w:tr>
      <w:tr>
        <w:trPr>
          <w:trHeight w:val="342"/>
        </w:trPr>
        <w:tc>
          <w:tcPr>
            <w:tcW w:w="9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4.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b/>
                <w:noProof/>
                <w:sz w:val="20"/>
              </w:rPr>
              <w:t>Engedélyezett tonnatartalom/díjak:</w:t>
            </w:r>
          </w:p>
        </w:tc>
      </w:tr>
      <w:tr>
        <w:trPr>
          <w:trHeight w:val="531"/>
        </w:trPr>
        <w:tc>
          <w:tcPr>
            <w:tcW w:w="5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4.1.</w:t>
            </w:r>
            <w:r>
              <w:rPr>
                <w:noProof/>
                <w:sz w:val="20"/>
              </w:rPr>
              <w:tab/>
              <w:t xml:space="preserve">Éves átalánydíj-előleg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hajónként 2 500 EUR 45,5 tonnára </w:t>
            </w:r>
          </w:p>
        </w:tc>
      </w:tr>
      <w:tr>
        <w:trPr>
          <w:trHeight w:val="551"/>
        </w:trPr>
        <w:tc>
          <w:tcPr>
            <w:tcW w:w="5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4.2.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</w:rPr>
              <w:t>Pótlólagos díj halászott tonnánként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55 EUR/tonna </w:t>
            </w:r>
          </w:p>
        </w:tc>
      </w:tr>
      <w:tr>
        <w:trPr>
          <w:trHeight w:val="373"/>
        </w:trPr>
        <w:tc>
          <w:tcPr>
            <w:tcW w:w="5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4.3.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</w:rPr>
              <w:t>Halászatra engedéllyel rendelkező hajók száma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hajó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9900" w:type="dxa"/>
        <w:tblLook w:val="0000" w:firstRow="0" w:lastRow="0" w:firstColumn="0" w:lastColumn="0" w:noHBand="0" w:noVBand="0"/>
      </w:tblPr>
      <w:tblGrid>
        <w:gridCol w:w="5425"/>
        <w:gridCol w:w="4475"/>
      </w:tblGrid>
      <w:tr>
        <w:trPr>
          <w:trHeight w:val="900"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</w:rPr>
              <w:lastRenderedPageBreak/>
              <w:br w:type="page"/>
            </w:r>
            <w:r>
              <w:rPr>
                <w:b/>
                <w:bCs/>
                <w:noProof/>
                <w:sz w:val="20"/>
              </w:rPr>
              <w:t xml:space="preserve">4. ADATLAP </w:t>
            </w:r>
          </w:p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b/>
                <w:bCs/>
                <w:noProof/>
                <w:sz w:val="20"/>
              </w:rPr>
              <w:t>4. HALÁSZATI KATEGÓRIA – FAGYASZTÓVAL FELSZERELT KERÍTŐHÁLÓS TONHALHALÁSZHAJÓK ÉS HOROGSOROS HAJÓK</w:t>
            </w:r>
          </w:p>
        </w:tc>
      </w:tr>
      <w:tr>
        <w:trPr>
          <w:trHeight w:val="34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1.</w:t>
            </w:r>
            <w:r>
              <w:rPr>
                <w:noProof/>
                <w:sz w:val="20"/>
                <w:szCs w:val="20"/>
              </w:rPr>
              <w:tab/>
              <w:t>Halászati övezet:</w:t>
            </w:r>
          </w:p>
        </w:tc>
      </w:tr>
      <w:tr>
        <w:trPr>
          <w:trHeight w:val="60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alapvonaltól számított 12 tengeri mérföldes sávon túl, beleértve Bissau-Guinea és Szenegál közös gazdálkodási övezetét, északra egészen a 268°-os irányszögig.</w:t>
            </w:r>
          </w:p>
        </w:tc>
      </w:tr>
      <w:tr>
        <w:trPr>
          <w:trHeight w:val="342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  <w:r>
              <w:rPr>
                <w:noProof/>
                <w:sz w:val="20"/>
                <w:szCs w:val="20"/>
              </w:rPr>
              <w:tab/>
              <w:t>Engedélyezett halászeszköz:</w:t>
            </w:r>
          </w:p>
        </w:tc>
      </w:tr>
      <w:tr>
        <w:trPr>
          <w:trHeight w:val="60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Kerítőháló és felszíni horogsor</w:t>
            </w:r>
          </w:p>
        </w:tc>
      </w:tr>
      <w:tr>
        <w:trPr>
          <w:trHeight w:val="34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</w:rPr>
              <w:t xml:space="preserve">Járulékos fogások: </w:t>
            </w:r>
          </w:p>
        </w:tc>
      </w:tr>
      <w:tr>
        <w:trPr>
          <w:trHeight w:val="402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vándorló fajokról szóló egyezménnyel és az ICCAT ajánlásaival összhangban tilos az óriáscápa (</w:t>
            </w:r>
            <w:r>
              <w:rPr>
                <w:i/>
                <w:noProof/>
                <w:sz w:val="20"/>
              </w:rPr>
              <w:t>Cetorhinus maximus</w:t>
            </w:r>
            <w:r>
              <w:rPr>
                <w:noProof/>
                <w:sz w:val="20"/>
              </w:rPr>
              <w:t>), a fehér cápa (</w:t>
            </w:r>
            <w:r>
              <w:rPr>
                <w:i/>
                <w:noProof/>
                <w:sz w:val="20"/>
              </w:rPr>
              <w:t>Carcharodon carcharias</w:t>
            </w:r>
            <w:r>
              <w:rPr>
                <w:noProof/>
                <w:sz w:val="20"/>
              </w:rPr>
              <w:t>), a nagyszemű rókacápa (</w:t>
            </w:r>
            <w:r>
              <w:rPr>
                <w:i/>
                <w:noProof/>
                <w:sz w:val="20"/>
              </w:rPr>
              <w:t>Alopias superciliosus</w:t>
            </w:r>
            <w:r>
              <w:rPr>
                <w:noProof/>
                <w:sz w:val="20"/>
              </w:rPr>
              <w:t xml:space="preserve">), a </w:t>
            </w:r>
            <w:r>
              <w:rPr>
                <w:i/>
                <w:noProof/>
                <w:sz w:val="20"/>
              </w:rPr>
              <w:t>Sphyrnidae</w:t>
            </w:r>
            <w:r>
              <w:rPr>
                <w:noProof/>
                <w:sz w:val="20"/>
              </w:rPr>
              <w:t xml:space="preserve"> családba tartozó cápafajok (a pörölycápák kivételével), a fehérfoltúcápa (</w:t>
            </w:r>
            <w:r>
              <w:rPr>
                <w:i/>
                <w:noProof/>
                <w:sz w:val="20"/>
              </w:rPr>
              <w:t>Carcharhinus longimanus</w:t>
            </w:r>
            <w:r>
              <w:rPr>
                <w:noProof/>
                <w:sz w:val="20"/>
              </w:rPr>
              <w:t>) és a selyemcápa (</w:t>
            </w:r>
            <w:r>
              <w:rPr>
                <w:i/>
                <w:noProof/>
                <w:sz w:val="20"/>
              </w:rPr>
              <w:t>Carcharhinus falciformis</w:t>
            </w:r>
            <w:r>
              <w:rPr>
                <w:noProof/>
                <w:sz w:val="20"/>
              </w:rPr>
              <w:t>) halászata. A homoki tigriscápa (</w:t>
            </w:r>
            <w:r>
              <w:rPr>
                <w:i/>
                <w:noProof/>
                <w:sz w:val="20"/>
              </w:rPr>
              <w:t>Carcharias taurus</w:t>
            </w:r>
            <w:r>
              <w:rPr>
                <w:noProof/>
                <w:sz w:val="20"/>
              </w:rPr>
              <w:t>) és a közönséges kutyacápa (</w:t>
            </w:r>
            <w:r>
              <w:rPr>
                <w:i/>
                <w:noProof/>
                <w:sz w:val="20"/>
              </w:rPr>
              <w:t>Galeorhinus galeus</w:t>
            </w:r>
            <w:r>
              <w:rPr>
                <w:noProof/>
                <w:sz w:val="20"/>
              </w:rPr>
              <w:t>) halászata is tilos.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két Fél tudományos ajánlások alapján a vegyes bizottság keretében konzultál egymással a szóban forgó jegyzék naprakésszé tétele érdekében.</w:t>
            </w:r>
          </w:p>
        </w:tc>
      </w:tr>
      <w:tr>
        <w:trPr>
          <w:trHeight w:val="34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  <w:r>
              <w:rPr>
                <w:noProof/>
                <w:sz w:val="20"/>
                <w:szCs w:val="20"/>
              </w:rPr>
              <w:tab/>
              <w:t>Engedélyezett tonnatartalom/díjak:</w:t>
            </w:r>
          </w:p>
        </w:tc>
      </w:tr>
      <w:tr>
        <w:trPr>
          <w:trHeight w:val="55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4.1.</w:t>
            </w:r>
            <w:r>
              <w:rPr>
                <w:noProof/>
                <w:sz w:val="20"/>
                <w:szCs w:val="20"/>
              </w:rPr>
              <w:tab/>
              <w:t xml:space="preserve">Éves átalánydíj-előleg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kerítőhálós hajónként 4 500 EUR 64,3 tonnára 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horogsoros hajónként 3 000 EUR 54,5 tonnára</w:t>
            </w:r>
          </w:p>
        </w:tc>
      </w:tr>
      <w:tr>
        <w:trPr>
          <w:trHeight w:val="56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4.2.</w:t>
            </w:r>
            <w:r>
              <w:rPr>
                <w:noProof/>
                <w:sz w:val="20"/>
                <w:szCs w:val="20"/>
              </w:rPr>
              <w:tab/>
              <w:t xml:space="preserve">Pótlólagos díj halászott tonnánként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 EUR/tonna a kerítőhálós halászhajók esetében</w:t>
            </w:r>
          </w:p>
          <w:p>
            <w:pPr>
              <w:rPr>
                <w:strike/>
                <w:noProof/>
                <w:sz w:val="20"/>
              </w:rPr>
            </w:pPr>
            <w:r>
              <w:rPr>
                <w:noProof/>
                <w:sz w:val="20"/>
              </w:rPr>
              <w:t>55 EUR/tonna a horogsoros hajók esetében</w:t>
            </w:r>
          </w:p>
        </w:tc>
      </w:tr>
      <w:tr>
        <w:trPr>
          <w:trHeight w:val="5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4.3.</w:t>
            </w:r>
            <w:r>
              <w:rPr>
                <w:noProof/>
                <w:sz w:val="20"/>
                <w:szCs w:val="20"/>
              </w:rPr>
              <w:tab/>
              <w:t>A segédhajókra alkalmazandó díjak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3 000 EUR/év/hajó</w:t>
            </w:r>
          </w:p>
        </w:tc>
      </w:tr>
      <w:tr>
        <w:trPr>
          <w:trHeight w:val="5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4.4.</w:t>
            </w:r>
            <w:r>
              <w:rPr>
                <w:noProof/>
                <w:sz w:val="20"/>
                <w:szCs w:val="20"/>
              </w:rPr>
              <w:tab/>
              <w:t xml:space="preserve">Halászatra engedéllyel rendelkező hajók száma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hajó</w:t>
            </w:r>
          </w:p>
        </w:tc>
      </w:tr>
    </w:tbl>
    <w:p>
      <w:pPr>
        <w:rPr>
          <w:rFonts w:eastAsia="EUAlbertina-Italic-Identity-H"/>
          <w:b/>
          <w:noProof/>
          <w:sz w:val="20"/>
          <w:szCs w:val="20"/>
        </w:rPr>
      </w:pPr>
    </w:p>
    <w:p>
      <w:pPr>
        <w:rPr>
          <w:rFonts w:eastAsia="EUAlbertina-Italic-Identity-H"/>
          <w:b/>
          <w:noProof/>
          <w:sz w:val="20"/>
          <w:szCs w:val="20"/>
        </w:rPr>
      </w:pPr>
      <w:r>
        <w:rPr>
          <w:noProof/>
        </w:rPr>
        <w:br w:type="page"/>
      </w:r>
    </w:p>
    <w:tbl>
      <w:tblPr>
        <w:tblW w:w="99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680"/>
        <w:gridCol w:w="4280"/>
      </w:tblGrid>
      <w:tr>
        <w:trPr>
          <w:trHeight w:val="702"/>
        </w:trPr>
        <w:tc>
          <w:tcPr>
            <w:tcW w:w="99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ext1"/>
              <w:ind w:left="12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t>5. ADATLAP</w:t>
            </w:r>
          </w:p>
          <w:p>
            <w:pPr>
              <w:pStyle w:val="Text1"/>
              <w:ind w:left="12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5. HALÁSZATI KATEGÓRIA — KISMÉRETŰ NYÍLT VIZI FAJOKRA HALÁSZÓ HAJÓK</w:t>
            </w:r>
          </w:p>
        </w:tc>
      </w:tr>
      <w:tr>
        <w:trPr>
          <w:trHeight w:val="342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  <w:r>
              <w:rPr>
                <w:noProof/>
                <w:sz w:val="20"/>
                <w:szCs w:val="20"/>
              </w:rPr>
              <w:tab/>
              <w:t>Halászati övezet</w:t>
            </w:r>
          </w:p>
        </w:tc>
      </w:tr>
      <w:tr>
        <w:trPr>
          <w:trHeight w:val="60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Az alapvonaltól számított 12 tengeri mérföldes sávon túl, beleértve Bissau-Guinea és Szenegál közös gazdálkodási övezetét, északra egészen a 268°-os irányszögig.</w:t>
            </w:r>
          </w:p>
        </w:tc>
      </w:tr>
      <w:tr>
        <w:trPr>
          <w:trHeight w:val="422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  <w:r>
              <w:rPr>
                <w:noProof/>
                <w:sz w:val="20"/>
                <w:szCs w:val="20"/>
              </w:rPr>
              <w:tab/>
              <w:t>Engedélyezett hajók és halászeszközök</w:t>
            </w:r>
          </w:p>
        </w:tc>
      </w:tr>
      <w:tr>
        <w:trPr>
          <w:trHeight w:val="626"/>
        </w:trPr>
        <w:tc>
          <w:tcPr>
            <w:tcW w:w="99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ind w:left="12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bissau-guineai jogszabályok értelmében csak az 5 000 BT vagy annál kisebb tonnatartalmú hajók használata engedélyezett.</w:t>
            </w:r>
          </w:p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Nyílt vízi vonóháló és ipari halászatra szánt erszényes kerítőháló használata engedélyezett.</w:t>
            </w:r>
          </w:p>
        </w:tc>
      </w:tr>
      <w:tr>
        <w:trPr>
          <w:trHeight w:val="402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0"/>
                <w:szCs w:val="20"/>
              </w:rPr>
              <w:tab/>
              <w:t>Engedélyezett legkisebb hálószembőség</w:t>
            </w:r>
          </w:p>
        </w:tc>
      </w:tr>
      <w:tr>
        <w:trPr>
          <w:trHeight w:val="402"/>
        </w:trPr>
        <w:tc>
          <w:tcPr>
            <w:tcW w:w="9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 mm a vonóhálók esetében</w:t>
            </w:r>
          </w:p>
        </w:tc>
      </w:tr>
      <w:tr>
        <w:trPr>
          <w:trHeight w:val="402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  <w:r>
              <w:rPr>
                <w:noProof/>
                <w:sz w:val="20"/>
                <w:szCs w:val="20"/>
              </w:rPr>
              <w:tab/>
              <w:t>Járulékos fogások</w:t>
            </w:r>
          </w:p>
        </w:tc>
      </w:tr>
      <w:tr>
        <w:trPr>
          <w:trHeight w:val="2244"/>
        </w:trPr>
        <w:tc>
          <w:tcPr>
            <w:tcW w:w="99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4.1.</w:t>
            </w:r>
            <w:r>
              <w:rPr>
                <w:noProof/>
                <w:sz w:val="20"/>
                <w:szCs w:val="20"/>
              </w:rPr>
              <w:tab/>
              <w:t>A vonóhálós hajók által Bissau-Guinea halászati övezetében megtett halászati út során ejtett összfogásban a nyílt vízi fajoktól eltérő halak aránya nem haladhatja meg a 10 %-ot, a fejlábúak aránya a 10 %-ot, a rákfélék aránya pedig az 5 %-ot.</w:t>
            </w:r>
          </w:p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4.2.</w:t>
            </w:r>
            <w:r>
              <w:rPr>
                <w:noProof/>
                <w:sz w:val="20"/>
                <w:szCs w:val="20"/>
              </w:rPr>
              <w:tab/>
              <w:t>A megengedett járulékos fogások százalékos arányának túllépéséért a bissau-guineai jogszabályoknak megfelelő szankció jár.</w:t>
            </w:r>
          </w:p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4.3.</w:t>
            </w:r>
            <w:r>
              <w:rPr>
                <w:noProof/>
                <w:sz w:val="20"/>
                <w:szCs w:val="20"/>
              </w:rPr>
              <w:tab/>
              <w:t>A két Fél a vegyes bizottság keretében konzultál egymással az engedélyezett aránynak a közös tudományos bizottság ajánlása alapján történő kiigazításáról.</w:t>
            </w:r>
          </w:p>
        </w:tc>
      </w:tr>
      <w:tr>
        <w:trPr>
          <w:trHeight w:val="402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  <w:r>
              <w:rPr>
                <w:noProof/>
                <w:sz w:val="20"/>
                <w:szCs w:val="20"/>
              </w:rPr>
              <w:tab/>
              <w:t>Járulékos fogások/Díjak</w:t>
            </w:r>
          </w:p>
        </w:tc>
      </w:tr>
      <w:tr>
        <w:trPr>
          <w:trHeight w:val="5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5.1.</w:t>
            </w:r>
            <w:r>
              <w:rPr>
                <w:noProof/>
                <w:sz w:val="20"/>
                <w:szCs w:val="20"/>
              </w:rPr>
              <w:tab/>
              <w:t xml:space="preserve">Engedélyezett tonnatartalom (BRT-ben) a jegyzőkönyv alkalmazásának első két évében 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15 000 BRT/év</w:t>
            </w:r>
          </w:p>
        </w:tc>
      </w:tr>
      <w:tr>
        <w:trPr>
          <w:trHeight w:val="146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5.2.</w:t>
            </w:r>
            <w:r>
              <w:rPr>
                <w:noProof/>
                <w:sz w:val="20"/>
                <w:szCs w:val="20"/>
              </w:rPr>
              <w:tab/>
              <w:t>Díjak (EUR/BRT-ben) a jegyzőkönyv alkalmazásának első két évében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250 EUR/BRT/év</w:t>
            </w:r>
          </w:p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Negyed-, illetve féléves engedélyek esetében a díjakat időarányosan kell kiszámítani, 4 %, illetve 2,5 % hozzáadásával.</w:t>
            </w:r>
          </w:p>
        </w:tc>
      </w:tr>
      <w:tr>
        <w:trPr>
          <w:trHeight w:val="109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5.3.</w:t>
            </w:r>
            <w:r>
              <w:rPr>
                <w:noProof/>
                <w:sz w:val="20"/>
                <w:szCs w:val="20"/>
              </w:rPr>
              <w:tab/>
              <w:t>Engedélyezett tonnatartalom (TAC-ban) a jegyzőkönyv alkalmazásának harmadik évétől annak lejártáig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18 000 tonna/év</w:t>
            </w:r>
          </w:p>
        </w:tc>
      </w:tr>
      <w:tr>
        <w:trPr>
          <w:trHeight w:val="146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5.4.</w:t>
            </w:r>
            <w:r>
              <w:rPr>
                <w:noProof/>
                <w:sz w:val="20"/>
                <w:szCs w:val="20"/>
              </w:rPr>
              <w:tab/>
              <w:t>Díjak (EUR/tonnában) a jegyzőkönyv alkalmazásának harmadik évétől annak lejártáig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100 EUR/tonna (az 1 000 BT-nél nagyobb tonnatartalmú hajók esetében)</w:t>
            </w:r>
          </w:p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 EUR/tonna (az 1 000 BT vagy annál kisebb tonnatartalmú hajók esetében)</w:t>
            </w:r>
          </w:p>
        </w:tc>
      </w:tr>
    </w:tbl>
    <w:p>
      <w:pPr>
        <w:rPr>
          <w:rFonts w:eastAsia="EUAlbertina-Italic-Identity-H"/>
          <w:b/>
          <w:noProof/>
          <w:sz w:val="20"/>
          <w:szCs w:val="20"/>
        </w:rPr>
      </w:pPr>
    </w:p>
    <w:p>
      <w:pPr>
        <w:outlineLvl w:val="0"/>
        <w:rPr>
          <w:rFonts w:eastAsia="EUAlbertina-Italic-Identity-H"/>
          <w:b/>
          <w:noProof/>
          <w:sz w:val="20"/>
          <w:szCs w:val="20"/>
        </w:rPr>
      </w:pPr>
    </w:p>
    <w:p>
      <w:pPr>
        <w:outlineLvl w:val="0"/>
        <w:rPr>
          <w:rFonts w:eastAsia="EUAlbertina-Italic-Identity-H"/>
          <w:b/>
          <w:noProof/>
          <w:sz w:val="20"/>
          <w:szCs w:val="20"/>
          <w:highlight w:val="yellow"/>
        </w:rPr>
      </w:pPr>
      <w:r>
        <w:rPr>
          <w:noProof/>
        </w:rPr>
        <w:br w:type="page"/>
      </w:r>
    </w:p>
    <w:p>
      <w:pPr>
        <w:outlineLvl w:val="0"/>
        <w:rPr>
          <w:rFonts w:eastAsia="EUAlbertina-Italic-Identity-H"/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t>A halászati út fogalma:</w:t>
      </w:r>
    </w:p>
    <w:p>
      <w:pPr>
        <w:rPr>
          <w:rFonts w:eastAsia="EUAlbertina-Italic-Identity-H"/>
          <w:noProof/>
          <w:sz w:val="20"/>
          <w:szCs w:val="20"/>
        </w:rPr>
      </w:pPr>
      <w:r>
        <w:rPr>
          <w:noProof/>
          <w:sz w:val="20"/>
          <w:szCs w:val="20"/>
        </w:rPr>
        <w:t>Egy európai uniós hajó által végzett halászat időtartama e függelék alkalmazásában a következők szerint kerül megállapításra:</w:t>
      </w:r>
    </w:p>
    <w:p>
      <w:pPr>
        <w:rPr>
          <w:rFonts w:eastAsia="EUAlbertina-Italic-Identity-H"/>
          <w:noProof/>
          <w:sz w:val="20"/>
          <w:szCs w:val="20"/>
        </w:rPr>
      </w:pPr>
      <w:r>
        <w:rPr>
          <w:noProof/>
          <w:sz w:val="20"/>
          <w:szCs w:val="20"/>
        </w:rPr>
        <w:t>– a bissau-guineai halászati övezetbe való belépés és az övezet elhagyása közötti időszak, vagy</w:t>
      </w:r>
    </w:p>
    <w:p>
      <w:pPr>
        <w:rPr>
          <w:rFonts w:eastAsia="EUAlbertina-Italic-Identity-H"/>
          <w:noProof/>
          <w:sz w:val="20"/>
          <w:szCs w:val="20"/>
        </w:rPr>
      </w:pPr>
      <w:r>
        <w:rPr>
          <w:noProof/>
          <w:sz w:val="20"/>
          <w:szCs w:val="20"/>
        </w:rPr>
        <w:t>– a bissau-guineai halászati övezetbe való belépés és az átrakás közötti időszak, vagy</w:t>
      </w:r>
    </w:p>
    <w:p>
      <w:pPr>
        <w:rPr>
          <w:rFonts w:eastAsia="EUAlbertina-Italic-Identity-H"/>
          <w:noProof/>
          <w:sz w:val="20"/>
          <w:szCs w:val="20"/>
        </w:rPr>
        <w:sectPr>
          <w:footerReference w:type="default" r:id="rId16"/>
          <w:footerReference w:type="first" r:id="rId17"/>
          <w:pgSz w:w="11900" w:h="16840"/>
          <w:pgMar w:top="1426" w:right="1315" w:bottom="836" w:left="1311" w:header="0" w:footer="3" w:gutter="0"/>
          <w:pgNumType w:start="0"/>
          <w:cols w:space="720"/>
          <w:noEndnote/>
          <w:docGrid w:linePitch="360"/>
        </w:sectPr>
      </w:pPr>
      <w:r>
        <w:rPr>
          <w:noProof/>
          <w:sz w:val="20"/>
          <w:szCs w:val="20"/>
        </w:rPr>
        <w:t>– a bissau-guineai halászati övezetbe való belépés és a Bissau-Guineában elvégzett kirakodás közötti időszak alapján.</w:t>
      </w:r>
    </w:p>
    <w:p>
      <w:pPr>
        <w:pStyle w:val="NormalCentered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3. függelék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MŰHOLDAS HAJÓMEGFIGYELÉSI RENDSZER (VMS)</w:t>
      </w:r>
    </w:p>
    <w:p>
      <w:pPr>
        <w:rPr>
          <w:noProof/>
          <w:color w:val="000000"/>
          <w:sz w:val="22"/>
          <w:lang w:eastAsia="fr-FR" w:bidi="fr-FR"/>
        </w:rPr>
      </w:pPr>
    </w:p>
    <w:p>
      <w:pPr>
        <w:rPr>
          <w:b/>
          <w:bCs/>
          <w:noProof/>
          <w:color w:val="000000"/>
          <w:sz w:val="22"/>
        </w:rPr>
      </w:pPr>
      <w:r>
        <w:rPr>
          <w:b/>
          <w:bCs/>
          <w:noProof/>
          <w:color w:val="000000"/>
          <w:sz w:val="22"/>
        </w:rPr>
        <w:t>1.</w:t>
      </w:r>
      <w:r>
        <w:rPr>
          <w:b/>
          <w:bCs/>
          <w:noProof/>
          <w:color w:val="000000"/>
          <w:sz w:val="22"/>
        </w:rPr>
        <w:tab/>
        <w:t>A hajók helyzetmeghatározási üzenetei – VMS rendszer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bissau-guineai halászati övezetbe való belépést követően regisztrált első földrajzi helyzetet az „ENT” kóddal kell jelölni. Minden későbbi helyzetet a „POS” kóddal kell azonosítani a bissau-guineai halászati övezetből való kilépést követően regisztrált első helyzet kivételével, amelyet az „EXI” kóddal kell azonosítani.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lobogó szerinti állam halászati felügyelő központja biztosítja a helyzetmeghatározási üzenetek automatikus kezelését és adott esetben elektronikus továbbítását. A helyzetmeghatározási üzeneteket biztonságos módon kell feljegyezni, és három évig meg kell őket őrizni.</w:t>
      </w:r>
    </w:p>
    <w:p>
      <w:pPr>
        <w:rPr>
          <w:b/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>2.</w:t>
      </w:r>
      <w:r>
        <w:rPr>
          <w:b/>
          <w:noProof/>
          <w:color w:val="000000"/>
          <w:sz w:val="22"/>
        </w:rPr>
        <w:tab/>
        <w:t>A hajó általi üzenetküldés a VMS rendszer meghibásodása esetén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hajóparancsnoknak mindenkor meg kell győződnie arról, hogy hajójának VMS rendszere teljes mértékben működőképes-e, illetve hogy a helyzetmeghatározási üzenetek megfelelően elküldésre kerülnek-e a lobogó szerinti állam halászati felügyelő központjához.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Meghibásodás esetén a hajó VMS rendszerét 30 napon belül meg kell javítani vagy ki kell cserélni. E határidő leteltével a hajó nem halászható tovább Bissau-Guinea halászati övezetében.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bissau-guineai halászati övezetben hibás VMS rendszerrel halászó hajóknak valamennyi kötelező információt megadva, legalább négyóránként e-mail, rádió vagy fax útján el kell küldeniük helyzetmeghatározási üzenetüket a lobogó szerinti állam halászati felügyelő központjának.</w:t>
      </w:r>
    </w:p>
    <w:p>
      <w:pPr>
        <w:rPr>
          <w:b/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>3.</w:t>
      </w:r>
      <w:r>
        <w:rPr>
          <w:b/>
          <w:noProof/>
          <w:color w:val="000000"/>
          <w:sz w:val="22"/>
        </w:rPr>
        <w:tab/>
        <w:t>A helyzetmeghatározási üzenetek biztonságos közlése Bissau-Guineával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lobogó szerinti állam halászati felügyelő központja automatikusan továbbítja az érintett hajók helyzetmeghatározási üzeneteit Bissau-Guinea halászati felügyelő központjának. A lobogó szerinti állam és Bissau-Guinea halászati felügyelő központja kölcsönösen kicserélik kapcsolattartási e-mail-címeiket és haladéktalanul tájékoztatják egymást az e címekben bekövetkező minden változásról.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lobogó szerinti állam és Bissau-Guinea halászati felügyelő központja között a helyzetmeghatározási üzenetek továbbítása biztonságos kommunikációs rendszeren keresztül, elektronikus úton történik.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Bissau-Guinea halászati felügyelő központja haladéktalanul tájékoztatja a lobogó szerinti állam halászati felügyelő központját és az Uniót a halászati engedéllyel rendelkező valamely hajó egymást követő helyzetmeghatározási üzeneteinek fogadásában bekövetkező minden kiesésről, amennyiben az érintett hajó nem jelentette be a halászati övezetből való kilépését.</w:t>
      </w:r>
    </w:p>
    <w:p>
      <w:pPr>
        <w:rPr>
          <w:b/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>4.</w:t>
      </w:r>
      <w:r>
        <w:rPr>
          <w:b/>
          <w:noProof/>
          <w:color w:val="000000"/>
          <w:sz w:val="22"/>
        </w:rPr>
        <w:tab/>
        <w:t>A kommunikációs rendszer hibás működése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Bissau-Guinea biztosítja, hogy elektronikus berendezései kompatibilisek legyenek a lobogó szerinti állam halászati felügyelő központjának elektronikus berendezéseivel, és haladéktalanul tájékoztatja az Uniót e berendezéseinek a kommunikációt és a helyzetmeghatározási üzenetek fogadását érintő minden meghibásodásáról annak érdekében, hogy a legrövidebb időn belül műszaki megoldást lehessen találni a problémára. Minden esetleges vitát a vegyes bizottság elé kell terjeszteni.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hajóparancsnok tekintendő felelősnek a hajó VMS rendszerének minden bizonyított manipulálásáért, amelynek célja a rendszer működésének megzavarása vagy a helyzetmeghatározási üzenetek meghamisítása. Minden jogsértés Bissau-Guinea hatályos jogszabályaiban előírt szankciókkal sújtandó.</w:t>
      </w:r>
    </w:p>
    <w:p>
      <w:pPr>
        <w:rPr>
          <w:b/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>5.</w:t>
      </w:r>
      <w:r>
        <w:rPr>
          <w:b/>
          <w:noProof/>
          <w:color w:val="000000"/>
          <w:sz w:val="22"/>
        </w:rPr>
        <w:tab/>
        <w:t>A helyzetmeghatározási üzenetek küldési gyakoriságának módosítása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 xml:space="preserve">Amennyiben bizonyos okirati bizonyítékok jogsértésre utalnak, Bissau-Guinea – az Uniónak is másolatot küldve – kérheti a lobogó szerinti állam halászati felügyelő központjától, hogy meghatározott kivizsgálási időszak időtartamára csökkentse harminc percre a hajó üzenetküldési intervallumát. Az okirati bizonyítékokat Bissau-Guinea megküldi a lobogó szerinti állam halászati </w:t>
      </w:r>
      <w:r>
        <w:rPr>
          <w:noProof/>
          <w:color w:val="000000"/>
          <w:sz w:val="22"/>
        </w:rPr>
        <w:lastRenderedPageBreak/>
        <w:t>felügyelő központjának és az Uniónak. A lobogó szerinti állam halászati felügyelő központja haladéktalanul az új gyakoriság szerint továbbítja az érintett hajó helyzetmeghatározási üzeneteit Bissau-Guinea részére.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vizsgálati időszak végén Bissau-Guinea tájékoztatja a lobogó szerinti állam halászati felügyelő központját és az Uniót az esetleges további nyomon követésről.</w:t>
      </w:r>
    </w:p>
    <w:p>
      <w:pPr>
        <w:rPr>
          <w:i/>
          <w:iCs/>
          <w:noProof/>
          <w:color w:val="000000"/>
          <w:sz w:val="22"/>
          <w:lang w:eastAsia="fr-FR" w:bidi="fr-FR"/>
        </w:rPr>
      </w:pPr>
    </w:p>
    <w:p>
      <w:pPr>
        <w:rPr>
          <w:b/>
          <w:iCs/>
          <w:noProof/>
          <w:color w:val="000000"/>
          <w:sz w:val="22"/>
        </w:rPr>
      </w:pPr>
      <w:r>
        <w:rPr>
          <w:b/>
          <w:iCs/>
          <w:noProof/>
          <w:color w:val="000000"/>
          <w:sz w:val="22"/>
        </w:rPr>
        <w:t>6.</w:t>
      </w:r>
      <w:r>
        <w:rPr>
          <w:b/>
          <w:iCs/>
          <w:noProof/>
          <w:color w:val="000000"/>
          <w:sz w:val="22"/>
        </w:rPr>
        <w:tab/>
      </w:r>
      <w:r>
        <w:rPr>
          <w:b/>
          <w:noProof/>
          <w:color w:val="000000"/>
          <w:sz w:val="22"/>
        </w:rPr>
        <w:t>A VMS-üzenetek közlése Bissau-Guineával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1275"/>
        <w:gridCol w:w="5245"/>
      </w:tblGrid>
      <w:tr>
        <w:trPr>
          <w:jc w:val="center"/>
        </w:trPr>
        <w:tc>
          <w:tcPr>
            <w:tcW w:w="2235" w:type="dxa"/>
            <w:shd w:val="clear" w:color="auto" w:fill="D9D9D9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Adat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1275" w:type="dxa"/>
            <w:shd w:val="clear" w:color="auto" w:fill="D9D9D9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Kötelező (K)/ nem kötelező (N) </w:t>
            </w:r>
          </w:p>
        </w:tc>
        <w:tc>
          <w:tcPr>
            <w:tcW w:w="5245" w:type="dxa"/>
            <w:shd w:val="clear" w:color="auto" w:fill="D9D9D9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Tartalom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Adatközlés kezdete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SR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Rendszeradat – az adatrögzítés kezdetét jelzi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Címzett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AD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Az üzenetre vonatkozó adat – a címzett hárombetűs ISO-országkódja (ISO-3166)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Küldő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FR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Az üzenetre vonatkozó adat – a küldő hárombetűs ISO-országkódja (ISO-3166)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Lobogó szerinti állam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FS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Az üzenetre vonatkozó adat – a lobogó szerinti ország hárombetűs ISO-kódja (ISO-3166)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Üzenet típusa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TM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Az üzenetre vonatkozó adat – az üzenet típusa (ENT, POS, EXI, MAN)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Rádióhívójel (IRCS)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RC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hajóra vonatkozó adat – a hajó nemzetközi rádióhívójele (IRCS)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szerződő fél belső referenciaszáma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IR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  <w:lang w:eastAsia="fr-FR" w:bidi="fr-FR"/>
              </w:rPr>
            </w:pP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hajóra vonatkozó adat – a szerződő fél egyedi száma: hárombetűs ISO-kód (ISO-3166), amelyet egy szám követ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Külső lajstromozási szám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XR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hajóra vonatkozó adat – a hajó oldalán feltüntetett szám (ISO 8859.1)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Földrajzi szélesség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LT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 földrajzi helyzetére vonatkozó adat – a hajó helyzete fokban és tizedfokban megadva: É/D FF,fff (WGS-84)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Földrajzi hosszúság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LG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 földrajzi helyzetére vonatkozó adat – a hajó helyzete fokban és tizedfokban megadva: K/NY FF,fff (WGS-84)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Irány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CO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 iránya 360°-os skálán</w:t>
            </w:r>
          </w:p>
        </w:tc>
      </w:tr>
      <w:tr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Sebesség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 sebessége tizedcsomóban megadva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 földrajzi helyzetére vonatkozó adat – a helyzet rögzítésének UTC szerinti dátuma (ÉÉÉÉHHNN)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Időpont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TI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 földrajzi helyzetére vonatkozó adat – a helyzet rögzítésének UTC szerinti időpontja (ÓÓPP)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Adatközlés vége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ER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Rendszeradat, amely az adatrögzítés végét jelzi</w:t>
            </w:r>
          </w:p>
        </w:tc>
      </w:tr>
    </w:tbl>
    <w:p>
      <w:pPr>
        <w:rPr>
          <w:b/>
          <w:bCs/>
          <w:noProof/>
          <w:color w:val="000000"/>
          <w:sz w:val="22"/>
          <w:lang w:eastAsia="fr-FR" w:bidi="fr-FR"/>
        </w:rPr>
      </w:pP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lastRenderedPageBreak/>
        <w:t>A küldés során az alábbi információkat szükséges megadni ahhoz, hogy a bissau-guineai halászati felügyelő és ellenőrző központ azonosítani tudja az információt kibocsátó halászati felügyelő és ellenőrző központot: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A halászati felügyelő és ellenőrző központ szerverének IP-címe és/vagy DNS-referenciaadatok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SSL-tanúsítvány (igazoló hatóságok teljes lánca)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Az adatokat tartalmazó üzenet a következőképpen épül fel: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A használt karaktereknek meg kell felelniük az ISO 8859.1 szabványnak.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Kettős perjel (//) és az „SR” betűkód jelzi az üzenet kezdetét.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Minden egyes adatot a kódjával kell jelölni, és kettős perjellel (//) kell elválasztani a többi adattól.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Egy perjel (/) választja el a kódot és az adatot.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Az „ER” betűkód és kettős perjel (//) jelzi az üzenet végét.</w:t>
      </w:r>
    </w:p>
    <w:p>
      <w:pPr>
        <w:spacing w:before="0" w:after="0" w:line="276" w:lineRule="auto"/>
        <w:rPr>
          <w:noProof/>
          <w:color w:val="000000"/>
          <w:sz w:val="22"/>
        </w:rPr>
      </w:pPr>
      <w:r>
        <w:rPr>
          <w:noProof/>
        </w:rPr>
        <w:br w:type="page"/>
      </w:r>
    </w:p>
    <w:p>
      <w:pPr>
        <w:pStyle w:val="NormalCentered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4. függelék</w:t>
      </w:r>
    </w:p>
    <w:p>
      <w:pPr>
        <w:widowControl w:val="0"/>
        <w:shd w:val="clear" w:color="auto" w:fill="FFFFFF"/>
        <w:spacing w:before="0"/>
        <w:jc w:val="center"/>
        <w:rPr>
          <w:i/>
          <w:noProof/>
          <w:color w:val="000000"/>
          <w:lang w:eastAsia="fr-FR" w:bidi="fr-FR"/>
        </w:rPr>
      </w:pPr>
    </w:p>
    <w:p>
      <w:pPr>
        <w:pStyle w:val="NormalCentered"/>
        <w:rPr>
          <w:b/>
          <w:noProof/>
        </w:rPr>
      </w:pPr>
      <w:r>
        <w:rPr>
          <w:b/>
          <w:noProof/>
        </w:rPr>
        <w:t>A halászati tevékenységek bejelentésére szolgáló elektronikus rendszer megvalósítása (ERS rendszer)</w:t>
      </w:r>
    </w:p>
    <w:p>
      <w:pPr>
        <w:widowControl w:val="0"/>
        <w:shd w:val="clear" w:color="auto" w:fill="FFFFFF"/>
        <w:spacing w:before="0"/>
        <w:rPr>
          <w:b/>
          <w:noProof/>
          <w:color w:val="000000"/>
          <w:sz w:val="22"/>
          <w:lang w:eastAsia="fr-FR" w:bidi="fr-FR"/>
        </w:rPr>
      </w:pPr>
    </w:p>
    <w:p>
      <w:pPr>
        <w:widowControl w:val="0"/>
        <w:spacing w:before="0"/>
        <w:rPr>
          <w:noProof/>
          <w:color w:val="000000"/>
          <w:sz w:val="22"/>
          <w:u w:val="single"/>
        </w:rPr>
      </w:pPr>
      <w:r>
        <w:rPr>
          <w:noProof/>
          <w:color w:val="000000"/>
          <w:sz w:val="22"/>
          <w:u w:val="single"/>
        </w:rPr>
        <w:t xml:space="preserve">A halászati adatok rögzítése és a bejelentések közlése ERS rendszerrel </w:t>
      </w:r>
    </w:p>
    <w:p>
      <w:pPr>
        <w:widowControl w:val="0"/>
        <w:tabs>
          <w:tab w:val="left" w:pos="426"/>
        </w:tabs>
        <w:spacing w:before="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(1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  <w:sz w:val="22"/>
        </w:rPr>
        <w:t xml:space="preserve">Az e jegyzőkönyv értelmében kiállított jogosítvánnyal rendelkező uniós halászhajó parancsnoka a hajónak a halászati övezetben való tartózkodása idején köteles: </w:t>
      </w:r>
    </w:p>
    <w:p>
      <w:pPr>
        <w:widowControl w:val="0"/>
        <w:tabs>
          <w:tab w:val="left" w:pos="851"/>
        </w:tabs>
        <w:spacing w:before="0"/>
        <w:ind w:left="850" w:hanging="425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a)</w:t>
      </w:r>
      <w:r>
        <w:rPr>
          <w:noProof/>
          <w:color w:val="000000"/>
          <w:sz w:val="22"/>
        </w:rPr>
        <w:tab/>
        <w:t xml:space="preserve">a halászati övezetbe történő minden egyes belépést és onnan történő minden egyes kilépést külön üzenetben rögzíteni, amelyben szerepel a belépéskor vagy kilépéskor a fedélzeten lévő fajok mennyisége, valamint a belépés vagy kilépés dátuma, időpontja és a pontos helye. Ezt az üzenetet legkésőbb a belépés vagy kilépés előtt két órával kell elküldeni, amelyet Bissau-Guinea halászati felügyelő központjának ERS rendszeren vagy más kommunikációs eszközön keresztül kell továbbítani; </w:t>
      </w:r>
    </w:p>
    <w:p>
      <w:pPr>
        <w:widowControl w:val="0"/>
        <w:spacing w:before="0"/>
        <w:ind w:left="850" w:hanging="425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b)</w:t>
      </w:r>
      <w:r>
        <w:rPr>
          <w:noProof/>
          <w:color w:val="000000"/>
          <w:sz w:val="22"/>
        </w:rPr>
        <w:tab/>
        <w:t xml:space="preserve">a hajó helyzetét minden nap délben rögzíteni, amennyiben nem került sor halászatra. </w:t>
      </w:r>
    </w:p>
    <w:p>
      <w:pPr>
        <w:widowControl w:val="0"/>
        <w:spacing w:before="0"/>
        <w:ind w:left="850" w:hanging="425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c)</w:t>
      </w:r>
      <w:r>
        <w:rPr>
          <w:noProof/>
          <w:color w:val="000000"/>
          <w:sz w:val="22"/>
        </w:rPr>
        <w:tab/>
        <w:t xml:space="preserve">minden egyes halászati művelet esetében rögzíteni kell a művelet végzése szerinti hely földrajzi helyzetét, a halászeszköz típusát és az egyes fajokból kifogott mennyiségeket, megkülönböztetve a fedélzeten tartott és a visszadobott fogások mennyiségét. Minden fajt a FAO hárombetűs kódjával kell azonosítani; a mennyiségeket pedig élőtömeg-kilogrammban és szükség esetén egyedszámban megadni. </w:t>
      </w:r>
    </w:p>
    <w:p>
      <w:pPr>
        <w:widowControl w:val="0"/>
        <w:spacing w:before="0"/>
        <w:ind w:left="850" w:hanging="425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d)</w:t>
      </w:r>
      <w:r>
        <w:rPr>
          <w:noProof/>
          <w:color w:val="000000"/>
          <w:sz w:val="22"/>
        </w:rPr>
        <w:tab/>
        <w:t>a lobogó szerinti államnak naponta, legkésőbb 24 óráig (0:00) elküldeni az elektronikus halászati naplóban rögzített adatokat; ezt az adatküldést a halászati övezetben töltött minden egyes napra vonatkozóan el kell végezni, akkor is, ha nem volt fogás. Az adatokat halászati övezet elhagyásakor is minden esetben el kell küldeni.</w:t>
      </w:r>
    </w:p>
    <w:p>
      <w:pPr>
        <w:widowControl w:val="0"/>
        <w:tabs>
          <w:tab w:val="left" w:pos="426"/>
        </w:tabs>
        <w:spacing w:before="0" w:after="24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(2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  <w:sz w:val="22"/>
        </w:rPr>
        <w:t xml:space="preserve">A rögzített és elküldött adatok helytállóságáért a hajóparancsnok felel. </w:t>
      </w:r>
    </w:p>
    <w:p>
      <w:pPr>
        <w:widowControl w:val="0"/>
        <w:tabs>
          <w:tab w:val="left" w:pos="426"/>
        </w:tabs>
        <w:spacing w:before="0"/>
        <w:rPr>
          <w:noProof/>
          <w:sz w:val="22"/>
        </w:rPr>
      </w:pPr>
      <w:r>
        <w:rPr>
          <w:noProof/>
          <w:color w:val="000000"/>
          <w:sz w:val="22"/>
        </w:rPr>
        <w:t>(3)</w:t>
      </w:r>
      <w:r>
        <w:rPr>
          <w:noProof/>
          <w:color w:val="000000"/>
          <w:sz w:val="22"/>
        </w:rPr>
        <w:tab/>
      </w:r>
      <w:r>
        <w:rPr>
          <w:noProof/>
          <w:sz w:val="22"/>
        </w:rPr>
        <w:t xml:space="preserve">Az e jegyzőkönyv mellékletének IV. fejezetében foglalt rendelkezéseknek megfelelően a lobogó szerinti állam a bissau-guineai halászati felügyelő központ rendelkezésére bocsátja az ERS-adatokat. </w:t>
      </w:r>
    </w:p>
    <w:p>
      <w:pPr>
        <w:widowControl w:val="0"/>
        <w:spacing w:before="0"/>
        <w:rPr>
          <w:noProof/>
          <w:sz w:val="22"/>
        </w:rPr>
      </w:pPr>
      <w:r>
        <w:rPr>
          <w:noProof/>
          <w:sz w:val="22"/>
        </w:rPr>
        <w:t xml:space="preserve">Az UN/CEFACT formátumú adatok küldése az Európai Bizottság által rendelkezésre bocsátott FLUX hálózaton keresztül történik. </w:t>
      </w:r>
    </w:p>
    <w:p>
      <w:pPr>
        <w:widowControl w:val="0"/>
        <w:spacing w:before="0"/>
        <w:rPr>
          <w:noProof/>
          <w:sz w:val="22"/>
        </w:rPr>
      </w:pPr>
      <w:r>
        <w:rPr>
          <w:noProof/>
          <w:sz w:val="22"/>
        </w:rPr>
        <w:t>Ennek hiányában az átmeneti időszak végéig az adatokat a DEH (Data Exchange Highway) segítségével EU-ERS formátumban (v 3.1) kell továbbítani.</w:t>
      </w:r>
    </w:p>
    <w:p>
      <w:pPr>
        <w:widowControl w:val="0"/>
        <w:spacing w:before="0"/>
        <w:rPr>
          <w:noProof/>
          <w:sz w:val="22"/>
        </w:rPr>
      </w:pPr>
      <w:r>
        <w:rPr>
          <w:noProof/>
          <w:sz w:val="22"/>
        </w:rPr>
        <w:t>A lobogó szerinti állam halászati felügyelő központja automatikusan és haladéktalanul továbbítja a bissau-guineai halászati felügyelő központnak a hajóról érkező azonnali üzeneteket (COE, COX, PNO). A más típusú üzeneteket is az UN-CEFACT formátum tényleges használatának napjától számítva naponta egyszer automatikusan el kell küldeni, vagy – amíg ez meg nem történik – a lobogó szerinti állam halászati felügyelő központjához intézett automatikus kérésre, az Európai Bizottság központi csomópontján keresztül haladéktalanul Bissau-Guinea halászati felügyelő központjának rendelkezésre kell bocsátani. Az új formátum tényleges bevezetésétől az utóbb említett rendelkezésre bocsátási mód kizárólag a múltbeli adatokra vonatkozó speciális kéréseket érinti.</w:t>
      </w:r>
    </w:p>
    <w:p>
      <w:pPr>
        <w:widowControl w:val="0"/>
        <w:tabs>
          <w:tab w:val="left" w:pos="567"/>
          <w:tab w:val="left" w:pos="709"/>
        </w:tabs>
        <w:spacing w:before="0" w:after="240"/>
        <w:rPr>
          <w:noProof/>
          <w:color w:val="000000"/>
          <w:sz w:val="22"/>
        </w:rPr>
      </w:pPr>
      <w:r>
        <w:rPr>
          <w:noProof/>
          <w:sz w:val="22"/>
        </w:rPr>
        <w:t>(4)</w:t>
      </w:r>
      <w:r>
        <w:rPr>
          <w:noProof/>
          <w:color w:val="000000"/>
          <w:sz w:val="22"/>
        </w:rPr>
        <w:tab/>
      </w:r>
      <w:r>
        <w:rPr>
          <w:noProof/>
          <w:sz w:val="22"/>
        </w:rPr>
        <w:t xml:space="preserve">Bissau-Guinea halászati felügyelő központja átvételi elismervénnyel azonnal megerősíti a részére küldött az ERS-adatok megérkezését és visszaigazolja a kapott üzenet érvényességét. Semmilyen átvételi elismervény küldésére nem kerül sor azon adatok esetében, amelyeket Bissau-Guinea a saját kérésére válaszul kap. </w:t>
      </w:r>
      <w:r>
        <w:rPr>
          <w:noProof/>
          <w:color w:val="000000"/>
          <w:sz w:val="22"/>
        </w:rPr>
        <w:t xml:space="preserve">Bissau-Guinea minden ERS-adatot bizalmasan kezel. </w:t>
      </w:r>
    </w:p>
    <w:p>
      <w:pPr>
        <w:widowControl w:val="0"/>
        <w:tabs>
          <w:tab w:val="left" w:pos="567"/>
          <w:tab w:val="left" w:pos="709"/>
        </w:tabs>
        <w:spacing w:before="0" w:after="240"/>
        <w:rPr>
          <w:noProof/>
          <w:color w:val="000000"/>
          <w:sz w:val="22"/>
          <w:lang w:eastAsia="fr-FR" w:bidi="fr-FR"/>
        </w:rPr>
      </w:pPr>
    </w:p>
    <w:p>
      <w:pPr>
        <w:widowControl w:val="0"/>
        <w:spacing w:before="0" w:after="240"/>
        <w:rPr>
          <w:noProof/>
          <w:color w:val="000000"/>
          <w:sz w:val="22"/>
          <w:u w:val="single"/>
        </w:rPr>
      </w:pPr>
      <w:r>
        <w:rPr>
          <w:noProof/>
          <w:color w:val="000000"/>
          <w:sz w:val="22"/>
          <w:u w:val="single"/>
        </w:rPr>
        <w:t xml:space="preserve">A hajó fedélzetén található elektronikus adatátviteli rendszer vagy a kommunikációs rendszer </w:t>
      </w:r>
      <w:r>
        <w:rPr>
          <w:noProof/>
          <w:color w:val="000000"/>
          <w:sz w:val="22"/>
          <w:u w:val="single"/>
        </w:rPr>
        <w:lastRenderedPageBreak/>
        <w:t>meghibásodása</w:t>
      </w:r>
    </w:p>
    <w:p>
      <w:pPr>
        <w:widowControl w:val="0"/>
        <w:tabs>
          <w:tab w:val="left" w:pos="709"/>
        </w:tabs>
        <w:spacing w:before="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(5)</w:t>
      </w:r>
      <w:r>
        <w:rPr>
          <w:noProof/>
          <w:color w:val="000000"/>
          <w:sz w:val="22"/>
        </w:rPr>
        <w:tab/>
        <w:t xml:space="preserve">A lobogó szerinti állam halászati felügyelő központja és Bissau-Guinea halászati felügyelő központja haladéktalanul tájékoztatják egymást minden olyan eseményről, amely befolyásolhatja egy vagy több hajó ERS-adatainak a küldését. </w:t>
      </w:r>
    </w:p>
    <w:p>
      <w:pPr>
        <w:widowControl w:val="0"/>
        <w:spacing w:before="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(6)</w:t>
      </w:r>
      <w:r>
        <w:rPr>
          <w:noProof/>
          <w:color w:val="000000"/>
          <w:sz w:val="22"/>
        </w:rPr>
        <w:tab/>
        <w:t xml:space="preserve">Ha Bissau-Guinea halászati felügyelő központja nem kapja meg a valamely hajó által küldendő adatokat, arról haladéktalanul tájékoztatja a lobogó szerinti állam halászati felügyelő központját. A lobogó szerinti állam halászati felügyelő központja a legrövidebb időn belül felderíti, hogy miért nem érkeztek meg az ERS-adatok, és e vizsgálat eredményéről tájékoztatja Bissau-Guinea halászati felügyelő központját. </w:t>
      </w:r>
    </w:p>
    <w:p>
      <w:pPr>
        <w:widowControl w:val="0"/>
        <w:spacing w:before="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(7)</w:t>
      </w:r>
      <w:r>
        <w:rPr>
          <w:noProof/>
          <w:color w:val="000000"/>
          <w:sz w:val="22"/>
        </w:rPr>
        <w:tab/>
        <w:t>Amennyiben meghibásodás következik be a hajó és a lobogó szerinti állam halászati felügyelő központja közötti adatátvitelben, a központ ezt haladéktalanul jelzi a hajó parancsnokának vagy üzemeltetőjének, illetve képviselőjüknek. Az értesítés átvételekor a hajó parancsnoka a hiányzó adatokat minden nap legkésőbb 24 óráig (00:00) bármilyen megfelelő távközlési eszközzel elküldi a lobogó szerinti állam illetékes hatóságainak.</w:t>
      </w:r>
    </w:p>
    <w:p>
      <w:pPr>
        <w:widowControl w:val="0"/>
        <w:spacing w:before="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(8)</w:t>
      </w:r>
      <w:r>
        <w:rPr>
          <w:noProof/>
          <w:color w:val="000000"/>
          <w:sz w:val="22"/>
        </w:rPr>
        <w:tab/>
        <w:t>A hajó fedélzetére telepített elektronikus adatátviteli rendszer meghibásodása esetén a hajó parancsnoka vagy üzemeltetője a meghibásodás észlelésétől számított 10 napon belül gondoskodik az ERS rendszer javításáról vagy cseréjéről. E határidőn túl a hajó nem halászhat a halászati övezetben, azt el kell hagynia vagy 24 órán belül ki kell kötnie egy bissau-guineai kikötőben. A hajó csak akkor hagyhatja el a kikötőt vagy térhet vissza a halászati övezetbe, miután a lobogója szerinti állam halászati felügyelő központja megállapította, hogy az ERS rendszer ismét megfelelően működik.</w:t>
      </w:r>
    </w:p>
    <w:p>
      <w:pPr>
        <w:widowControl w:val="0"/>
        <w:spacing w:before="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(9)</w:t>
      </w:r>
      <w:r>
        <w:rPr>
          <w:noProof/>
          <w:color w:val="000000"/>
          <w:sz w:val="22"/>
        </w:rPr>
        <w:tab/>
        <w:t xml:space="preserve">Amennyiben Bissau-Guinea azért nem kapja meg az ERS-adatokat, mert az európai Fél vagy Bissau-Guinea ellenőrzése alatt álló elektronikus rendszerek meghibásodtak, az érintett Fél a legrövidebb időn belül megtesz minden intézkedést a hiba elhárítása érdekében. A hiba elhárításáról is azonnal tájékoztatni kell a másik Felet. </w:t>
      </w:r>
    </w:p>
    <w:p>
      <w:pPr>
        <w:widowControl w:val="0"/>
        <w:spacing w:before="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(10)</w:t>
      </w:r>
      <w:r>
        <w:rPr>
          <w:noProof/>
          <w:color w:val="000000"/>
          <w:sz w:val="22"/>
        </w:rPr>
        <w:tab/>
        <w:t>A lobogó szerinti állam halászati felügyelő központja 24 óránként bármilyen rendelkezésre álló elektronikus kommunikációs eszközzel elküldi Bissau-Guinea halászati felügyelő központjának az utolsó adatküldés óta a lobogó szerinti államhoz érkezett valamennyi ERS-adatot. Bissau-Guinea kérésére ugyanez az eljárás követendő, amennyiben az európai Fél ellenőrzése alatt álló rendszereket érintő karbantartás időtartama meghaladja a 24 órát. Bissau-Guinea tájékoztatja az illetékes ellenőrző szerveit, hogy az európai uniós hajókat ne tekintsék hibásnak az ERS-adatok küldésének elmulasztása miatt. A lobogó szerinti állam halászati felügyelő központja gondoskodik arról, hogy a hiányzó adatok bekerüljenek a 3. pont szerint általa vezetett elektronikus adatbázisba.</w:t>
      </w:r>
    </w:p>
    <w:bookmarkEnd w:id="1"/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r>
        <w:rPr>
          <w:noProof/>
        </w:rPr>
        <w:lastRenderedPageBreak/>
        <w:t>II. MELLÉKLET</w:t>
      </w:r>
    </w:p>
    <w:p>
      <w:pPr>
        <w:pStyle w:val="NormalCentered"/>
        <w:rPr>
          <w:rFonts w:eastAsia="Calibri"/>
          <w:b/>
          <w:noProof/>
        </w:rPr>
      </w:pPr>
      <w:r>
        <w:rPr>
          <w:b/>
          <w:noProof/>
        </w:rPr>
        <w:t>A vegyes bizottságban képviselendő uniós álláspont kialakítására vonatkozó felhatalmazás hatálya és az ehhez kapcsolódó eljárás</w:t>
      </w:r>
    </w:p>
    <w:p>
      <w:pPr>
        <w:tabs>
          <w:tab w:val="num" w:pos="0"/>
        </w:tabs>
        <w:jc w:val="left"/>
        <w:rPr>
          <w:noProof/>
        </w:rPr>
      </w:pPr>
    </w:p>
    <w:p>
      <w:pPr>
        <w:pStyle w:val="NumPar1"/>
        <w:numPr>
          <w:ilvl w:val="0"/>
          <w:numId w:val="38"/>
        </w:numPr>
        <w:rPr>
          <w:noProof/>
        </w:rPr>
      </w:pPr>
      <w:r>
        <w:rPr>
          <w:noProof/>
        </w:rPr>
        <w:t>A Bizottság felhatalmazást kap arra, hogy tárgyalásokat folytasson a Bissau-Guineai Köztársasággal és – adott esetben – az e melléklet 3. pontjának megfelelően az Unió nevében megállapodjon a jegyzőkönyvnek a következő kérdések tekintetében történő módosításáról:</w:t>
      </w:r>
    </w:p>
    <w:p>
      <w:pPr>
        <w:pStyle w:val="Point0letter"/>
        <w:numPr>
          <w:ilvl w:val="1"/>
          <w:numId w:val="39"/>
        </w:numPr>
        <w:rPr>
          <w:noProof/>
        </w:rPr>
      </w:pPr>
      <w:r>
        <w:rPr>
          <w:noProof/>
        </w:rPr>
        <w:t>a halászati lehetőségek és következésképpen a jegyzőkönyv 8. cikkének (2) és (4) bekezdése szerinti pénzügyi hozzájárulás felülvizsgálata;</w:t>
      </w:r>
    </w:p>
    <w:p>
      <w:pPr>
        <w:pStyle w:val="Point0letter"/>
        <w:numPr>
          <w:ilvl w:val="1"/>
          <w:numId w:val="39"/>
        </w:numPr>
        <w:rPr>
          <w:noProof/>
        </w:rPr>
      </w:pPr>
      <w:r>
        <w:rPr>
          <w:noProof/>
        </w:rPr>
        <w:t>az ágazati támogatás végrehajtási szabályainak kiigazítása a jegyzőkönyv 5. cikke szerint;</w:t>
      </w:r>
    </w:p>
    <w:p>
      <w:pPr>
        <w:pStyle w:val="Point0letter"/>
        <w:numPr>
          <w:ilvl w:val="1"/>
          <w:numId w:val="39"/>
        </w:numPr>
        <w:rPr>
          <w:noProof/>
        </w:rPr>
      </w:pPr>
      <w:r>
        <w:rPr>
          <w:noProof/>
        </w:rPr>
        <w:t>a vegyes bizottság hatáskörébe tartozó irányítási intézkedések kiigazítása a jegyzőkönyv 6. cikkének (4) bekezdése és 7. cikkének (4) bekezdése szerint, továbbá a halászat gyakorlási feltételeire vonatkozó rendelkezések kiigazítására a jegyzőkönyv 8. cikkének (5) bekezdése szerint.</w:t>
      </w:r>
    </w:p>
    <w:p>
      <w:pPr>
        <w:pStyle w:val="NumPar1"/>
        <w:numPr>
          <w:ilvl w:val="0"/>
          <w:numId w:val="38"/>
        </w:numPr>
        <w:rPr>
          <w:noProof/>
        </w:rPr>
      </w:pPr>
      <w:r>
        <w:rPr>
          <w:noProof/>
        </w:rPr>
        <w:t>A partnerségi megállapodás keretében létrehozott vegyes bizottságban az Unió:</w:t>
      </w:r>
    </w:p>
    <w:p>
      <w:pPr>
        <w:pStyle w:val="Point0letter"/>
        <w:numPr>
          <w:ilvl w:val="1"/>
          <w:numId w:val="47"/>
        </w:numPr>
        <w:rPr>
          <w:noProof/>
        </w:rPr>
      </w:pPr>
      <w:r>
        <w:rPr>
          <w:noProof/>
        </w:rPr>
        <w:t>a közös halászati politika keretében kitűzött uniós célkitűzésekkel összhangban lép fel;</w:t>
      </w:r>
    </w:p>
    <w:p>
      <w:pPr>
        <w:pStyle w:val="Point0letter"/>
        <w:numPr>
          <w:ilvl w:val="1"/>
          <w:numId w:val="39"/>
        </w:numPr>
        <w:rPr>
          <w:noProof/>
        </w:rPr>
      </w:pPr>
      <w:r>
        <w:rPr>
          <w:noProof/>
        </w:rPr>
        <w:t>olyan álláspontokat mozdít elő, amelyek összhangban állnak a regionális halászati gazdálkodási szervezetek által elfogadott vonatkozó szabályokkal és figyelembe veszik a parti államok által folytatott közös állománygazdálkodást.</w:t>
      </w:r>
    </w:p>
    <w:p>
      <w:pPr>
        <w:pStyle w:val="NumPar1"/>
        <w:numPr>
          <w:ilvl w:val="0"/>
          <w:numId w:val="38"/>
        </w:numPr>
        <w:rPr>
          <w:noProof/>
        </w:rPr>
      </w:pPr>
      <w:r>
        <w:rPr>
          <w:noProof/>
        </w:rPr>
        <w:t>Amikor a vegyes bizottság ülésének napirendjén egy, a jegyzőkönyvnek az 1. pontban említett módosításait érintő határozat elfogadása szerepel, minden szükséges lépést meg kell tenni annak érdekében, hogy az Unió nevében kifejtett álláspont figyelembe vegye a Bizottsághoz eljuttatott legfrissebb statisztikai, biológiai és egyéb releváns információkat.</w:t>
      </w:r>
    </w:p>
    <w:p>
      <w:pPr>
        <w:pStyle w:val="NumPar1"/>
        <w:numPr>
          <w:ilvl w:val="0"/>
          <w:numId w:val="38"/>
        </w:numPr>
        <w:rPr>
          <w:noProof/>
        </w:rPr>
      </w:pPr>
      <w:r>
        <w:rPr>
          <w:noProof/>
        </w:rPr>
        <w:t>Ebből a célból, a fenti információk alapján a Bizottság szolgálatai – elegendő idővel a vegyes bizottság adott ülése előtt – megküldik az Unió javasolt álláspontjának konkrét részleteit rögzítő dokumentumot a Tanácsnak vagy a Tanács előkészítő szerveinek vizsgálat és jóváhagyás céljából.</w:t>
      </w:r>
    </w:p>
    <w:p>
      <w:pPr>
        <w:pStyle w:val="NumPar1"/>
        <w:numPr>
          <w:ilvl w:val="0"/>
          <w:numId w:val="38"/>
        </w:numPr>
        <w:rPr>
          <w:noProof/>
        </w:rPr>
      </w:pPr>
      <w:r>
        <w:rPr>
          <w:noProof/>
        </w:rPr>
        <w:t>Az előkészítő dokumentumban megfogalmazott uniós álláspontot elfogadottnak kell tekinteni, hacsak az ellen a tagállamok blokkoló kisebbséget kitevő számban kifogást nem emelnek a Tanács előkészítő szervének valamely ülésén vagy – amennyiben ez hamarabb következik be – az előkészítő dokumentum kézhezvételétől számított 20 napon belül. Kifogás esetén az ügyet a Tanács elé kell terjeszteni.</w:t>
      </w:r>
    </w:p>
    <w:p>
      <w:pPr>
        <w:pStyle w:val="NumPar1"/>
        <w:numPr>
          <w:ilvl w:val="0"/>
          <w:numId w:val="38"/>
        </w:numPr>
        <w:rPr>
          <w:noProof/>
        </w:rPr>
      </w:pPr>
      <w:r>
        <w:rPr>
          <w:noProof/>
        </w:rPr>
        <w:t>Amennyiben a későbbi üléseken, ideértve a helyszíni üléseket is, nem sikerül megállapodásra jutni, akkor az új elemeket is figyelembe vevő uniós álláspont kialakítása érdekében a kérdést a 4. és 5. pontban meghatározott eljárás szerint vissza kell utalni a Tanács vagy előkészítői szervei elé.</w:t>
      </w:r>
    </w:p>
    <w:p>
      <w:pPr>
        <w:pStyle w:val="NumPar1"/>
        <w:numPr>
          <w:ilvl w:val="0"/>
          <w:numId w:val="38"/>
        </w:numPr>
        <w:rPr>
          <w:noProof/>
        </w:rPr>
      </w:pPr>
      <w:r>
        <w:rPr>
          <w:noProof/>
        </w:rPr>
        <w:t xml:space="preserve">A Bizottság felkérést kap arra, hogy – kellő időben – tegye meg a vegyes bizottság által meghozott határozat nyomán szükségessé váló lépéseket, adott esetben beleértve a vonatkozó határozatnak az Európai Unió Hivatalos Lapjában történő </w:t>
      </w:r>
      <w:r>
        <w:rPr>
          <w:noProof/>
        </w:rPr>
        <w:lastRenderedPageBreak/>
        <w:t>kihirdetését, valamint az e határozat végrehajtásához szükséges bármely javaslat benyújtását is.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Italic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BoldItalic-Identit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D7E12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C4A0BC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53DC9E7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6D804B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B0EB9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10C1F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62C6A95"/>
    <w:multiLevelType w:val="singleLevel"/>
    <w:tmpl w:val="02BAFA82"/>
    <w:name w:val="0,6963426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89D74ED"/>
    <w:multiLevelType w:val="singleLevel"/>
    <w:tmpl w:val="C2E2F936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4D0C058A"/>
    <w:multiLevelType w:val="singleLevel"/>
    <w:tmpl w:val="BAE8D90E"/>
    <w:name w:val="0,5276698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1F06166"/>
    <w:multiLevelType w:val="multilevel"/>
    <w:tmpl w:val="C08066D2"/>
    <w:name w:val="0,7065547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3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16"/>
  </w:num>
  <w:num w:numId="12">
    <w:abstractNumId w:val="15"/>
  </w:num>
  <w:num w:numId="13">
    <w:abstractNumId w:val="24"/>
  </w:num>
  <w:num w:numId="14">
    <w:abstractNumId w:val="11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</w:num>
  <w:num w:numId="51">
    <w:abstractNumId w:val="20"/>
  </w:num>
  <w:num w:numId="52">
    <w:abstractNumId w:val="12"/>
  </w:num>
  <w:num w:numId="53">
    <w:abstractNumId w:val="10"/>
  </w:num>
  <w:num w:numId="54">
    <w:abstractNumId w:val="13"/>
  </w:num>
  <w:num w:numId="55">
    <w:abstractNumId w:val="8"/>
  </w:num>
  <w:num w:numId="56">
    <w:abstractNumId w:val="22"/>
  </w:num>
  <w:num w:numId="57">
    <w:abstractNumId w:val="7"/>
  </w:num>
  <w:num w:numId="58">
    <w:abstractNumId w:val="14"/>
  </w:num>
  <w:num w:numId="59">
    <w:abstractNumId w:val="18"/>
  </w:num>
  <w:num w:numId="60">
    <w:abstractNumId w:val="19"/>
  </w:num>
  <w:num w:numId="61">
    <w:abstractNumId w:val="9"/>
  </w:num>
  <w:num w:numId="62">
    <w:abstractNumId w:val="17"/>
  </w:num>
  <w:num w:numId="63">
    <w:abstractNumId w:val="25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EN ABAT Marta (MARE)">
    <w15:presenceInfo w15:providerId="None" w15:userId="MOREN ABAT Marta (MAR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04 16:14:47"/>
    <w:docVar w:name="DQCRepairStyles" w:val=";Tiret 2;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89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3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Javaslat"/>
    <w:docVar w:name="LW_ACCOMPAGNANT.CP" w:val="Javaslat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68B5ABC8-64D5-4054-A5A4-1F01CBD99E38"/>
    <w:docVar w:name="LW_COVERPAGE_TYPE" w:val="1"/>
    <w:docVar w:name="LW_CROSSREFERENCE" w:val="&lt;UNUSED&gt;"/>
    <w:docVar w:name="LW_DocType" w:val="ANNEX"/>
    <w:docVar w:name="LW_EMISSION" w:val="2019.4.10."/>
    <w:docVar w:name="LW_EMISSION_ISODATE" w:val="2019-04-10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urópai Közösség és a Bissau-guineai Köztársaság között létrejött halászati partnerségi megállapodás végrehajtására vonatkozó jegyz\u337?könyv (2019\u8211?2024) megkötésér\u337?l"/>
    <w:docVar w:name="LW_OBJETACTEPRINCIPAL.CP" w:val="az Európai Közösség és a Bissau-guineai Köztársaság között létrejött halászati partnerségi megállapodás végrehajtására vonatkozó jegyz\u337?könyv (2019\u8211?2024) megkötésér\u337?l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1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EK"/>
    <w:docVar w:name="LW_TYPE.DOC.CP" w:val="MELLÉKLETEK"/>
    <w:docVar w:name="LW_TYPEACTEPRINCIPAL" w:val="A TANÁCS HATÁROZATA"/>
    <w:docVar w:name="LW_TYPEACTEPRINCIPAL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5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5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5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5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tabs>
        <w:tab w:val="num" w:pos="1134"/>
      </w:tabs>
      <w:spacing w:before="240" w:after="60"/>
      <w:ind w:left="1134" w:hanging="283"/>
      <w:jc w:val="left"/>
      <w:outlineLvl w:val="4"/>
    </w:pPr>
    <w:rPr>
      <w:rFonts w:eastAsia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tabs>
        <w:tab w:val="num" w:pos="1134"/>
      </w:tabs>
      <w:spacing w:before="240" w:after="60"/>
      <w:ind w:left="1134" w:hanging="283"/>
      <w:jc w:val="left"/>
      <w:outlineLvl w:val="5"/>
    </w:pPr>
    <w:rPr>
      <w:rFonts w:eastAsia="Times New Roman"/>
      <w:b/>
      <w:bCs/>
      <w:sz w:val="22"/>
      <w:lang w:eastAsia="en-GB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num" w:pos="1134"/>
      </w:tabs>
      <w:spacing w:before="240" w:after="60"/>
      <w:ind w:left="1134" w:hanging="283"/>
      <w:jc w:val="left"/>
      <w:outlineLvl w:val="6"/>
    </w:pPr>
    <w:rPr>
      <w:rFonts w:eastAsia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num" w:pos="1134"/>
      </w:tabs>
      <w:spacing w:before="240" w:after="60"/>
      <w:ind w:left="1134" w:hanging="283"/>
      <w:jc w:val="left"/>
      <w:outlineLvl w:val="7"/>
    </w:pPr>
    <w:rPr>
      <w:rFonts w:eastAsia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num" w:pos="1134"/>
      </w:tabs>
      <w:spacing w:before="240" w:after="60"/>
      <w:ind w:left="1134" w:hanging="283"/>
      <w:jc w:val="left"/>
      <w:outlineLvl w:val="8"/>
    </w:pPr>
    <w:rPr>
      <w:rFonts w:ascii="Arial" w:eastAsia="Times New Roman" w:hAnsi="Arial" w:cs="Arial"/>
      <w:sz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link w:val="Heading11"/>
    <w:rPr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link w:val="Bodytext30"/>
    <w:rPr>
      <w:b/>
      <w:bCs/>
      <w:sz w:val="18"/>
      <w:szCs w:val="18"/>
      <w:shd w:val="clear" w:color="auto" w:fill="FFFFFF"/>
    </w:rPr>
  </w:style>
  <w:style w:type="paragraph" w:customStyle="1" w:styleId="Heading11">
    <w:name w:val="Heading #1"/>
    <w:basedOn w:val="Normal"/>
    <w:link w:val="Heading10"/>
    <w:pPr>
      <w:widowControl w:val="0"/>
      <w:shd w:val="clear" w:color="auto" w:fill="FFFFFF"/>
      <w:spacing w:before="0" w:after="160" w:line="200" w:lineRule="exact"/>
      <w:jc w:val="center"/>
      <w:outlineLvl w:val="0"/>
    </w:pPr>
    <w:rPr>
      <w:rFonts w:asciiTheme="minorHAnsi" w:hAnsiTheme="minorHAnsi" w:cstheme="minorBidi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before="160" w:after="380" w:line="211" w:lineRule="exact"/>
      <w:jc w:val="center"/>
    </w:pPr>
    <w:rPr>
      <w:rFonts w:asciiTheme="minorHAnsi" w:hAnsiTheme="minorHAnsi" w:cstheme="minorBidi"/>
      <w:b/>
      <w:bCs/>
      <w:sz w:val="18"/>
      <w:szCs w:val="18"/>
    </w:rPr>
  </w:style>
  <w:style w:type="paragraph" w:customStyle="1" w:styleId="Heading112">
    <w:name w:val="Heading #1 12"/>
    <w:basedOn w:val="Heading11"/>
  </w:style>
  <w:style w:type="character" w:customStyle="1" w:styleId="Corpsdutexte3">
    <w:name w:val="Corps du texte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</w:rPr>
  </w:style>
  <w:style w:type="character" w:customStyle="1" w:styleId="Corpsdutexte3Italique">
    <w:name w:val="Corps du texte (3) + Italiqu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6"/>
      <w:szCs w:val="16"/>
      <w:u w:val="none"/>
    </w:rPr>
  </w:style>
  <w:style w:type="character" w:customStyle="1" w:styleId="En-tte1">
    <w:name w:val="En-tête #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</w:rPr>
  </w:style>
  <w:style w:type="character" w:customStyle="1" w:styleId="Corpsdutexte2">
    <w:name w:val="Corps du texte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customStyle="1" w:styleId="Corpsdutexte">
    <w:name w:val="Corps du texte_"/>
    <w:link w:val="Corpsdutexte0"/>
    <w:rPr>
      <w:sz w:val="16"/>
      <w:szCs w:val="16"/>
      <w:shd w:val="clear" w:color="auto" w:fill="FFFFFF"/>
    </w:rPr>
  </w:style>
  <w:style w:type="paragraph" w:customStyle="1" w:styleId="Corpsdutexte0">
    <w:name w:val="Corps du texte"/>
    <w:basedOn w:val="Normal"/>
    <w:link w:val="Corpsdutexte"/>
    <w:pPr>
      <w:widowControl w:val="0"/>
      <w:shd w:val="clear" w:color="auto" w:fill="FFFFFF"/>
      <w:spacing w:before="0" w:after="180" w:line="211" w:lineRule="exact"/>
      <w:ind w:hanging="1300"/>
    </w:pPr>
    <w:rPr>
      <w:rFonts w:asciiTheme="minorHAnsi" w:hAnsiTheme="minorHAnsi" w:cstheme="minorBidi"/>
      <w:sz w:val="16"/>
      <w:szCs w:val="16"/>
    </w:rPr>
  </w:style>
  <w:style w:type="character" w:customStyle="1" w:styleId="Bodytext4">
    <w:name w:val="Body text (4)_"/>
    <w:link w:val="Bodytext40"/>
    <w:rPr>
      <w:i/>
      <w:iCs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before="380" w:after="160" w:line="200" w:lineRule="exact"/>
      <w:jc w:val="center"/>
    </w:pPr>
    <w:rPr>
      <w:rFonts w:asciiTheme="minorHAnsi" w:hAnsiTheme="minorHAnsi" w:cstheme="minorBidi"/>
      <w:i/>
      <w:iCs/>
      <w:sz w:val="18"/>
      <w:szCs w:val="18"/>
    </w:rPr>
  </w:style>
  <w:style w:type="character" w:customStyle="1" w:styleId="Bodytext2">
    <w:name w:val="Body text (2)_"/>
    <w:link w:val="Bodytext20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160" w:after="160" w:line="211" w:lineRule="exact"/>
      <w:ind w:hanging="520"/>
    </w:pPr>
    <w:rPr>
      <w:rFonts w:asciiTheme="minorHAnsi" w:hAnsiTheme="minorHAnsi" w:cstheme="minorBidi"/>
      <w:sz w:val="18"/>
      <w:szCs w:val="1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val="en-GB" w:eastAsia="en-GB"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rFonts w:eastAsia="Times New Roman"/>
      <w:b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szCs w:val="24"/>
    </w:rPr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Sous-titreobjetPagedecouverture">
    <w:name w:val="Sous-titre objet (Page de couverture)"/>
    <w:basedOn w:val="Sous-titreobjet"/>
  </w:style>
  <w:style w:type="paragraph" w:styleId="ListBullet">
    <w:name w:val="List Bullet"/>
    <w:basedOn w:val="Normal"/>
    <w:pPr>
      <w:numPr>
        <w:numId w:val="9"/>
      </w:numPr>
    </w:pPr>
    <w:rPr>
      <w:rFonts w:eastAsia="Times New Roman"/>
      <w:szCs w:val="24"/>
      <w:lang w:eastAsia="en-GB"/>
    </w:rPr>
  </w:style>
  <w:style w:type="paragraph" w:styleId="ListNumber">
    <w:name w:val="List Number"/>
    <w:basedOn w:val="Normal"/>
    <w:pPr>
      <w:numPr>
        <w:numId w:val="13"/>
      </w:numPr>
    </w:pPr>
    <w:rPr>
      <w:rFonts w:eastAsia="Times New Roman"/>
      <w:szCs w:val="24"/>
      <w:lang w:eastAsia="en-GB"/>
    </w:rPr>
  </w:style>
  <w:style w:type="paragraph" w:customStyle="1" w:styleId="ListBullet1">
    <w:name w:val="List Bullet 1"/>
    <w:basedOn w:val="Normal"/>
    <w:pPr>
      <w:numPr>
        <w:numId w:val="10"/>
      </w:numPr>
    </w:pPr>
    <w:rPr>
      <w:rFonts w:eastAsia="Times New Roman"/>
      <w:szCs w:val="24"/>
      <w:lang w:eastAsia="en-GB"/>
    </w:rPr>
  </w:style>
  <w:style w:type="paragraph" w:customStyle="1" w:styleId="ListDash1">
    <w:name w:val="List Dash 1"/>
    <w:basedOn w:val="Normal"/>
    <w:pPr>
      <w:numPr>
        <w:numId w:val="11"/>
      </w:numPr>
    </w:pPr>
    <w:rPr>
      <w:rFonts w:eastAsia="Times New Roman"/>
      <w:szCs w:val="24"/>
      <w:lang w:eastAsia="en-GB"/>
    </w:rPr>
  </w:style>
  <w:style w:type="paragraph" w:customStyle="1" w:styleId="ListDash2">
    <w:name w:val="List Dash 2"/>
    <w:basedOn w:val="Normal"/>
    <w:pPr>
      <w:numPr>
        <w:numId w:val="12"/>
      </w:numPr>
    </w:pPr>
    <w:rPr>
      <w:rFonts w:eastAsia="Times New Roman"/>
      <w:szCs w:val="24"/>
      <w:lang w:eastAsia="en-GB"/>
    </w:r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  <w:rPr>
      <w:rFonts w:eastAsia="Times New Roman"/>
      <w:szCs w:val="24"/>
      <w:lang w:eastAsia="en-GB"/>
    </w:r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  <w:rPr>
      <w:rFonts w:eastAsia="Times New Roman"/>
      <w:szCs w:val="24"/>
      <w:lang w:eastAsia="en-GB"/>
    </w:r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rFonts w:cs="Times New Roman"/>
      <w:color w:val="0000FF"/>
      <w:u w:val="single"/>
      <w:shd w:val="clear" w:color="auto" w:fill="auto"/>
    </w:rPr>
  </w:style>
  <w:style w:type="paragraph" w:customStyle="1" w:styleId="ListDash">
    <w:name w:val="List Dash"/>
    <w:basedOn w:val="Normal"/>
    <w:pPr>
      <w:numPr>
        <w:numId w:val="14"/>
      </w:numPr>
    </w:pPr>
    <w:rPr>
      <w:rFonts w:eastAsia="Times New Roman"/>
      <w:szCs w:val="24"/>
      <w:lang w:eastAsia="de-DE"/>
    </w:rPr>
  </w:style>
  <w:style w:type="character" w:styleId="PageNumber">
    <w:name w:val="page number"/>
    <w:rPr>
      <w:rFonts w:cs="Times New Roman"/>
      <w:shd w:val="clear" w:color="auto" w:fill="auto"/>
    </w:rPr>
  </w:style>
  <w:style w:type="paragraph" w:styleId="ListBullet2">
    <w:name w:val="List Bullet 2"/>
    <w:basedOn w:val="Normal"/>
    <w:pPr>
      <w:numPr>
        <w:numId w:val="15"/>
      </w:numPr>
    </w:pPr>
    <w:rPr>
      <w:rFonts w:eastAsia="Times New Roman"/>
      <w:szCs w:val="24"/>
    </w:rPr>
  </w:style>
  <w:style w:type="paragraph" w:styleId="ListBullet3">
    <w:name w:val="List Bullet 3"/>
    <w:basedOn w:val="Normal"/>
    <w:pPr>
      <w:numPr>
        <w:numId w:val="16"/>
      </w:numPr>
    </w:pPr>
    <w:rPr>
      <w:rFonts w:eastAsia="Times New Roman"/>
      <w:szCs w:val="24"/>
    </w:rPr>
  </w:style>
  <w:style w:type="paragraph" w:styleId="ListBullet4">
    <w:name w:val="List Bullet 4"/>
    <w:basedOn w:val="Normal"/>
    <w:pPr>
      <w:numPr>
        <w:numId w:val="17"/>
      </w:numPr>
    </w:pPr>
    <w:rPr>
      <w:rFonts w:eastAsia="Times New Roman"/>
      <w:szCs w:val="24"/>
    </w:rPr>
  </w:style>
  <w:style w:type="paragraph" w:styleId="ListNumber2">
    <w:name w:val="List Number 2"/>
    <w:basedOn w:val="Normal"/>
    <w:pPr>
      <w:numPr>
        <w:numId w:val="18"/>
      </w:numPr>
    </w:pPr>
    <w:rPr>
      <w:rFonts w:eastAsia="Times New Roman"/>
      <w:szCs w:val="24"/>
    </w:rPr>
  </w:style>
  <w:style w:type="paragraph" w:styleId="ListNumber3">
    <w:name w:val="List Number 3"/>
    <w:basedOn w:val="Normal"/>
    <w:pPr>
      <w:numPr>
        <w:numId w:val="19"/>
      </w:numPr>
    </w:pPr>
    <w:rPr>
      <w:rFonts w:eastAsia="Times New Roman"/>
      <w:szCs w:val="24"/>
    </w:rPr>
  </w:style>
  <w:style w:type="paragraph" w:styleId="ListNumber4">
    <w:name w:val="List Number 4"/>
    <w:basedOn w:val="Normal"/>
    <w:pPr>
      <w:numPr>
        <w:numId w:val="20"/>
      </w:numPr>
    </w:pPr>
    <w:rPr>
      <w:rFonts w:eastAsia="Times New Roman"/>
      <w:szCs w:val="24"/>
    </w:rPr>
  </w:style>
  <w:style w:type="character" w:styleId="FollowedHyperlink">
    <w:name w:val="FollowedHyperlink"/>
    <w:rPr>
      <w:color w:val="800080"/>
      <w:u w:val="single"/>
      <w:shd w:val="clear" w:color="auto" w:fill="auto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Pr>
      <w:rFonts w:eastAsia="Times New Roman"/>
      <w:szCs w:val="24"/>
    </w:rPr>
  </w:style>
  <w:style w:type="character" w:styleId="CommentReference">
    <w:name w:val="annotation reference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semiHidden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hu-HU"/>
    </w:rPr>
  </w:style>
  <w:style w:type="character" w:customStyle="1" w:styleId="Bodytext6">
    <w:name w:val="Body text (6)_"/>
    <w:link w:val="Bodytext60"/>
    <w:rPr>
      <w:b/>
      <w:bCs/>
      <w:sz w:val="15"/>
      <w:szCs w:val="15"/>
      <w:shd w:val="clear" w:color="auto" w:fill="FFFFFF"/>
    </w:rPr>
  </w:style>
  <w:style w:type="paragraph" w:customStyle="1" w:styleId="Bodytext60">
    <w:name w:val="Body text (6)"/>
    <w:basedOn w:val="Normal"/>
    <w:link w:val="Bodytext6"/>
    <w:pPr>
      <w:widowControl w:val="0"/>
      <w:shd w:val="clear" w:color="auto" w:fill="FFFFFF"/>
      <w:spacing w:before="240" w:after="0" w:line="166" w:lineRule="exact"/>
      <w:jc w:val="center"/>
    </w:pPr>
    <w:rPr>
      <w:rFonts w:asciiTheme="minorHAnsi" w:hAnsiTheme="minorHAnsi" w:cstheme="minorBidi"/>
      <w:b/>
      <w:bCs/>
      <w:sz w:val="15"/>
      <w:szCs w:val="15"/>
    </w:rPr>
  </w:style>
  <w:style w:type="character" w:customStyle="1" w:styleId="Bodytext2Exact">
    <w:name w:val="Body text (2) 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hu-HU" w:eastAsia="fr-FR" w:bidi="fr-FR"/>
    </w:rPr>
  </w:style>
  <w:style w:type="character" w:customStyle="1" w:styleId="Headerorfooter">
    <w:name w:val="Header or footer_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0">
    <w:name w:val="Header or 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auto"/>
      <w:lang w:val="hu-HU" w:eastAsia="fr-FR" w:bidi="fr-FR"/>
    </w:rPr>
  </w:style>
  <w:style w:type="paragraph" w:customStyle="1" w:styleId="Art">
    <w:name w:val="Art"/>
    <w:basedOn w:val="Normal"/>
  </w:style>
  <w:style w:type="character" w:customStyle="1" w:styleId="Bodytext4Exact">
    <w:name w:val="Body text (4) Exact"/>
    <w:basedOn w:val="DefaultParagraphFont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hu-HU" w:eastAsia="fr-FR" w:bidi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51"/>
      </w:numPr>
    </w:pPr>
  </w:style>
  <w:style w:type="paragraph" w:customStyle="1" w:styleId="Tiret1">
    <w:name w:val="Tiret 1"/>
    <w:basedOn w:val="Point1"/>
    <w:pPr>
      <w:numPr>
        <w:numId w:val="52"/>
      </w:numPr>
    </w:pPr>
  </w:style>
  <w:style w:type="paragraph" w:customStyle="1" w:styleId="Tiret2">
    <w:name w:val="Tiret 2"/>
    <w:basedOn w:val="Point2"/>
    <w:pPr>
      <w:tabs>
        <w:tab w:val="num" w:pos="1984"/>
      </w:tabs>
    </w:pPr>
  </w:style>
  <w:style w:type="paragraph" w:customStyle="1" w:styleId="Tiret3">
    <w:name w:val="Tiret 3"/>
    <w:basedOn w:val="Point3"/>
    <w:pPr>
      <w:numPr>
        <w:numId w:val="53"/>
      </w:numPr>
    </w:pPr>
  </w:style>
  <w:style w:type="paragraph" w:customStyle="1" w:styleId="Tiret4">
    <w:name w:val="Tiret 4"/>
    <w:basedOn w:val="Point4"/>
    <w:pPr>
      <w:numPr>
        <w:numId w:val="5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5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5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5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5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57"/>
      </w:numPr>
    </w:pPr>
  </w:style>
  <w:style w:type="paragraph" w:customStyle="1" w:styleId="Point1number">
    <w:name w:val="Point 1 (number)"/>
    <w:basedOn w:val="Normal"/>
    <w:pPr>
      <w:numPr>
        <w:ilvl w:val="2"/>
        <w:numId w:val="57"/>
      </w:numPr>
    </w:pPr>
  </w:style>
  <w:style w:type="paragraph" w:customStyle="1" w:styleId="Point2number">
    <w:name w:val="Point 2 (number)"/>
    <w:basedOn w:val="Normal"/>
    <w:pPr>
      <w:numPr>
        <w:ilvl w:val="4"/>
        <w:numId w:val="57"/>
      </w:numPr>
    </w:pPr>
  </w:style>
  <w:style w:type="paragraph" w:customStyle="1" w:styleId="Point3number">
    <w:name w:val="Point 3 (number)"/>
    <w:basedOn w:val="Normal"/>
    <w:pPr>
      <w:numPr>
        <w:ilvl w:val="6"/>
        <w:numId w:val="57"/>
      </w:numPr>
    </w:pPr>
  </w:style>
  <w:style w:type="paragraph" w:customStyle="1" w:styleId="Point0letter">
    <w:name w:val="Point 0 (letter)"/>
    <w:basedOn w:val="Normal"/>
    <w:pPr>
      <w:numPr>
        <w:ilvl w:val="1"/>
        <w:numId w:val="57"/>
      </w:numPr>
    </w:pPr>
  </w:style>
  <w:style w:type="paragraph" w:customStyle="1" w:styleId="Point1letter">
    <w:name w:val="Point 1 (letter)"/>
    <w:basedOn w:val="Normal"/>
    <w:pPr>
      <w:numPr>
        <w:ilvl w:val="3"/>
        <w:numId w:val="57"/>
      </w:numPr>
    </w:pPr>
  </w:style>
  <w:style w:type="paragraph" w:customStyle="1" w:styleId="Point2letter">
    <w:name w:val="Point 2 (letter)"/>
    <w:basedOn w:val="Normal"/>
    <w:pPr>
      <w:numPr>
        <w:ilvl w:val="5"/>
        <w:numId w:val="57"/>
      </w:numPr>
    </w:pPr>
  </w:style>
  <w:style w:type="paragraph" w:customStyle="1" w:styleId="Point3letter">
    <w:name w:val="Point 3 (letter)"/>
    <w:basedOn w:val="Normal"/>
    <w:pPr>
      <w:numPr>
        <w:ilvl w:val="7"/>
        <w:numId w:val="57"/>
      </w:numPr>
    </w:pPr>
  </w:style>
  <w:style w:type="paragraph" w:customStyle="1" w:styleId="Point4letter">
    <w:name w:val="Point 4 (letter)"/>
    <w:basedOn w:val="Normal"/>
    <w:pPr>
      <w:numPr>
        <w:ilvl w:val="8"/>
        <w:numId w:val="57"/>
      </w:numPr>
    </w:pPr>
  </w:style>
  <w:style w:type="paragraph" w:customStyle="1" w:styleId="Bullet0">
    <w:name w:val="Bullet 0"/>
    <w:basedOn w:val="Normal"/>
    <w:pPr>
      <w:numPr>
        <w:numId w:val="58"/>
      </w:numPr>
    </w:pPr>
  </w:style>
  <w:style w:type="paragraph" w:customStyle="1" w:styleId="Bullet1">
    <w:name w:val="Bullet 1"/>
    <w:basedOn w:val="Normal"/>
    <w:pPr>
      <w:numPr>
        <w:numId w:val="59"/>
      </w:numPr>
    </w:pPr>
  </w:style>
  <w:style w:type="paragraph" w:customStyle="1" w:styleId="Bullet2">
    <w:name w:val="Bullet 2"/>
    <w:basedOn w:val="Normal"/>
    <w:pPr>
      <w:numPr>
        <w:numId w:val="60"/>
      </w:numPr>
    </w:pPr>
  </w:style>
  <w:style w:type="paragraph" w:customStyle="1" w:styleId="Bullet3">
    <w:name w:val="Bullet 3"/>
    <w:basedOn w:val="Normal"/>
    <w:pPr>
      <w:numPr>
        <w:numId w:val="61"/>
      </w:numPr>
    </w:pPr>
  </w:style>
  <w:style w:type="paragraph" w:customStyle="1" w:styleId="Bullet4">
    <w:name w:val="Bullet 4"/>
    <w:basedOn w:val="Normal"/>
    <w:pPr>
      <w:numPr>
        <w:numId w:val="6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6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5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5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5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5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tabs>
        <w:tab w:val="num" w:pos="1134"/>
      </w:tabs>
      <w:spacing w:before="240" w:after="60"/>
      <w:ind w:left="1134" w:hanging="283"/>
      <w:jc w:val="left"/>
      <w:outlineLvl w:val="4"/>
    </w:pPr>
    <w:rPr>
      <w:rFonts w:eastAsia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tabs>
        <w:tab w:val="num" w:pos="1134"/>
      </w:tabs>
      <w:spacing w:before="240" w:after="60"/>
      <w:ind w:left="1134" w:hanging="283"/>
      <w:jc w:val="left"/>
      <w:outlineLvl w:val="5"/>
    </w:pPr>
    <w:rPr>
      <w:rFonts w:eastAsia="Times New Roman"/>
      <w:b/>
      <w:bCs/>
      <w:sz w:val="22"/>
      <w:lang w:eastAsia="en-GB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num" w:pos="1134"/>
      </w:tabs>
      <w:spacing w:before="240" w:after="60"/>
      <w:ind w:left="1134" w:hanging="283"/>
      <w:jc w:val="left"/>
      <w:outlineLvl w:val="6"/>
    </w:pPr>
    <w:rPr>
      <w:rFonts w:eastAsia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num" w:pos="1134"/>
      </w:tabs>
      <w:spacing w:before="240" w:after="60"/>
      <w:ind w:left="1134" w:hanging="283"/>
      <w:jc w:val="left"/>
      <w:outlineLvl w:val="7"/>
    </w:pPr>
    <w:rPr>
      <w:rFonts w:eastAsia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num" w:pos="1134"/>
      </w:tabs>
      <w:spacing w:before="240" w:after="60"/>
      <w:ind w:left="1134" w:hanging="283"/>
      <w:jc w:val="left"/>
      <w:outlineLvl w:val="8"/>
    </w:pPr>
    <w:rPr>
      <w:rFonts w:ascii="Arial" w:eastAsia="Times New Roman" w:hAnsi="Arial" w:cs="Arial"/>
      <w:sz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link w:val="Heading11"/>
    <w:rPr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link w:val="Bodytext30"/>
    <w:rPr>
      <w:b/>
      <w:bCs/>
      <w:sz w:val="18"/>
      <w:szCs w:val="18"/>
      <w:shd w:val="clear" w:color="auto" w:fill="FFFFFF"/>
    </w:rPr>
  </w:style>
  <w:style w:type="paragraph" w:customStyle="1" w:styleId="Heading11">
    <w:name w:val="Heading #1"/>
    <w:basedOn w:val="Normal"/>
    <w:link w:val="Heading10"/>
    <w:pPr>
      <w:widowControl w:val="0"/>
      <w:shd w:val="clear" w:color="auto" w:fill="FFFFFF"/>
      <w:spacing w:before="0" w:after="160" w:line="200" w:lineRule="exact"/>
      <w:jc w:val="center"/>
      <w:outlineLvl w:val="0"/>
    </w:pPr>
    <w:rPr>
      <w:rFonts w:asciiTheme="minorHAnsi" w:hAnsiTheme="minorHAnsi" w:cstheme="minorBidi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before="160" w:after="380" w:line="211" w:lineRule="exact"/>
      <w:jc w:val="center"/>
    </w:pPr>
    <w:rPr>
      <w:rFonts w:asciiTheme="minorHAnsi" w:hAnsiTheme="minorHAnsi" w:cstheme="minorBidi"/>
      <w:b/>
      <w:bCs/>
      <w:sz w:val="18"/>
      <w:szCs w:val="18"/>
    </w:rPr>
  </w:style>
  <w:style w:type="paragraph" w:customStyle="1" w:styleId="Heading112">
    <w:name w:val="Heading #1 12"/>
    <w:basedOn w:val="Heading11"/>
  </w:style>
  <w:style w:type="character" w:customStyle="1" w:styleId="Corpsdutexte3">
    <w:name w:val="Corps du texte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</w:rPr>
  </w:style>
  <w:style w:type="character" w:customStyle="1" w:styleId="Corpsdutexte3Italique">
    <w:name w:val="Corps du texte (3) + Italiqu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6"/>
      <w:szCs w:val="16"/>
      <w:u w:val="none"/>
    </w:rPr>
  </w:style>
  <w:style w:type="character" w:customStyle="1" w:styleId="En-tte1">
    <w:name w:val="En-tête #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</w:rPr>
  </w:style>
  <w:style w:type="character" w:customStyle="1" w:styleId="Corpsdutexte2">
    <w:name w:val="Corps du texte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customStyle="1" w:styleId="Corpsdutexte">
    <w:name w:val="Corps du texte_"/>
    <w:link w:val="Corpsdutexte0"/>
    <w:rPr>
      <w:sz w:val="16"/>
      <w:szCs w:val="16"/>
      <w:shd w:val="clear" w:color="auto" w:fill="FFFFFF"/>
    </w:rPr>
  </w:style>
  <w:style w:type="paragraph" w:customStyle="1" w:styleId="Corpsdutexte0">
    <w:name w:val="Corps du texte"/>
    <w:basedOn w:val="Normal"/>
    <w:link w:val="Corpsdutexte"/>
    <w:pPr>
      <w:widowControl w:val="0"/>
      <w:shd w:val="clear" w:color="auto" w:fill="FFFFFF"/>
      <w:spacing w:before="0" w:after="180" w:line="211" w:lineRule="exact"/>
      <w:ind w:hanging="1300"/>
    </w:pPr>
    <w:rPr>
      <w:rFonts w:asciiTheme="minorHAnsi" w:hAnsiTheme="minorHAnsi" w:cstheme="minorBidi"/>
      <w:sz w:val="16"/>
      <w:szCs w:val="16"/>
    </w:rPr>
  </w:style>
  <w:style w:type="character" w:customStyle="1" w:styleId="Bodytext4">
    <w:name w:val="Body text (4)_"/>
    <w:link w:val="Bodytext40"/>
    <w:rPr>
      <w:i/>
      <w:iCs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before="380" w:after="160" w:line="200" w:lineRule="exact"/>
      <w:jc w:val="center"/>
    </w:pPr>
    <w:rPr>
      <w:rFonts w:asciiTheme="minorHAnsi" w:hAnsiTheme="minorHAnsi" w:cstheme="minorBidi"/>
      <w:i/>
      <w:iCs/>
      <w:sz w:val="18"/>
      <w:szCs w:val="18"/>
    </w:rPr>
  </w:style>
  <w:style w:type="character" w:customStyle="1" w:styleId="Bodytext2">
    <w:name w:val="Body text (2)_"/>
    <w:link w:val="Bodytext20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160" w:after="160" w:line="211" w:lineRule="exact"/>
      <w:ind w:hanging="520"/>
    </w:pPr>
    <w:rPr>
      <w:rFonts w:asciiTheme="minorHAnsi" w:hAnsiTheme="minorHAnsi" w:cstheme="minorBidi"/>
      <w:sz w:val="18"/>
      <w:szCs w:val="1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val="en-GB" w:eastAsia="en-GB"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rFonts w:eastAsia="Times New Roman"/>
      <w:b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szCs w:val="24"/>
    </w:rPr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Sous-titreobjetPagedecouverture">
    <w:name w:val="Sous-titre objet (Page de couverture)"/>
    <w:basedOn w:val="Sous-titreobjet"/>
  </w:style>
  <w:style w:type="paragraph" w:styleId="ListBullet">
    <w:name w:val="List Bullet"/>
    <w:basedOn w:val="Normal"/>
    <w:pPr>
      <w:numPr>
        <w:numId w:val="9"/>
      </w:numPr>
    </w:pPr>
    <w:rPr>
      <w:rFonts w:eastAsia="Times New Roman"/>
      <w:szCs w:val="24"/>
      <w:lang w:eastAsia="en-GB"/>
    </w:rPr>
  </w:style>
  <w:style w:type="paragraph" w:styleId="ListNumber">
    <w:name w:val="List Number"/>
    <w:basedOn w:val="Normal"/>
    <w:pPr>
      <w:numPr>
        <w:numId w:val="13"/>
      </w:numPr>
    </w:pPr>
    <w:rPr>
      <w:rFonts w:eastAsia="Times New Roman"/>
      <w:szCs w:val="24"/>
      <w:lang w:eastAsia="en-GB"/>
    </w:rPr>
  </w:style>
  <w:style w:type="paragraph" w:customStyle="1" w:styleId="ListBullet1">
    <w:name w:val="List Bullet 1"/>
    <w:basedOn w:val="Normal"/>
    <w:pPr>
      <w:numPr>
        <w:numId w:val="10"/>
      </w:numPr>
    </w:pPr>
    <w:rPr>
      <w:rFonts w:eastAsia="Times New Roman"/>
      <w:szCs w:val="24"/>
      <w:lang w:eastAsia="en-GB"/>
    </w:rPr>
  </w:style>
  <w:style w:type="paragraph" w:customStyle="1" w:styleId="ListDash1">
    <w:name w:val="List Dash 1"/>
    <w:basedOn w:val="Normal"/>
    <w:pPr>
      <w:numPr>
        <w:numId w:val="11"/>
      </w:numPr>
    </w:pPr>
    <w:rPr>
      <w:rFonts w:eastAsia="Times New Roman"/>
      <w:szCs w:val="24"/>
      <w:lang w:eastAsia="en-GB"/>
    </w:rPr>
  </w:style>
  <w:style w:type="paragraph" w:customStyle="1" w:styleId="ListDash2">
    <w:name w:val="List Dash 2"/>
    <w:basedOn w:val="Normal"/>
    <w:pPr>
      <w:numPr>
        <w:numId w:val="12"/>
      </w:numPr>
    </w:pPr>
    <w:rPr>
      <w:rFonts w:eastAsia="Times New Roman"/>
      <w:szCs w:val="24"/>
      <w:lang w:eastAsia="en-GB"/>
    </w:r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  <w:rPr>
      <w:rFonts w:eastAsia="Times New Roman"/>
      <w:szCs w:val="24"/>
      <w:lang w:eastAsia="en-GB"/>
    </w:r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  <w:rPr>
      <w:rFonts w:eastAsia="Times New Roman"/>
      <w:szCs w:val="24"/>
      <w:lang w:eastAsia="en-GB"/>
    </w:r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rFonts w:cs="Times New Roman"/>
      <w:color w:val="0000FF"/>
      <w:u w:val="single"/>
      <w:shd w:val="clear" w:color="auto" w:fill="auto"/>
    </w:rPr>
  </w:style>
  <w:style w:type="paragraph" w:customStyle="1" w:styleId="ListDash">
    <w:name w:val="List Dash"/>
    <w:basedOn w:val="Normal"/>
    <w:pPr>
      <w:numPr>
        <w:numId w:val="14"/>
      </w:numPr>
    </w:pPr>
    <w:rPr>
      <w:rFonts w:eastAsia="Times New Roman"/>
      <w:szCs w:val="24"/>
      <w:lang w:eastAsia="de-DE"/>
    </w:rPr>
  </w:style>
  <w:style w:type="character" w:styleId="PageNumber">
    <w:name w:val="page number"/>
    <w:rPr>
      <w:rFonts w:cs="Times New Roman"/>
      <w:shd w:val="clear" w:color="auto" w:fill="auto"/>
    </w:rPr>
  </w:style>
  <w:style w:type="paragraph" w:styleId="ListBullet2">
    <w:name w:val="List Bullet 2"/>
    <w:basedOn w:val="Normal"/>
    <w:pPr>
      <w:numPr>
        <w:numId w:val="15"/>
      </w:numPr>
    </w:pPr>
    <w:rPr>
      <w:rFonts w:eastAsia="Times New Roman"/>
      <w:szCs w:val="24"/>
    </w:rPr>
  </w:style>
  <w:style w:type="paragraph" w:styleId="ListBullet3">
    <w:name w:val="List Bullet 3"/>
    <w:basedOn w:val="Normal"/>
    <w:pPr>
      <w:numPr>
        <w:numId w:val="16"/>
      </w:numPr>
    </w:pPr>
    <w:rPr>
      <w:rFonts w:eastAsia="Times New Roman"/>
      <w:szCs w:val="24"/>
    </w:rPr>
  </w:style>
  <w:style w:type="paragraph" w:styleId="ListBullet4">
    <w:name w:val="List Bullet 4"/>
    <w:basedOn w:val="Normal"/>
    <w:pPr>
      <w:numPr>
        <w:numId w:val="17"/>
      </w:numPr>
    </w:pPr>
    <w:rPr>
      <w:rFonts w:eastAsia="Times New Roman"/>
      <w:szCs w:val="24"/>
    </w:rPr>
  </w:style>
  <w:style w:type="paragraph" w:styleId="ListNumber2">
    <w:name w:val="List Number 2"/>
    <w:basedOn w:val="Normal"/>
    <w:pPr>
      <w:numPr>
        <w:numId w:val="18"/>
      </w:numPr>
    </w:pPr>
    <w:rPr>
      <w:rFonts w:eastAsia="Times New Roman"/>
      <w:szCs w:val="24"/>
    </w:rPr>
  </w:style>
  <w:style w:type="paragraph" w:styleId="ListNumber3">
    <w:name w:val="List Number 3"/>
    <w:basedOn w:val="Normal"/>
    <w:pPr>
      <w:numPr>
        <w:numId w:val="19"/>
      </w:numPr>
    </w:pPr>
    <w:rPr>
      <w:rFonts w:eastAsia="Times New Roman"/>
      <w:szCs w:val="24"/>
    </w:rPr>
  </w:style>
  <w:style w:type="paragraph" w:styleId="ListNumber4">
    <w:name w:val="List Number 4"/>
    <w:basedOn w:val="Normal"/>
    <w:pPr>
      <w:numPr>
        <w:numId w:val="20"/>
      </w:numPr>
    </w:pPr>
    <w:rPr>
      <w:rFonts w:eastAsia="Times New Roman"/>
      <w:szCs w:val="24"/>
    </w:rPr>
  </w:style>
  <w:style w:type="character" w:styleId="FollowedHyperlink">
    <w:name w:val="FollowedHyperlink"/>
    <w:rPr>
      <w:color w:val="800080"/>
      <w:u w:val="single"/>
      <w:shd w:val="clear" w:color="auto" w:fill="auto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Pr>
      <w:rFonts w:eastAsia="Times New Roman"/>
      <w:szCs w:val="24"/>
    </w:rPr>
  </w:style>
  <w:style w:type="character" w:styleId="CommentReference">
    <w:name w:val="annotation reference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semiHidden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hu-HU"/>
    </w:rPr>
  </w:style>
  <w:style w:type="character" w:customStyle="1" w:styleId="Bodytext6">
    <w:name w:val="Body text (6)_"/>
    <w:link w:val="Bodytext60"/>
    <w:rPr>
      <w:b/>
      <w:bCs/>
      <w:sz w:val="15"/>
      <w:szCs w:val="15"/>
      <w:shd w:val="clear" w:color="auto" w:fill="FFFFFF"/>
    </w:rPr>
  </w:style>
  <w:style w:type="paragraph" w:customStyle="1" w:styleId="Bodytext60">
    <w:name w:val="Body text (6)"/>
    <w:basedOn w:val="Normal"/>
    <w:link w:val="Bodytext6"/>
    <w:pPr>
      <w:widowControl w:val="0"/>
      <w:shd w:val="clear" w:color="auto" w:fill="FFFFFF"/>
      <w:spacing w:before="240" w:after="0" w:line="166" w:lineRule="exact"/>
      <w:jc w:val="center"/>
    </w:pPr>
    <w:rPr>
      <w:rFonts w:asciiTheme="minorHAnsi" w:hAnsiTheme="minorHAnsi" w:cstheme="minorBidi"/>
      <w:b/>
      <w:bCs/>
      <w:sz w:val="15"/>
      <w:szCs w:val="15"/>
    </w:rPr>
  </w:style>
  <w:style w:type="character" w:customStyle="1" w:styleId="Bodytext2Exact">
    <w:name w:val="Body text (2) 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hu-HU" w:eastAsia="fr-FR" w:bidi="fr-FR"/>
    </w:rPr>
  </w:style>
  <w:style w:type="character" w:customStyle="1" w:styleId="Headerorfooter">
    <w:name w:val="Header or footer_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0">
    <w:name w:val="Header or 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auto"/>
      <w:lang w:val="hu-HU" w:eastAsia="fr-FR" w:bidi="fr-FR"/>
    </w:rPr>
  </w:style>
  <w:style w:type="paragraph" w:customStyle="1" w:styleId="Art">
    <w:name w:val="Art"/>
    <w:basedOn w:val="Normal"/>
  </w:style>
  <w:style w:type="character" w:customStyle="1" w:styleId="Bodytext4Exact">
    <w:name w:val="Body text (4) Exact"/>
    <w:basedOn w:val="DefaultParagraphFont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hu-HU" w:eastAsia="fr-FR" w:bidi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51"/>
      </w:numPr>
    </w:pPr>
  </w:style>
  <w:style w:type="paragraph" w:customStyle="1" w:styleId="Tiret1">
    <w:name w:val="Tiret 1"/>
    <w:basedOn w:val="Point1"/>
    <w:pPr>
      <w:numPr>
        <w:numId w:val="52"/>
      </w:numPr>
    </w:pPr>
  </w:style>
  <w:style w:type="paragraph" w:customStyle="1" w:styleId="Tiret2">
    <w:name w:val="Tiret 2"/>
    <w:basedOn w:val="Point2"/>
    <w:pPr>
      <w:tabs>
        <w:tab w:val="num" w:pos="1984"/>
      </w:tabs>
    </w:pPr>
  </w:style>
  <w:style w:type="paragraph" w:customStyle="1" w:styleId="Tiret3">
    <w:name w:val="Tiret 3"/>
    <w:basedOn w:val="Point3"/>
    <w:pPr>
      <w:numPr>
        <w:numId w:val="53"/>
      </w:numPr>
    </w:pPr>
  </w:style>
  <w:style w:type="paragraph" w:customStyle="1" w:styleId="Tiret4">
    <w:name w:val="Tiret 4"/>
    <w:basedOn w:val="Point4"/>
    <w:pPr>
      <w:numPr>
        <w:numId w:val="5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5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5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5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5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57"/>
      </w:numPr>
    </w:pPr>
  </w:style>
  <w:style w:type="paragraph" w:customStyle="1" w:styleId="Point1number">
    <w:name w:val="Point 1 (number)"/>
    <w:basedOn w:val="Normal"/>
    <w:pPr>
      <w:numPr>
        <w:ilvl w:val="2"/>
        <w:numId w:val="57"/>
      </w:numPr>
    </w:pPr>
  </w:style>
  <w:style w:type="paragraph" w:customStyle="1" w:styleId="Point2number">
    <w:name w:val="Point 2 (number)"/>
    <w:basedOn w:val="Normal"/>
    <w:pPr>
      <w:numPr>
        <w:ilvl w:val="4"/>
        <w:numId w:val="57"/>
      </w:numPr>
    </w:pPr>
  </w:style>
  <w:style w:type="paragraph" w:customStyle="1" w:styleId="Point3number">
    <w:name w:val="Point 3 (number)"/>
    <w:basedOn w:val="Normal"/>
    <w:pPr>
      <w:numPr>
        <w:ilvl w:val="6"/>
        <w:numId w:val="57"/>
      </w:numPr>
    </w:pPr>
  </w:style>
  <w:style w:type="paragraph" w:customStyle="1" w:styleId="Point0letter">
    <w:name w:val="Point 0 (letter)"/>
    <w:basedOn w:val="Normal"/>
    <w:pPr>
      <w:numPr>
        <w:ilvl w:val="1"/>
        <w:numId w:val="57"/>
      </w:numPr>
    </w:pPr>
  </w:style>
  <w:style w:type="paragraph" w:customStyle="1" w:styleId="Point1letter">
    <w:name w:val="Point 1 (letter)"/>
    <w:basedOn w:val="Normal"/>
    <w:pPr>
      <w:numPr>
        <w:ilvl w:val="3"/>
        <w:numId w:val="57"/>
      </w:numPr>
    </w:pPr>
  </w:style>
  <w:style w:type="paragraph" w:customStyle="1" w:styleId="Point2letter">
    <w:name w:val="Point 2 (letter)"/>
    <w:basedOn w:val="Normal"/>
    <w:pPr>
      <w:numPr>
        <w:ilvl w:val="5"/>
        <w:numId w:val="57"/>
      </w:numPr>
    </w:pPr>
  </w:style>
  <w:style w:type="paragraph" w:customStyle="1" w:styleId="Point3letter">
    <w:name w:val="Point 3 (letter)"/>
    <w:basedOn w:val="Normal"/>
    <w:pPr>
      <w:numPr>
        <w:ilvl w:val="7"/>
        <w:numId w:val="57"/>
      </w:numPr>
    </w:pPr>
  </w:style>
  <w:style w:type="paragraph" w:customStyle="1" w:styleId="Point4letter">
    <w:name w:val="Point 4 (letter)"/>
    <w:basedOn w:val="Normal"/>
    <w:pPr>
      <w:numPr>
        <w:ilvl w:val="8"/>
        <w:numId w:val="57"/>
      </w:numPr>
    </w:pPr>
  </w:style>
  <w:style w:type="paragraph" w:customStyle="1" w:styleId="Bullet0">
    <w:name w:val="Bullet 0"/>
    <w:basedOn w:val="Normal"/>
    <w:pPr>
      <w:numPr>
        <w:numId w:val="58"/>
      </w:numPr>
    </w:pPr>
  </w:style>
  <w:style w:type="paragraph" w:customStyle="1" w:styleId="Bullet1">
    <w:name w:val="Bullet 1"/>
    <w:basedOn w:val="Normal"/>
    <w:pPr>
      <w:numPr>
        <w:numId w:val="59"/>
      </w:numPr>
    </w:pPr>
  </w:style>
  <w:style w:type="paragraph" w:customStyle="1" w:styleId="Bullet2">
    <w:name w:val="Bullet 2"/>
    <w:basedOn w:val="Normal"/>
    <w:pPr>
      <w:numPr>
        <w:numId w:val="60"/>
      </w:numPr>
    </w:pPr>
  </w:style>
  <w:style w:type="paragraph" w:customStyle="1" w:styleId="Bullet3">
    <w:name w:val="Bullet 3"/>
    <w:basedOn w:val="Normal"/>
    <w:pPr>
      <w:numPr>
        <w:numId w:val="61"/>
      </w:numPr>
    </w:pPr>
  </w:style>
  <w:style w:type="paragraph" w:customStyle="1" w:styleId="Bullet4">
    <w:name w:val="Bullet 4"/>
    <w:basedOn w:val="Normal"/>
    <w:pPr>
      <w:numPr>
        <w:numId w:val="6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6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EA6736-0EF1-4116-AD91-7E5F336C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41</Pages>
  <Words>11173</Words>
  <Characters>78437</Characters>
  <Application>Microsoft Office Word</Application>
  <DocSecurity>0</DocSecurity>
  <Lines>1452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Maria (MARE)</dc:creator>
  <cp:lastModifiedBy>WES PDFC Administrator</cp:lastModifiedBy>
  <cp:revision>8</cp:revision>
  <cp:lastPrinted>2019-02-19T18:17:00Z</cp:lastPrinted>
  <dcterms:created xsi:type="dcterms:W3CDTF">2019-04-03T15:14:00Z</dcterms:created>
  <dcterms:modified xsi:type="dcterms:W3CDTF">2019-04-04T14:14:00Z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