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01CA98A3-AE16-4269-9B20-5E6275D42238" style="width:450.45pt;height:365.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Priekšlikuma pamatojums un mērķi</w:t>
      </w:r>
    </w:p>
    <w:p>
      <w:pPr>
        <w:pBdr>
          <w:top w:val="nil"/>
          <w:left w:val="nil"/>
          <w:bottom w:val="nil"/>
          <w:right w:val="nil"/>
          <w:between w:val="nil"/>
          <w:bar w:val="nil"/>
        </w:pBdr>
        <w:spacing w:before="0" w:after="240"/>
        <w:rPr>
          <w:rFonts w:eastAsia="Arial Unicode MS"/>
          <w:noProof/>
        </w:rPr>
      </w:pPr>
      <w:r>
        <w:rPr>
          <w:noProof/>
        </w:rPr>
        <w:t>Komisija, pamatodamās uz attiecīgajām sarunu norādēm</w:t>
      </w:r>
      <w:r>
        <w:rPr>
          <w:rStyle w:val="FootnoteReference"/>
          <w:noProof/>
        </w:rPr>
        <w:footnoteReference w:id="1"/>
      </w:r>
      <w:r>
        <w:rPr>
          <w:noProof/>
        </w:rPr>
        <w:t>, ar Gvinejas-Bisavas valdību ir risinājusi sarunas par to, lai noslēgtu jaunu protokolu, ar ko īsteno partnerattiecību nolīgumu zivsaimniecības nozarē starp Eiropas Kopienu un Gvinejas-Bisavas Republiku</w:t>
      </w:r>
      <w:r>
        <w:rPr>
          <w:rStyle w:val="FootnoteReference"/>
          <w:noProof/>
        </w:rPr>
        <w:footnoteReference w:id="2"/>
      </w:r>
      <w:r>
        <w:rPr>
          <w:noProof/>
        </w:rPr>
        <w:t>. Šo sarunu iznākumā jauns protokols tika parafēts 2018. gada 15. novembrī. Protokols aptver piecu gadu laikposmu no tā provizoriskās piemērošanas sākuma dienas, t. i., no parakstīšanas dienas, kā noteikts protokola 16. pantā.</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Saskanība ar spēkā esošajiem noteikumiem konkrētajā rīcībpolitikas jomā</w:t>
      </w:r>
    </w:p>
    <w:p>
      <w:pPr>
        <w:pBdr>
          <w:top w:val="nil"/>
          <w:left w:val="nil"/>
          <w:bottom w:val="nil"/>
          <w:right w:val="nil"/>
          <w:between w:val="nil"/>
          <w:bar w:val="nil"/>
        </w:pBdr>
        <w:spacing w:before="0" w:after="240"/>
        <w:rPr>
          <w:noProof/>
        </w:rPr>
      </w:pPr>
      <w:r>
        <w:rPr>
          <w:noProof/>
        </w:rPr>
        <w:t>Atbilstoši zivsaimniecības politikas reformas</w:t>
      </w:r>
      <w:r>
        <w:rPr>
          <w:rStyle w:val="FootnoteReference"/>
          <w:noProof/>
        </w:rPr>
        <w:footnoteReference w:id="3"/>
      </w:r>
      <w:r>
        <w:rPr>
          <w:noProof/>
        </w:rPr>
        <w:t xml:space="preserve"> prioritātēm zvejas iespējas Savienības kuģiem Gvinejas-Bisavas ūdeņos ar jauno protokolu tiek piešķirtas, pamatojoties uz labākajiem pieejamajiem zinātniskajiem ieteikumiem un ievērojot Starptautiskās Atlantijas tunzivju saglabāšanas komisijas (</w:t>
      </w:r>
      <w:r>
        <w:rPr>
          <w:i/>
          <w:noProof/>
        </w:rPr>
        <w:t>ICCAT</w:t>
      </w:r>
      <w:r>
        <w:rPr>
          <w:noProof/>
        </w:rPr>
        <w:t xml:space="preserve">) ieteikumus. Jaunajā protokolā ņemti vērā iepriekšējā, 2014.–2017. gada protokola izvērtējuma rezultāti un provizorisks novērtējums par to, vai jauna protokola noslēgšana būtu lietderīga. Vērtēšanu veica neatkarīgi eksperti. Protokols turklāt ļaus Eiropas Savienībai un Gvinejas-Bisavas Republikai ciešāk sadarboties, lai veicinātu zvejas resursu atbildīgu izmantošanu Gvinejas-Bisavas ūdeņos, un atbalstīt Gvinejas-Bisavas centienus attīstīt savu jūras nozaru ekonomiku – tas ir abu Pušu interesēs. </w:t>
      </w:r>
    </w:p>
    <w:p>
      <w:pPr>
        <w:pBdr>
          <w:top w:val="nil"/>
          <w:left w:val="nil"/>
          <w:bottom w:val="nil"/>
          <w:right w:val="nil"/>
          <w:between w:val="nil"/>
          <w:bar w:val="nil"/>
        </w:pBdr>
        <w:spacing w:before="0" w:after="240"/>
        <w:rPr>
          <w:noProof/>
        </w:rPr>
      </w:pPr>
      <w:r>
        <w:rPr>
          <w:noProof/>
        </w:rPr>
        <w:t>Protokolā paredzētas zvejas iespējas šādās kategorijās:</w:t>
      </w:r>
    </w:p>
    <w:p>
      <w:pPr>
        <w:pStyle w:val="Point0letter"/>
        <w:numPr>
          <w:ilvl w:val="1"/>
          <w:numId w:val="13"/>
        </w:numPr>
        <w:pBdr>
          <w:top w:val="nil"/>
          <w:left w:val="nil"/>
          <w:bottom w:val="nil"/>
          <w:right w:val="nil"/>
          <w:between w:val="nil"/>
          <w:bar w:val="nil"/>
        </w:pBdr>
        <w:spacing w:before="0"/>
        <w:rPr>
          <w:noProof/>
        </w:rPr>
      </w:pPr>
      <w:r>
        <w:rPr>
          <w:noProof/>
        </w:rPr>
        <w:t>garneļu saldētājtraleri;</w:t>
      </w:r>
    </w:p>
    <w:p>
      <w:pPr>
        <w:pStyle w:val="Point0letter"/>
        <w:numPr>
          <w:ilvl w:val="1"/>
          <w:numId w:val="13"/>
        </w:numPr>
        <w:rPr>
          <w:noProof/>
        </w:rPr>
      </w:pPr>
      <w:r>
        <w:rPr>
          <w:noProof/>
        </w:rPr>
        <w:t>zivju un galvkāju saldētājtraleri;</w:t>
      </w:r>
    </w:p>
    <w:p>
      <w:pPr>
        <w:pStyle w:val="Point0letter"/>
        <w:rPr>
          <w:noProof/>
        </w:rPr>
      </w:pPr>
      <w:r>
        <w:rPr>
          <w:noProof/>
        </w:rPr>
        <w:t>mazo pelaģisko sugu traleri;</w:t>
      </w:r>
    </w:p>
    <w:p>
      <w:pPr>
        <w:pStyle w:val="Point0letter"/>
        <w:rPr>
          <w:noProof/>
        </w:rPr>
      </w:pPr>
      <w:r>
        <w:rPr>
          <w:noProof/>
        </w:rPr>
        <w:t>tunzivju saldētājseineri un kuģi zvejai ar āķu jedām;</w:t>
      </w:r>
    </w:p>
    <w:p>
      <w:pPr>
        <w:pStyle w:val="Point0letter"/>
        <w:rPr>
          <w:noProof/>
        </w:rPr>
      </w:pPr>
      <w:r>
        <w:rPr>
          <w:noProof/>
        </w:rPr>
        <w:t>kuģi tunzivju zvejai ar makšķerrīkiem.</w:t>
      </w:r>
    </w:p>
    <w:p>
      <w:pPr>
        <w:pBdr>
          <w:top w:val="nil"/>
          <w:left w:val="nil"/>
          <w:bottom w:val="nil"/>
          <w:right w:val="nil"/>
          <w:between w:val="nil"/>
          <w:bar w:val="nil"/>
        </w:pBdr>
        <w:spacing w:before="0" w:after="240"/>
        <w:rPr>
          <w:noProof/>
        </w:rPr>
      </w:pPr>
      <w:r>
        <w:rPr>
          <w:noProof/>
        </w:rPr>
        <w:t>Pirmajām trim iepriekš minētajām kategorijām zvejas iespējas ir izteiktas ar zvejas piepūli (reģistrēto bruto tilpību) pirmajos divos un ar nozvejas limitu (KPN) – pēdējos trijos protokola piemērošanas gados.</w:t>
      </w:r>
    </w:p>
    <w:p>
      <w:pPr>
        <w:pBdr>
          <w:top w:val="nil"/>
          <w:left w:val="nil"/>
          <w:bottom w:val="nil"/>
          <w:right w:val="nil"/>
          <w:between w:val="nil"/>
          <w:bar w:val="nil"/>
        </w:pBdr>
        <w:spacing w:before="0" w:after="240"/>
        <w:rPr>
          <w:noProof/>
        </w:rPr>
      </w:pPr>
      <w:r>
        <w:rPr>
          <w:noProof/>
        </w:rPr>
        <w:t>Būtu jānosaka šo zvejas iespēju sadalījums dalībvalstīm.</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spacing w:before="0" w:after="240"/>
        <w:rPr>
          <w:noProof/>
        </w:rPr>
      </w:pPr>
      <w:r>
        <w:rPr>
          <w:noProof/>
        </w:rPr>
        <w:t xml:space="preserve">Juridiskais pamats ir Līgums par Eiropas Savienības darbību; tā 43. panta 3. punkts nosaka, ka Padome pēc Komisijas priekšlikuma iedala zvejas iespējas. </w:t>
      </w:r>
    </w:p>
    <w:p>
      <w:pPr>
        <w:pStyle w:val="ManualHeading2"/>
        <w:rPr>
          <w:rFonts w:eastAsia="Arial Unicode MS"/>
          <w:noProof/>
          <w:u w:color="000000"/>
          <w:bdr w:val="nil"/>
        </w:rPr>
      </w:pPr>
      <w:r>
        <w:rPr>
          <w:noProof/>
        </w:rPr>
        <w:t>•</w:t>
      </w:r>
      <w:r>
        <w:rPr>
          <w:noProof/>
        </w:rPr>
        <w:tab/>
        <w:t>Subsidiaritāte (neekskluzīvas kompetences gadījumā)</w:t>
      </w:r>
    </w:p>
    <w:p>
      <w:pPr>
        <w:spacing w:before="0" w:after="240"/>
        <w:rPr>
          <w:noProof/>
        </w:rPr>
      </w:pPr>
      <w:r>
        <w:rPr>
          <w:noProof/>
        </w:rPr>
        <w:t xml:space="preserve">Šī darbības joma ir ekskluzīvā Eiropas Savienības kompetencē. </w:t>
      </w:r>
    </w:p>
    <w:p>
      <w:pPr>
        <w:pStyle w:val="ManualHeading1"/>
        <w:rPr>
          <w:noProof/>
        </w:rPr>
      </w:pPr>
      <w:r>
        <w:rPr>
          <w:noProof/>
        </w:rPr>
        <w:lastRenderedPageBreak/>
        <w:t>3.</w:t>
      </w:r>
      <w:r>
        <w:rPr>
          <w:noProof/>
        </w:rPr>
        <w:tab/>
      </w:r>
      <w:r>
        <w:rPr>
          <w:i/>
          <w:noProof/>
        </w:rPr>
        <w:t>EX POST</w:t>
      </w:r>
      <w:r>
        <w:rPr>
          <w:noProof/>
        </w:rPr>
        <w:t xml:space="preserve"> IZVĒRTĒJUMU, APSPRIEŠANĀS AR IEINTERESĒTAJĀM PERSONĀM UN IETEKMES NOVĒRTĒJUMU REZULTĀTI</w:t>
      </w:r>
    </w:p>
    <w:p>
      <w:pPr>
        <w:pStyle w:val="ManualHeading2"/>
        <w:rPr>
          <w:rFonts w:eastAsia="Arial Unicode MS"/>
          <w:noProof/>
          <w:u w:color="000000"/>
          <w:bdr w:val="nil"/>
        </w:rPr>
      </w:pPr>
      <w:r>
        <w:rPr>
          <w:noProof/>
        </w:rPr>
        <w:t>•</w:t>
      </w:r>
      <w:r>
        <w:rPr>
          <w:noProof/>
        </w:rPr>
        <w:tab/>
      </w:r>
      <w:r>
        <w:rPr>
          <w:i/>
          <w:noProof/>
        </w:rPr>
        <w:t>Ex post</w:t>
      </w:r>
      <w:r>
        <w:rPr>
          <w:noProof/>
        </w:rPr>
        <w:t xml:space="preserve"> izvērtējumi / spēkā esošo tiesību aktu atbilstības pārbaudes</w:t>
      </w:r>
    </w:p>
    <w:p>
      <w:pPr>
        <w:pBdr>
          <w:top w:val="nil"/>
          <w:left w:val="nil"/>
          <w:bottom w:val="nil"/>
          <w:right w:val="nil"/>
          <w:between w:val="nil"/>
          <w:bar w:val="nil"/>
        </w:pBdr>
        <w:spacing w:before="0" w:after="240"/>
        <w:rPr>
          <w:rFonts w:eastAsia="Arial Unicode MS"/>
          <w:noProof/>
        </w:rPr>
      </w:pPr>
      <w:r>
        <w:rPr>
          <w:noProof/>
        </w:rPr>
        <w:t xml:space="preserve">Apspriešanās ar ieinteresētajām personām notika, veicot </w:t>
      </w:r>
      <w:r>
        <w:rPr>
          <w:i/>
          <w:noProof/>
        </w:rPr>
        <w:t>ex post</w:t>
      </w:r>
      <w:r>
        <w:rPr>
          <w:noProof/>
        </w:rPr>
        <w:t xml:space="preserve"> (retrospektīvu) un </w:t>
      </w:r>
      <w:r>
        <w:rPr>
          <w:i/>
          <w:noProof/>
        </w:rPr>
        <w:t>ex ante</w:t>
      </w:r>
      <w:r>
        <w:rPr>
          <w:noProof/>
        </w:rPr>
        <w:t xml:space="preserve"> (provizorisku) izvērtējumu par iespējamu jauna protokola noslēgšanu starp Eiropas Savienību un Gvinejas-Bisavas Republiku. Tehnisko sanāksmju laikā notika apspriešanās arī ar dalībvalstu ekspertiem un nozares pārstāvjiem. Šo apspriešanos iznākumā secināts, ka Eiropas Savienībai un Gvinejas-Bisavas Republikai būtu lietderīgi noslēgt jaunu zivsaimniecības nolīguma protokolu.</w:t>
      </w:r>
    </w:p>
    <w:p>
      <w:pPr>
        <w:pStyle w:val="ManualHeading2"/>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rFonts w:eastAsia="Arial Unicode MS"/>
          <w:noProof/>
        </w:rPr>
      </w:pPr>
      <w:r>
        <w:rPr>
          <w:noProof/>
        </w:rPr>
        <w:t>Izvērtēšanas procesā notika apspriešanās ar dalībvalstīm, nozares pārstāvjiem, starptautiskām pilsoniskās sabiedrības organizācijām, kā arī ar Gvinejas-Bisavas zivsaimniecības iestādēm un pilsonisko sabiedrību. Apspriešanās notika arī Tāljūras flotes konsultatīvajā padomē.</w:t>
      </w:r>
    </w:p>
    <w:p>
      <w:pPr>
        <w:pStyle w:val="ManualHeading2"/>
        <w:rPr>
          <w:rFonts w:eastAsia="Arial Unicode MS"/>
          <w:noProof/>
          <w:u w:color="000000"/>
          <w:bdr w:val="nil"/>
        </w:rPr>
      </w:pPr>
      <w:r>
        <w:rPr>
          <w:noProof/>
        </w:rPr>
        <w:t>•</w:t>
      </w:r>
      <w:r>
        <w:rPr>
          <w:noProof/>
        </w:rPr>
        <w:tab/>
        <w:t>Ekspertu atzinumu pieprasīšana un izmantošana</w:t>
      </w:r>
    </w:p>
    <w:p>
      <w:pPr>
        <w:spacing w:before="0" w:after="240"/>
        <w:rPr>
          <w:noProof/>
        </w:rPr>
      </w:pPr>
      <w:r>
        <w:rPr>
          <w:noProof/>
        </w:rPr>
        <w:t xml:space="preserve">Saskaņā ar Kopējās zivsaimniecības politikas regulas 31. panta 10. punktu Komisija </w:t>
      </w:r>
      <w:r>
        <w:rPr>
          <w:i/>
          <w:noProof/>
        </w:rPr>
        <w:t>ex post</w:t>
      </w:r>
      <w:r>
        <w:rPr>
          <w:noProof/>
        </w:rPr>
        <w:t xml:space="preserve"> un </w:t>
      </w:r>
      <w:r>
        <w:rPr>
          <w:i/>
          <w:noProof/>
        </w:rPr>
        <w:t>ex ante</w:t>
      </w:r>
      <w:r>
        <w:rPr>
          <w:noProof/>
        </w:rPr>
        <w:t xml:space="preserve"> vērtējumu veikšanai piesaistīja neatkarīgu konsultantu. </w:t>
      </w:r>
    </w:p>
    <w:p>
      <w:pPr>
        <w:pStyle w:val="ManualHeading1"/>
        <w:rPr>
          <w:noProof/>
        </w:rPr>
      </w:pPr>
      <w:r>
        <w:rPr>
          <w:noProof/>
        </w:rPr>
        <w:t>4.</w:t>
      </w:r>
      <w:r>
        <w:rPr>
          <w:noProof/>
        </w:rPr>
        <w:tab/>
        <w:t>IETEKME UZ BUDŽETU</w:t>
      </w:r>
    </w:p>
    <w:p>
      <w:pPr>
        <w:spacing w:before="0" w:after="240"/>
        <w:rPr>
          <w:noProof/>
        </w:rPr>
      </w:pPr>
      <w:r>
        <w:rPr>
          <w:noProof/>
        </w:rPr>
        <w:t>Regulas projekts Savienības budžetu neietekmē.</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rPr>
        <w:t>•</w:t>
      </w:r>
      <w:r>
        <w:rPr>
          <w:noProof/>
        </w:rPr>
        <w:tab/>
        <w:t>Īstenošanas plāni un uzraudzības, izvērtēšanas un ziņošanas kārtība</w:t>
      </w:r>
    </w:p>
    <w:p>
      <w:pPr>
        <w:spacing w:before="0" w:after="240"/>
        <w:rPr>
          <w:noProof/>
        </w:rPr>
      </w:pPr>
      <w:r>
        <w:rPr>
          <w:noProof/>
        </w:rPr>
        <w:t xml:space="preserve">Šī procedūra tiek uzsākta līdztekus procedūrai, kas attiecas uz Padomes lēmumu par to, lai Savienības vārdā parakstītu protokolu, ar kuru īsteno partnerattiecību nolīgumu zivsaimniecības nozarē starp Eiropas Kopienu un Gvinejas-Bisavas Republiku, un Padomes lēmumu par minētā protokola noslēgšanu. Šī regula jāsāk piemērot, tiklīdz saskaņā ar nolīgumu kļūst iespējamas zvejas darbības, t. i., no protokola provizoriskās piemērošanas sākuma dienas. </w:t>
      </w:r>
    </w:p>
    <w:p>
      <w:pPr>
        <w:pStyle w:val="ManualHeading2"/>
        <w:ind w:left="0" w:firstLine="0"/>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2019/0092 (NLE)</w:t>
      </w:r>
    </w:p>
    <w:p>
      <w:pPr>
        <w:pStyle w:val="Statut"/>
        <w:rPr>
          <w:noProof/>
        </w:rPr>
      </w:pPr>
      <w:r>
        <w:rPr>
          <w:noProof/>
        </w:rPr>
        <w:t>Priekšlikums</w:t>
      </w:r>
    </w:p>
    <w:p>
      <w:pPr>
        <w:pStyle w:val="Typedudocument"/>
        <w:rPr>
          <w:noProof/>
        </w:rPr>
      </w:pPr>
      <w:r>
        <w:rPr>
          <w:noProof/>
        </w:rPr>
        <w:t>PADOMES REGULA</w:t>
      </w:r>
    </w:p>
    <w:p>
      <w:pPr>
        <w:pStyle w:val="Titreobjet"/>
        <w:rPr>
          <w:noProof/>
        </w:rPr>
      </w:pPr>
      <w:r>
        <w:rPr>
          <w:noProof/>
        </w:rPr>
        <w:t>par zvejas iespēju iedalīšanu saskaņā ar protokolu, ar kuru īsteno partnerattiecību nolīgumu zivsaimniecības nozarē starp Eiropas Kopienu un Gvinejas-Bisavas Republiku (2019–2024)</w:t>
      </w:r>
    </w:p>
    <w:p>
      <w:pPr>
        <w:pStyle w:val="Institutionquiagit"/>
        <w:rPr>
          <w:noProof/>
        </w:rPr>
      </w:pPr>
      <w:r>
        <w:rPr>
          <w:noProof/>
        </w:rPr>
        <w:t>EIROPAS SAVIENĪBAS PADOME,</w:t>
      </w:r>
    </w:p>
    <w:p>
      <w:pPr>
        <w:rPr>
          <w:noProof/>
        </w:rPr>
      </w:pPr>
      <w:r>
        <w:rPr>
          <w:noProof/>
        </w:rPr>
        <w:t>ņemot vērā Līgumu par Eiropas Savienības darbību un jo īpaši tā 43. panta</w:t>
      </w:r>
    </w:p>
    <w:p>
      <w:pPr>
        <w:rPr>
          <w:noProof/>
        </w:rPr>
      </w:pPr>
      <w:r>
        <w:rPr>
          <w:noProof/>
        </w:rPr>
        <w:t>3.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2008. gada 17. martā Padome ir pieņēmusi Regulu (EK) Nr. 241/2008</w:t>
      </w:r>
      <w:r>
        <w:rPr>
          <w:rStyle w:val="FootnoteReference"/>
          <w:noProof/>
        </w:rPr>
        <w:footnoteReference w:id="4"/>
      </w:r>
      <w:r>
        <w:rPr>
          <w:noProof/>
        </w:rPr>
        <w:t xml:space="preserve"> par to, lai noslēgtu partnerattiecību nolīgumu zivsaimniecības nozarē starp Eiropas Kopienu un Gvinejas-Bisavas Republiku (“nolīgums”)</w:t>
      </w:r>
      <w:r>
        <w:rPr>
          <w:rStyle w:val="FootnoteReference"/>
          <w:noProof/>
        </w:rPr>
        <w:footnoteReference w:id="5"/>
      </w:r>
      <w:r>
        <w:rPr>
          <w:noProof/>
        </w:rPr>
        <w:t>, kurš stājies spēkā 2008. gada 15. aprīlī, pēc tam automātiski atjaunots un joprojām ir spēkā.</w:t>
      </w:r>
    </w:p>
    <w:p>
      <w:pPr>
        <w:pStyle w:val="ManualConsidrant"/>
        <w:rPr>
          <w:noProof/>
        </w:rPr>
      </w:pPr>
      <w:r>
        <w:t>(2)</w:t>
      </w:r>
      <w:r>
        <w:tab/>
      </w:r>
      <w:r>
        <w:rPr>
          <w:noProof/>
        </w:rPr>
        <w:t>Nolīguma iepriekšējā protokola darbības termiņš ir beidzies 2017. gada 23. novembrī.</w:t>
      </w:r>
    </w:p>
    <w:p>
      <w:pPr>
        <w:pStyle w:val="ManualConsidrant"/>
        <w:rPr>
          <w:noProof/>
        </w:rPr>
      </w:pPr>
      <w:r>
        <w:t>(3)</w:t>
      </w:r>
      <w:r>
        <w:tab/>
      </w:r>
      <w:r>
        <w:rPr>
          <w:noProof/>
        </w:rPr>
        <w:t>Komisija Eiropas Savienības vārdā ir risinājusi sarunas par jaunu nolīguma īstenošanas protokolu (“protokols”). Šo sarunu iznākumā šāds protokols tika parafēts 2018. gada 15. novembrī.</w:t>
      </w:r>
    </w:p>
    <w:p>
      <w:pPr>
        <w:pStyle w:val="ManualConsidrant"/>
        <w:rPr>
          <w:noProof/>
        </w:rPr>
      </w:pPr>
      <w:r>
        <w:t>(4)</w:t>
      </w:r>
      <w:r>
        <w:tab/>
      </w:r>
      <w:r>
        <w:rPr>
          <w:noProof/>
        </w:rPr>
        <w:t>Ievērojot Padomes Lēmumu (ES) 2019/...</w:t>
      </w:r>
      <w:r>
        <w:rPr>
          <w:rStyle w:val="FootnoteReference"/>
          <w:noProof/>
        </w:rPr>
        <w:footnoteReference w:id="6"/>
      </w:r>
      <w:r>
        <w:rPr>
          <w:noProof/>
        </w:rPr>
        <w:t>, protokols, ar kuru īsteno partnerattiecību nolīgumu zivsaimniecības nozarē starp Eiropas Kopienu un Gvinejas-Bisavas Republiku, ir parakstīts [</w:t>
      </w:r>
      <w:r>
        <w:rPr>
          <w:i/>
          <w:noProof/>
        </w:rPr>
        <w:t>ierakstīt datumu</w:t>
      </w:r>
      <w:r>
        <w:rPr>
          <w:noProof/>
        </w:rPr>
        <w:t>].</w:t>
      </w:r>
    </w:p>
    <w:p>
      <w:pPr>
        <w:pStyle w:val="ManualConsidrant"/>
        <w:rPr>
          <w:noProof/>
        </w:rPr>
      </w:pPr>
      <w:r>
        <w:t>(5)</w:t>
      </w:r>
      <w:r>
        <w:tab/>
      </w:r>
      <w:r>
        <w:rPr>
          <w:noProof/>
        </w:rPr>
        <w:t>Uz protokola piemērošanas laikposmu būtu jānosaka protokolā noteikto zvejas iespēju sadalījums dalībvalstīm.</w:t>
      </w:r>
    </w:p>
    <w:p>
      <w:pPr>
        <w:pStyle w:val="ManualConsidrant"/>
        <w:rPr>
          <w:noProof/>
        </w:rPr>
      </w:pPr>
      <w:r>
        <w:t>(6)</w:t>
      </w:r>
      <w:r>
        <w:tab/>
      </w:r>
      <w:r>
        <w:rPr>
          <w:noProof/>
        </w:rPr>
        <w:t>Lai nodrošinātu Savienības kuģu zvejas darbību raitu uzsākšanu, protokols tiks provizoriski piemērots no tā parakstīšanas dienas. Tāpēc šī regula būtu jāpiemēro no tās pašas dienas,</w:t>
      </w:r>
    </w:p>
    <w:p>
      <w:pPr>
        <w:rPr>
          <w:noProof/>
        </w:rPr>
      </w:pPr>
    </w:p>
    <w:p>
      <w:pPr>
        <w:pStyle w:val="Formuledadoption"/>
        <w:rPr>
          <w:noProof/>
        </w:rPr>
      </w:pPr>
      <w:r>
        <w:rPr>
          <w:noProof/>
        </w:rPr>
        <w:t>IR PIEŅĒMUSI ŠO REGULU.</w:t>
      </w:r>
    </w:p>
    <w:p>
      <w:pPr>
        <w:pStyle w:val="Titrearticle"/>
        <w:rPr>
          <w:noProof/>
        </w:rPr>
      </w:pPr>
      <w:r>
        <w:rPr>
          <w:noProof/>
        </w:rPr>
        <w:t>1. pants</w:t>
      </w:r>
    </w:p>
    <w:p>
      <w:pPr>
        <w:jc w:val="center"/>
        <w:rPr>
          <w:noProof/>
        </w:rPr>
      </w:pPr>
      <w:r>
        <w:rPr>
          <w:noProof/>
        </w:rPr>
        <w:t>Definīcijas</w:t>
      </w:r>
    </w:p>
    <w:p>
      <w:pPr>
        <w:rPr>
          <w:noProof/>
        </w:rPr>
      </w:pPr>
      <w:r>
        <w:rPr>
          <w:noProof/>
        </w:rPr>
        <w:t xml:space="preserve">Šajā regulā “tālu migrējošās sugas” ir 1982. gada Apvienoto Nāciju Organizācijas Jūras tiesību konvencijas I pielikumā uzskaitītās sugas, izņemot </w:t>
      </w:r>
      <w:r>
        <w:rPr>
          <w:i/>
          <w:noProof/>
        </w:rPr>
        <w:t>Alopiidae</w:t>
      </w:r>
      <w:r>
        <w:rPr>
          <w:noProof/>
        </w:rPr>
        <w:t xml:space="preserve"> un </w:t>
      </w:r>
      <w:r>
        <w:rPr>
          <w:i/>
          <w:noProof/>
        </w:rPr>
        <w:t>Sphyrnidae</w:t>
      </w:r>
      <w:r>
        <w:rPr>
          <w:noProof/>
        </w:rPr>
        <w:t xml:space="preserve"> dzimtas </w:t>
      </w:r>
      <w:r>
        <w:rPr>
          <w:noProof/>
        </w:rPr>
        <w:lastRenderedPageBreak/>
        <w:t xml:space="preserve">sugas un arī </w:t>
      </w:r>
      <w:r>
        <w:rPr>
          <w:i/>
          <w:noProof/>
        </w:rPr>
        <w:t>Cethorinus maximus, Rhincodon typus, Carcharodon carcharias, Carcharinus falciformis</w:t>
      </w:r>
      <w:r>
        <w:rPr>
          <w:noProof/>
        </w:rPr>
        <w:t xml:space="preserve"> un </w:t>
      </w:r>
      <w:r>
        <w:rPr>
          <w:i/>
          <w:noProof/>
        </w:rPr>
        <w:t>Carcharinus longimanus</w:t>
      </w:r>
      <w:r>
        <w:rPr>
          <w:noProof/>
        </w:rPr>
        <w:t>.</w:t>
      </w:r>
    </w:p>
    <w:p>
      <w:pPr>
        <w:rPr>
          <w:noProof/>
        </w:rPr>
      </w:pPr>
    </w:p>
    <w:p>
      <w:pPr>
        <w:jc w:val="center"/>
        <w:rPr>
          <w:noProof/>
        </w:rPr>
      </w:pPr>
      <w:r>
        <w:rPr>
          <w:noProof/>
        </w:rPr>
        <w:t>2. pants</w:t>
      </w:r>
    </w:p>
    <w:p>
      <w:pPr>
        <w:jc w:val="center"/>
        <w:rPr>
          <w:noProof/>
        </w:rPr>
      </w:pPr>
      <w:r>
        <w:rPr>
          <w:noProof/>
        </w:rPr>
        <w:t>Zvejas iespējas</w:t>
      </w:r>
    </w:p>
    <w:p>
      <w:pPr>
        <w:rPr>
          <w:noProof/>
        </w:rPr>
      </w:pPr>
      <w:r>
        <w:rPr>
          <w:noProof/>
        </w:rPr>
        <w:t>Zvejas iespējas, kas noteiktas ar protokolu, ar kuru īsteno partnerattiecību nolīgumu zivsaimniecības nozarē starp Eiropas Kopienu un Gvinejas-Bisavas Republiku (2019–2024) (“protokols”), dalībvalstīm iedala saskaņā ar 3. un 4. pantu.</w:t>
      </w:r>
    </w:p>
    <w:p>
      <w:pPr>
        <w:rPr>
          <w:noProof/>
        </w:rPr>
      </w:pPr>
    </w:p>
    <w:p>
      <w:pPr>
        <w:jc w:val="center"/>
        <w:rPr>
          <w:noProof/>
        </w:rPr>
      </w:pPr>
      <w:r>
        <w:rPr>
          <w:noProof/>
        </w:rPr>
        <w:t>3. pants</w:t>
      </w:r>
    </w:p>
    <w:p>
      <w:pPr>
        <w:jc w:val="center"/>
        <w:rPr>
          <w:noProof/>
        </w:rPr>
      </w:pPr>
      <w:r>
        <w:rPr>
          <w:noProof/>
        </w:rPr>
        <w:t>Demersālās un mazās pelaģiskās sugas</w:t>
      </w:r>
    </w:p>
    <w:p>
      <w:pPr>
        <w:rPr>
          <w:noProof/>
        </w:rPr>
      </w:pPr>
      <w:r>
        <w:rPr>
          <w:noProof/>
        </w:rPr>
        <w:t>Demersālo sugu un mazo pelaģisko sugu zvejas iespēju sadalījums dalībvalstīm ir šāds:</w:t>
      </w:r>
    </w:p>
    <w:p>
      <w:pPr>
        <w:rPr>
          <w:noProof/>
        </w:rPr>
      </w:pPr>
    </w:p>
    <w:p>
      <w:pPr>
        <w:pStyle w:val="umPar1"/>
        <w:numPr>
          <w:ilvl w:val="0"/>
          <w:numId w:val="0"/>
        </w:numPr>
        <w:rPr>
          <w:noProof/>
        </w:rPr>
      </w:pPr>
      <w:r>
        <w:rPr>
          <w:noProof/>
        </w:rPr>
        <w:t>1) pirmajā un otrajā protokola piemērošanas gadā izsakot ar zvejas piepūli (reģistrēto bruto tilpību jeb GRT)</w:t>
      </w:r>
    </w:p>
    <w:p>
      <w:pPr>
        <w:pStyle w:val="Point1"/>
        <w:rPr>
          <w:noProof/>
        </w:rPr>
      </w:pPr>
      <w:r>
        <w:rPr>
          <w:noProof/>
        </w:rPr>
        <w:t>a) garneļu saldētājtraleriem:</w:t>
      </w:r>
    </w:p>
    <w:p>
      <w:pPr>
        <w:rPr>
          <w:noProof/>
        </w:rPr>
      </w:pPr>
      <w:r>
        <w:rPr>
          <w:noProof/>
        </w:rPr>
        <w:t>Spānija</w:t>
      </w:r>
      <w:r>
        <w:rPr>
          <w:noProof/>
        </w:rPr>
        <w:tab/>
      </w:r>
      <w:r>
        <w:rPr>
          <w:noProof/>
        </w:rPr>
        <w:tab/>
        <w:t>2500 GRT</w:t>
      </w:r>
    </w:p>
    <w:p>
      <w:pPr>
        <w:rPr>
          <w:noProof/>
        </w:rPr>
      </w:pPr>
      <w:r>
        <w:rPr>
          <w:noProof/>
        </w:rPr>
        <w:t>Grieķija</w:t>
      </w:r>
      <w:r>
        <w:rPr>
          <w:noProof/>
        </w:rPr>
        <w:tab/>
        <w:t>140 GRT</w:t>
      </w:r>
    </w:p>
    <w:p>
      <w:pPr>
        <w:rPr>
          <w:noProof/>
        </w:rPr>
      </w:pPr>
      <w:r>
        <w:rPr>
          <w:noProof/>
        </w:rPr>
        <w:t>Portugāle</w:t>
      </w:r>
      <w:r>
        <w:rPr>
          <w:noProof/>
        </w:rPr>
        <w:tab/>
        <w:t>1060 GRT</w:t>
      </w:r>
    </w:p>
    <w:p>
      <w:pPr>
        <w:rPr>
          <w:noProof/>
        </w:rPr>
      </w:pPr>
    </w:p>
    <w:p>
      <w:pPr>
        <w:pStyle w:val="Point1"/>
        <w:rPr>
          <w:noProof/>
        </w:rPr>
      </w:pPr>
      <w:r>
        <w:rPr>
          <w:noProof/>
        </w:rPr>
        <w:t>b) zivju un galvkāju saldētājtraleriem:</w:t>
      </w:r>
    </w:p>
    <w:p>
      <w:pPr>
        <w:rPr>
          <w:noProof/>
        </w:rPr>
      </w:pPr>
      <w:r>
        <w:rPr>
          <w:noProof/>
        </w:rPr>
        <w:t>Spānija</w:t>
      </w:r>
      <w:r>
        <w:rPr>
          <w:noProof/>
        </w:rPr>
        <w:tab/>
      </w:r>
      <w:r>
        <w:rPr>
          <w:noProof/>
        </w:rPr>
        <w:tab/>
        <w:t>2900 GRT</w:t>
      </w:r>
    </w:p>
    <w:p>
      <w:pPr>
        <w:rPr>
          <w:noProof/>
        </w:rPr>
      </w:pPr>
      <w:r>
        <w:rPr>
          <w:noProof/>
        </w:rPr>
        <w:t>Grieķija</w:t>
      </w:r>
      <w:r>
        <w:rPr>
          <w:noProof/>
        </w:rPr>
        <w:tab/>
        <w:t>225 GRT</w:t>
      </w:r>
    </w:p>
    <w:p>
      <w:pPr>
        <w:rPr>
          <w:noProof/>
        </w:rPr>
      </w:pPr>
      <w:r>
        <w:rPr>
          <w:noProof/>
        </w:rPr>
        <w:t>Itālija</w:t>
      </w:r>
      <w:r>
        <w:rPr>
          <w:noProof/>
        </w:rPr>
        <w:tab/>
      </w:r>
      <w:r>
        <w:rPr>
          <w:noProof/>
        </w:rPr>
        <w:tab/>
        <w:t>375 GRT</w:t>
      </w:r>
    </w:p>
    <w:p>
      <w:pPr>
        <w:pStyle w:val="Point1"/>
        <w:rPr>
          <w:noProof/>
        </w:rPr>
      </w:pPr>
      <w:r>
        <w:rPr>
          <w:noProof/>
        </w:rPr>
        <w:t>c) mazo pelaģisko sugu traleriem:</w:t>
      </w:r>
    </w:p>
    <w:p>
      <w:pPr>
        <w:rPr>
          <w:noProof/>
        </w:rPr>
      </w:pPr>
      <w:r>
        <w:rPr>
          <w:noProof/>
        </w:rPr>
        <w:t>Spānija</w:t>
      </w:r>
      <w:r>
        <w:rPr>
          <w:noProof/>
        </w:rPr>
        <w:tab/>
      </w:r>
      <w:r>
        <w:rPr>
          <w:noProof/>
        </w:rPr>
        <w:tab/>
        <w:t>3500 GRT</w:t>
      </w:r>
    </w:p>
    <w:p>
      <w:pPr>
        <w:rPr>
          <w:noProof/>
        </w:rPr>
      </w:pPr>
      <w:r>
        <w:rPr>
          <w:noProof/>
        </w:rPr>
        <w:t>Portugāle</w:t>
      </w:r>
      <w:r>
        <w:rPr>
          <w:noProof/>
        </w:rPr>
        <w:tab/>
        <w:t>500 GRT</w:t>
      </w:r>
    </w:p>
    <w:p>
      <w:pPr>
        <w:rPr>
          <w:noProof/>
        </w:rPr>
      </w:pPr>
      <w:r>
        <w:rPr>
          <w:noProof/>
        </w:rPr>
        <w:t>Lietuva</w:t>
      </w:r>
      <w:r>
        <w:rPr>
          <w:noProof/>
        </w:rPr>
        <w:tab/>
        <w:t>5000 GRT</w:t>
      </w:r>
    </w:p>
    <w:p>
      <w:pPr>
        <w:rPr>
          <w:noProof/>
        </w:rPr>
      </w:pPr>
      <w:r>
        <w:rPr>
          <w:noProof/>
        </w:rPr>
        <w:t>Latvija</w:t>
      </w:r>
      <w:r>
        <w:rPr>
          <w:noProof/>
        </w:rPr>
        <w:tab/>
      </w:r>
      <w:r>
        <w:rPr>
          <w:noProof/>
        </w:rPr>
        <w:tab/>
        <w:t>5000 GRT</w:t>
      </w:r>
    </w:p>
    <w:p>
      <w:pPr>
        <w:rPr>
          <w:noProof/>
        </w:rPr>
      </w:pPr>
      <w:r>
        <w:rPr>
          <w:noProof/>
        </w:rPr>
        <w:t>Polija</w:t>
      </w:r>
      <w:r>
        <w:rPr>
          <w:noProof/>
        </w:rPr>
        <w:tab/>
      </w:r>
      <w:r>
        <w:rPr>
          <w:noProof/>
        </w:rPr>
        <w:tab/>
        <w:t>1000 GRT</w:t>
      </w:r>
    </w:p>
    <w:p>
      <w:pPr>
        <w:rPr>
          <w:noProof/>
        </w:rPr>
      </w:pPr>
    </w:p>
    <w:p>
      <w:pPr>
        <w:pStyle w:val="Point0"/>
        <w:rPr>
          <w:noProof/>
        </w:rPr>
      </w:pPr>
      <w:r>
        <w:rPr>
          <w:noProof/>
        </w:rPr>
        <w:t>2) no protokola piemērošanas trešā gada izsakot ar sugu nozvejas limitu (KPN)</w:t>
      </w:r>
    </w:p>
    <w:p>
      <w:pPr>
        <w:pStyle w:val="Point1"/>
        <w:rPr>
          <w:noProof/>
        </w:rPr>
      </w:pPr>
      <w:r>
        <w:rPr>
          <w:noProof/>
        </w:rPr>
        <w:t>a) garneļu saldētājtraleriem:</w:t>
      </w:r>
    </w:p>
    <w:p>
      <w:pPr>
        <w:rPr>
          <w:noProof/>
        </w:rPr>
      </w:pPr>
      <w:r>
        <w:rPr>
          <w:noProof/>
        </w:rPr>
        <w:t>Spānija</w:t>
      </w:r>
      <w:r>
        <w:rPr>
          <w:noProof/>
        </w:rPr>
        <w:tab/>
      </w:r>
      <w:r>
        <w:rPr>
          <w:noProof/>
        </w:rPr>
        <w:tab/>
        <w:t>1650 tonnas</w:t>
      </w:r>
    </w:p>
    <w:p>
      <w:pPr>
        <w:rPr>
          <w:noProof/>
        </w:rPr>
      </w:pPr>
      <w:r>
        <w:rPr>
          <w:noProof/>
        </w:rPr>
        <w:t>Grieķija</w:t>
      </w:r>
      <w:r>
        <w:rPr>
          <w:noProof/>
        </w:rPr>
        <w:tab/>
        <w:t>100 tonnas</w:t>
      </w:r>
    </w:p>
    <w:p>
      <w:pPr>
        <w:rPr>
          <w:noProof/>
        </w:rPr>
      </w:pPr>
      <w:r>
        <w:rPr>
          <w:noProof/>
        </w:rPr>
        <w:t>Portugāle</w:t>
      </w:r>
      <w:r>
        <w:rPr>
          <w:noProof/>
        </w:rPr>
        <w:tab/>
        <w:t>750 tonnas</w:t>
      </w:r>
    </w:p>
    <w:p>
      <w:pPr>
        <w:rPr>
          <w:noProof/>
        </w:rPr>
      </w:pPr>
    </w:p>
    <w:p>
      <w:pPr>
        <w:pStyle w:val="Point1"/>
        <w:rPr>
          <w:noProof/>
        </w:rPr>
      </w:pPr>
      <w:r>
        <w:rPr>
          <w:noProof/>
        </w:rPr>
        <w:lastRenderedPageBreak/>
        <w:t>b) zivju saldētājtraleriem:</w:t>
      </w:r>
    </w:p>
    <w:p>
      <w:pPr>
        <w:rPr>
          <w:noProof/>
        </w:rPr>
      </w:pPr>
      <w:r>
        <w:rPr>
          <w:noProof/>
        </w:rPr>
        <w:t>Spānija</w:t>
      </w:r>
      <w:r>
        <w:rPr>
          <w:noProof/>
        </w:rPr>
        <w:tab/>
      </w:r>
      <w:r>
        <w:rPr>
          <w:noProof/>
        </w:rPr>
        <w:tab/>
        <w:t>9500 tonnas</w:t>
      </w:r>
    </w:p>
    <w:p>
      <w:pPr>
        <w:rPr>
          <w:noProof/>
        </w:rPr>
      </w:pPr>
      <w:r>
        <w:rPr>
          <w:noProof/>
        </w:rPr>
        <w:t>Grieķija</w:t>
      </w:r>
      <w:r>
        <w:rPr>
          <w:noProof/>
        </w:rPr>
        <w:tab/>
        <w:t>500 tonnas</w:t>
      </w:r>
    </w:p>
    <w:p>
      <w:pPr>
        <w:rPr>
          <w:noProof/>
        </w:rPr>
      </w:pPr>
      <w:r>
        <w:rPr>
          <w:noProof/>
        </w:rPr>
        <w:t>Itālija</w:t>
      </w:r>
      <w:r>
        <w:rPr>
          <w:noProof/>
        </w:rPr>
        <w:tab/>
      </w:r>
      <w:r>
        <w:rPr>
          <w:noProof/>
        </w:rPr>
        <w:tab/>
        <w:t>1000 tonnas</w:t>
      </w:r>
    </w:p>
    <w:p>
      <w:pPr>
        <w:rPr>
          <w:noProof/>
        </w:rPr>
      </w:pPr>
    </w:p>
    <w:p>
      <w:pPr>
        <w:pStyle w:val="Point1"/>
        <w:rPr>
          <w:noProof/>
        </w:rPr>
      </w:pPr>
      <w:r>
        <w:rPr>
          <w:noProof/>
        </w:rPr>
        <w:t>c) galvkāju saldētājtraleriem:</w:t>
      </w:r>
    </w:p>
    <w:p>
      <w:pPr>
        <w:rPr>
          <w:noProof/>
        </w:rPr>
      </w:pPr>
      <w:r>
        <w:rPr>
          <w:noProof/>
        </w:rPr>
        <w:t>Spānija</w:t>
      </w:r>
      <w:r>
        <w:rPr>
          <w:noProof/>
        </w:rPr>
        <w:tab/>
      </w:r>
      <w:r>
        <w:rPr>
          <w:noProof/>
        </w:rPr>
        <w:tab/>
        <w:t>1200 tonnas</w:t>
      </w:r>
    </w:p>
    <w:p>
      <w:pPr>
        <w:rPr>
          <w:noProof/>
        </w:rPr>
      </w:pPr>
      <w:r>
        <w:rPr>
          <w:noProof/>
        </w:rPr>
        <w:t>Grieķija</w:t>
      </w:r>
      <w:r>
        <w:rPr>
          <w:noProof/>
        </w:rPr>
        <w:tab/>
        <w:t>150 tonnas</w:t>
      </w:r>
    </w:p>
    <w:p>
      <w:pPr>
        <w:rPr>
          <w:noProof/>
        </w:rPr>
      </w:pPr>
      <w:r>
        <w:rPr>
          <w:noProof/>
        </w:rPr>
        <w:t>Itālija</w:t>
      </w:r>
      <w:r>
        <w:rPr>
          <w:noProof/>
        </w:rPr>
        <w:tab/>
      </w:r>
      <w:r>
        <w:rPr>
          <w:noProof/>
        </w:rPr>
        <w:tab/>
        <w:t>150 tonnas</w:t>
      </w:r>
    </w:p>
    <w:p>
      <w:pPr>
        <w:rPr>
          <w:noProof/>
        </w:rPr>
      </w:pPr>
    </w:p>
    <w:p>
      <w:pPr>
        <w:pStyle w:val="Point1"/>
        <w:rPr>
          <w:noProof/>
        </w:rPr>
      </w:pPr>
      <w:r>
        <w:rPr>
          <w:noProof/>
        </w:rPr>
        <w:t>d) mazo pelaģisko sugu traleriem:</w:t>
      </w:r>
    </w:p>
    <w:p>
      <w:pPr>
        <w:rPr>
          <w:noProof/>
        </w:rPr>
      </w:pPr>
      <w:r>
        <w:rPr>
          <w:noProof/>
        </w:rPr>
        <w:t>Spānija</w:t>
      </w:r>
      <w:r>
        <w:rPr>
          <w:noProof/>
        </w:rPr>
        <w:tab/>
      </w:r>
      <w:r>
        <w:rPr>
          <w:noProof/>
        </w:rPr>
        <w:tab/>
        <w:t>3900 tonnas</w:t>
      </w:r>
    </w:p>
    <w:p>
      <w:pPr>
        <w:rPr>
          <w:noProof/>
        </w:rPr>
      </w:pPr>
      <w:r>
        <w:rPr>
          <w:noProof/>
        </w:rPr>
        <w:t>Portugāle</w:t>
      </w:r>
      <w:r>
        <w:rPr>
          <w:noProof/>
        </w:rPr>
        <w:tab/>
        <w:t>700 tonnas</w:t>
      </w:r>
    </w:p>
    <w:p>
      <w:pPr>
        <w:rPr>
          <w:noProof/>
        </w:rPr>
      </w:pPr>
      <w:r>
        <w:rPr>
          <w:noProof/>
        </w:rPr>
        <w:t>Lietuva</w:t>
      </w:r>
      <w:r>
        <w:rPr>
          <w:noProof/>
        </w:rPr>
        <w:tab/>
        <w:t>6000 tonnas</w:t>
      </w:r>
    </w:p>
    <w:p>
      <w:pPr>
        <w:rPr>
          <w:noProof/>
        </w:rPr>
      </w:pPr>
      <w:r>
        <w:rPr>
          <w:noProof/>
        </w:rPr>
        <w:t>Latvija</w:t>
      </w:r>
      <w:r>
        <w:rPr>
          <w:noProof/>
        </w:rPr>
        <w:tab/>
      </w:r>
      <w:r>
        <w:rPr>
          <w:noProof/>
        </w:rPr>
        <w:tab/>
        <w:t>6000 tonnas</w:t>
      </w:r>
    </w:p>
    <w:p>
      <w:pPr>
        <w:rPr>
          <w:noProof/>
        </w:rPr>
      </w:pPr>
      <w:r>
        <w:rPr>
          <w:noProof/>
        </w:rPr>
        <w:t>Polija</w:t>
      </w:r>
      <w:r>
        <w:rPr>
          <w:noProof/>
        </w:rPr>
        <w:tab/>
      </w:r>
      <w:r>
        <w:rPr>
          <w:noProof/>
        </w:rPr>
        <w:tab/>
        <w:t>1400 tonnas</w:t>
      </w:r>
    </w:p>
    <w:p>
      <w:pPr>
        <w:rPr>
          <w:noProof/>
        </w:rPr>
      </w:pPr>
    </w:p>
    <w:p>
      <w:pPr>
        <w:jc w:val="center"/>
        <w:rPr>
          <w:noProof/>
        </w:rPr>
      </w:pPr>
      <w:r>
        <w:rPr>
          <w:noProof/>
        </w:rPr>
        <w:t>4. pants</w:t>
      </w:r>
    </w:p>
    <w:p>
      <w:pPr>
        <w:jc w:val="center"/>
        <w:rPr>
          <w:noProof/>
        </w:rPr>
      </w:pPr>
      <w:r>
        <w:rPr>
          <w:noProof/>
        </w:rPr>
        <w:t>Tālu migrējošās sugas</w:t>
      </w:r>
    </w:p>
    <w:p>
      <w:pPr>
        <w:rPr>
          <w:noProof/>
        </w:rPr>
      </w:pPr>
    </w:p>
    <w:p>
      <w:pPr>
        <w:rPr>
          <w:noProof/>
        </w:rPr>
      </w:pPr>
      <w:r>
        <w:rPr>
          <w:noProof/>
        </w:rPr>
        <w:t>Tālu migrējošo sugu zvejas iespēju sadalījums ir šāds:</w:t>
      </w:r>
    </w:p>
    <w:p>
      <w:pPr>
        <w:rPr>
          <w:noProof/>
        </w:rPr>
      </w:pPr>
    </w:p>
    <w:p>
      <w:pPr>
        <w:pStyle w:val="Point1"/>
        <w:rPr>
          <w:noProof/>
        </w:rPr>
      </w:pPr>
      <w:r>
        <w:rPr>
          <w:noProof/>
        </w:rPr>
        <w:t>a) tunzivju saldētājseineri un kuģi zvejai ar dreifējošām āķu jedām:</w:t>
      </w:r>
    </w:p>
    <w:p>
      <w:pPr>
        <w:rPr>
          <w:noProof/>
        </w:rPr>
      </w:pPr>
      <w:r>
        <w:rPr>
          <w:noProof/>
        </w:rPr>
        <w:t>Spānija</w:t>
      </w:r>
      <w:r>
        <w:rPr>
          <w:noProof/>
        </w:rPr>
        <w:tab/>
      </w:r>
      <w:r>
        <w:rPr>
          <w:noProof/>
        </w:rPr>
        <w:tab/>
        <w:t>14</w:t>
      </w:r>
      <w:r>
        <w:rPr>
          <w:noProof/>
        </w:rPr>
        <w:tab/>
        <w:t>kuģi</w:t>
      </w:r>
    </w:p>
    <w:p>
      <w:pPr>
        <w:rPr>
          <w:noProof/>
        </w:rPr>
      </w:pPr>
      <w:r>
        <w:rPr>
          <w:noProof/>
        </w:rPr>
        <w:t xml:space="preserve">Francija   </w:t>
      </w:r>
      <w:r>
        <w:rPr>
          <w:noProof/>
        </w:rPr>
        <w:tab/>
        <w:t>12</w:t>
      </w:r>
      <w:r>
        <w:rPr>
          <w:noProof/>
        </w:rPr>
        <w:tab/>
        <w:t>kuģi</w:t>
      </w:r>
    </w:p>
    <w:p>
      <w:pPr>
        <w:rPr>
          <w:noProof/>
        </w:rPr>
      </w:pPr>
      <w:r>
        <w:rPr>
          <w:noProof/>
        </w:rPr>
        <w:t>Portugāle</w:t>
      </w:r>
      <w:r>
        <w:rPr>
          <w:noProof/>
        </w:rPr>
        <w:tab/>
        <w:t>2</w:t>
      </w:r>
      <w:r>
        <w:rPr>
          <w:noProof/>
        </w:rPr>
        <w:tab/>
        <w:t>kuģi</w:t>
      </w:r>
    </w:p>
    <w:p>
      <w:pPr>
        <w:rPr>
          <w:noProof/>
        </w:rPr>
      </w:pPr>
    </w:p>
    <w:p>
      <w:pPr>
        <w:pStyle w:val="Point1"/>
        <w:rPr>
          <w:noProof/>
        </w:rPr>
      </w:pPr>
      <w:r>
        <w:rPr>
          <w:noProof/>
        </w:rPr>
        <w:t>b) kuģi tunzivju zvejai ar makšķerrīkiem:</w:t>
      </w:r>
    </w:p>
    <w:p>
      <w:pPr>
        <w:rPr>
          <w:noProof/>
        </w:rPr>
      </w:pPr>
      <w:r>
        <w:rPr>
          <w:noProof/>
        </w:rPr>
        <w:t>Spānija</w:t>
      </w:r>
      <w:r>
        <w:rPr>
          <w:noProof/>
        </w:rPr>
        <w:tab/>
      </w:r>
      <w:r>
        <w:rPr>
          <w:noProof/>
        </w:rPr>
        <w:tab/>
        <w:t>10</w:t>
      </w:r>
      <w:r>
        <w:rPr>
          <w:noProof/>
        </w:rPr>
        <w:tab/>
        <w:t>kuģi</w:t>
      </w:r>
    </w:p>
    <w:p>
      <w:pPr>
        <w:rPr>
          <w:noProof/>
        </w:rPr>
      </w:pPr>
      <w:r>
        <w:rPr>
          <w:noProof/>
        </w:rPr>
        <w:t xml:space="preserve">Francija </w:t>
      </w:r>
      <w:r>
        <w:rPr>
          <w:noProof/>
        </w:rPr>
        <w:tab/>
        <w:t>3</w:t>
      </w:r>
      <w:r>
        <w:rPr>
          <w:noProof/>
        </w:rPr>
        <w:tab/>
        <w:t>kuģi</w:t>
      </w:r>
    </w:p>
    <w:p>
      <w:pPr>
        <w:rPr>
          <w:noProof/>
        </w:rPr>
      </w:pPr>
    </w:p>
    <w:p>
      <w:pPr>
        <w:pStyle w:val="Titrearticle"/>
        <w:rPr>
          <w:noProof/>
        </w:rPr>
      </w:pPr>
      <w:r>
        <w:rPr>
          <w:noProof/>
        </w:rPr>
        <w:t>5. pants</w:t>
      </w:r>
    </w:p>
    <w:p>
      <w:pPr>
        <w:rPr>
          <w:noProof/>
        </w:rPr>
      </w:pPr>
      <w:r>
        <w:rPr>
          <w:noProof/>
        </w:rPr>
        <w:t xml:space="preserve">Šī regula stājas spēkā nākamajā dienā pēc tās publicēšanas </w:t>
      </w:r>
      <w:r>
        <w:rPr>
          <w:i/>
          <w:noProof/>
        </w:rPr>
        <w:t>Eiropas Savienības Oficiālajā Vēstnesī</w:t>
      </w:r>
      <w:r>
        <w:rPr>
          <w:noProof/>
        </w:rPr>
        <w:t>.</w:t>
      </w:r>
    </w:p>
    <w:p>
      <w:pPr>
        <w:rPr>
          <w:noProof/>
        </w:rPr>
      </w:pPr>
      <w:r>
        <w:rPr>
          <w:noProof/>
        </w:rPr>
        <w:t>To piemēro no [</w:t>
      </w:r>
      <w:r>
        <w:rPr>
          <w:i/>
          <w:noProof/>
          <w:highlight w:val="yellow"/>
        </w:rPr>
        <w:t>ierakstīt protokola parakstīšanas dienu</w:t>
      </w:r>
      <w:r>
        <w:rPr>
          <w:noProof/>
        </w:rPr>
        <w:t>].</w:t>
      </w:r>
    </w:p>
    <w:p>
      <w:pPr>
        <w:rPr>
          <w:noProof/>
        </w:rPr>
      </w:pPr>
    </w:p>
    <w:p>
      <w:pPr>
        <w:rPr>
          <w:noProof/>
        </w:rPr>
      </w:pPr>
      <w:r>
        <w:rPr>
          <w:noProof/>
        </w:rPr>
        <w:t>Šī regula uzliek saistības kopumā un ir tieši piemērojama visās dalībvalstīs.</w:t>
      </w:r>
    </w:p>
    <w:p>
      <w:pPr>
        <w:rPr>
          <w:noProof/>
        </w:rPr>
      </w:pPr>
    </w:p>
    <w:p>
      <w:pPr>
        <w:pStyle w:val="Fait"/>
        <w:rPr>
          <w:noProof/>
        </w:rPr>
      </w:pPr>
      <w:r>
        <w:t>Briselē,</w:t>
      </w:r>
    </w:p>
    <w:p>
      <w:pPr>
        <w:pStyle w:val="Institutionquisigne"/>
        <w:rPr>
          <w:noProof/>
        </w:rPr>
      </w:pPr>
      <w:r>
        <w:rPr>
          <w:noProof/>
        </w:rPr>
        <w:tab/>
        <w:t>Padomes vārdā –</w:t>
      </w:r>
    </w:p>
    <w:p>
      <w:pPr>
        <w:pStyle w:val="Personnequisigne"/>
        <w:keepNext/>
        <w:rPr>
          <w:noProof/>
        </w:rPr>
      </w:pPr>
      <w:r>
        <w:rPr>
          <w:noProof/>
        </w:rPr>
        <w:tab/>
        <w:t>priekšsēdētājs</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tab/>
        <w:t>Pieņemtas Vides padomē 2017. gada 28. februārī.</w:t>
      </w:r>
    </w:p>
  </w:footnote>
  <w:footnote w:id="2">
    <w:p>
      <w:pPr>
        <w:pStyle w:val="FootnoteText"/>
        <w:rPr>
          <w:lang w:val="nb-NO"/>
        </w:rPr>
      </w:pPr>
      <w:r>
        <w:rPr>
          <w:rStyle w:val="FootnoteReference"/>
        </w:rPr>
        <w:footnoteRef/>
      </w:r>
      <w:r>
        <w:tab/>
        <w:t>OV L 342, 17.12.2007., 5. lpp.</w:t>
      </w:r>
    </w:p>
  </w:footnote>
  <w:footnote w:id="3">
    <w:p>
      <w:pPr>
        <w:pStyle w:val="FootnoteText"/>
        <w:rPr>
          <w:lang w:val="nb-NO"/>
        </w:rPr>
      </w:pPr>
      <w:r>
        <w:rPr>
          <w:rStyle w:val="FootnoteReference"/>
        </w:rPr>
        <w:footnoteRef/>
      </w:r>
      <w:r>
        <w:tab/>
        <w:t>OV L 354, 28.12.2013., 22. lpp.</w:t>
      </w:r>
    </w:p>
  </w:footnote>
  <w:footnote w:id="4">
    <w:p>
      <w:pPr>
        <w:pStyle w:val="FootnoteText"/>
        <w:ind w:left="0" w:firstLine="0"/>
        <w:rPr>
          <w:lang w:val="nb-NO"/>
        </w:rPr>
      </w:pPr>
      <w:r>
        <w:rPr>
          <w:rStyle w:val="FootnoteReference"/>
        </w:rPr>
        <w:footnoteRef/>
      </w:r>
      <w:r>
        <w:tab/>
        <w:t>Padomes 2008. gada 17. marta Regula (EK) Nr. 241/2008 par to, lai noslēgtu Partnerattiecību nolīgumu zivsaimniecības nozarē starp Eiropas Kopienu un Gvinejas-Bisavas Republiku (OV L 75, 18.3.2008., 49. lpp.).</w:t>
      </w:r>
    </w:p>
  </w:footnote>
  <w:footnote w:id="5">
    <w:p>
      <w:pPr>
        <w:pStyle w:val="FootnoteText"/>
        <w:rPr>
          <w:lang w:val="nb-NO"/>
        </w:rPr>
      </w:pPr>
      <w:r>
        <w:rPr>
          <w:rStyle w:val="FootnoteReference"/>
        </w:rPr>
        <w:footnoteRef/>
      </w:r>
      <w:r>
        <w:tab/>
        <w:t>OV L 342, 27.12.2007., 5. lpp.</w:t>
      </w:r>
    </w:p>
  </w:footnote>
  <w:footnote w:id="6">
    <w:p>
      <w:pPr>
        <w:pStyle w:val="FootnoteText"/>
        <w:ind w:left="0" w:firstLine="0"/>
        <w:rPr>
          <w:lang w:val="nb-NO"/>
        </w:rPr>
      </w:pPr>
      <w:r>
        <w:rPr>
          <w:rStyle w:val="FootnoteReference"/>
        </w:rPr>
        <w:footnoteRef/>
      </w:r>
      <w:r>
        <w:tab/>
        <w:t>Lēmums ... (OV L [...], [...], [...].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47A5E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2680D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E0A00B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A4049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8EC92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8768EA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68EBEA"/>
    <w:lvl w:ilvl="0">
      <w:start w:val="1"/>
      <w:numFmt w:val="decimal"/>
      <w:pStyle w:val="ListNumber"/>
      <w:lvlText w:val="%1."/>
      <w:lvlJc w:val="left"/>
      <w:pPr>
        <w:tabs>
          <w:tab w:val="num" w:pos="360"/>
        </w:tabs>
        <w:ind w:left="360" w:hanging="360"/>
      </w:pPr>
    </w:lvl>
  </w:abstractNum>
  <w:abstractNum w:abstractNumId="7">
    <w:nsid w:val="FFFFFF89"/>
    <w:multiLevelType w:val="singleLevel"/>
    <w:tmpl w:val="0BBC8BD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B653DE"/>
    <w:multiLevelType w:val="hybridMultilevel"/>
    <w:tmpl w:val="0C22E1B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CA60E3A"/>
    <w:multiLevelType w:val="hybridMultilevel"/>
    <w:tmpl w:val="BD783B18"/>
    <w:lvl w:ilvl="0" w:tplc="B3FC74E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23"/>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4"/>
  </w:num>
  <w:num w:numId="16">
    <w:abstractNumId w:val="22"/>
  </w:num>
  <w:num w:numId="17">
    <w:abstractNumId w:val="13"/>
  </w:num>
  <w:num w:numId="18">
    <w:abstractNumId w:val="15"/>
  </w:num>
  <w:num w:numId="19">
    <w:abstractNumId w:val="9"/>
  </w:num>
  <w:num w:numId="20">
    <w:abstractNumId w:val="21"/>
  </w:num>
  <w:num w:numId="21">
    <w:abstractNumId w:val="8"/>
  </w:num>
  <w:num w:numId="22">
    <w:abstractNumId w:val="16"/>
  </w:num>
  <w:num w:numId="23">
    <w:abstractNumId w:val="18"/>
  </w:num>
  <w:num w:numId="24">
    <w:abstractNumId w:val="19"/>
  </w:num>
  <w:num w:numId="25">
    <w:abstractNumId w:val="12"/>
  </w:num>
  <w:num w:numId="26">
    <w:abstractNumId w:val="17"/>
  </w:num>
  <w:num w:numId="27">
    <w:abstractNumId w:val="23"/>
  </w:num>
  <w:num w:numId="28">
    <w:abstractNumId w:val="10"/>
  </w:num>
  <w:num w:numId="29">
    <w:abstractNumId w:val="11"/>
  </w:num>
  <w:num w:numId="30">
    <w:abstractNumId w:val="14"/>
    <w:lvlOverride w:ilvl="0">
      <w:startOverride w:val="1"/>
    </w:lvlOverride>
  </w:num>
  <w:num w:numId="31">
    <w:abstractNumId w:val="20"/>
  </w:num>
  <w:num w:numId="32">
    <w:abstractNumId w:val="14"/>
  </w:num>
  <w:num w:numId="33">
    <w:abstractNumId w:val="22"/>
  </w:num>
  <w:num w:numId="34">
    <w:abstractNumId w:val="13"/>
  </w:num>
  <w:num w:numId="35">
    <w:abstractNumId w:val="15"/>
  </w:num>
  <w:num w:numId="36">
    <w:abstractNumId w:val="9"/>
  </w:num>
  <w:num w:numId="37">
    <w:abstractNumId w:val="21"/>
  </w:num>
  <w:num w:numId="38">
    <w:abstractNumId w:val="8"/>
  </w:num>
  <w:num w:numId="39">
    <w:abstractNumId w:val="16"/>
  </w:num>
  <w:num w:numId="40">
    <w:abstractNumId w:val="18"/>
  </w:num>
  <w:num w:numId="41">
    <w:abstractNumId w:val="19"/>
  </w:num>
  <w:num w:numId="42">
    <w:abstractNumId w:val="12"/>
  </w:num>
  <w:num w:numId="43">
    <w:abstractNumId w:val="17"/>
  </w:num>
  <w:num w:numId="44">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09:22:4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01CA98A3-AE16-4269-9B20-5E6275D42238"/>
    <w:docVar w:name="LW_COVERPAGE_TYPE" w:val="1"/>
    <w:docVar w:name="LW_CROSSREFERENCE" w:val="&lt;UNUSED&gt;"/>
    <w:docVar w:name="LW_DocType" w:val="COM"/>
    <w:docVar w:name="LW_EMISSION" w:val="10.4.2019"/>
    <w:docVar w:name="LW_EMISSION_ISODATE" w:val="2019-04-10"/>
    <w:docVar w:name="LW_EMISSION_LOCATION" w:val="BRX"/>
    <w:docVar w:name="LW_EMISSION_PREFIX" w:val="Briselē, "/>
    <w:docVar w:name="LW_EMISSION_SUFFIX" w:val="."/>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092"/>
    <w:docVar w:name="LW_REF.II.NEW.CP_YEAR" w:val="2019"/>
    <w:docVar w:name="LW_REF.INST.NEW" w:val="COM"/>
    <w:docVar w:name="LW_REF.INST.NEW_ADOPTED" w:val="final"/>
    <w:docVar w:name="LW_REF.INST.NEW_TEXT" w:val="(2019) 1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zvejas iesp\u275?ju iedal\u299?\u353?anu saska\u326?\u257? ar protokolu, ar kuru \u299?steno partnerattiec\u299?bu nol\u299?gumu zivsaimniec\u299?bas nozar\u275? starp Eiropas Kopienu un Gvinejas-Bisavas Republiku (2019\u8211?2024)"/>
    <w:docVar w:name="LW_TYPE.DOC.CP" w:val="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umPar1">
    <w:name w:val="umPar 1"/>
    <w:basedOn w:val="NumPar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customStyle="1" w:styleId="umPar1">
    <w:name w:val="umPar 1"/>
    <w:basedOn w:val="NumPar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7F1FBC0-9BA7-492D-AE73-C4D82023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1001</Words>
  <Characters>6760</Characters>
  <Application>Microsoft Office Word</Application>
  <DocSecurity>0</DocSecurity>
  <Lines>177</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2019-02-19T18:10:00Z</cp:lastPrinted>
  <dcterms:created xsi:type="dcterms:W3CDTF">2019-04-02T12:30:00Z</dcterms:created>
  <dcterms:modified xsi:type="dcterms:W3CDTF">2019-04-04T07:22:00Z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