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5DE89C5E-E81E-4509-A087-6777EAC49B6C" style="width:450.75pt;height:489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PRIEDAS</w:t>
      </w:r>
    </w:p>
    <w:p>
      <w:pPr>
        <w:pStyle w:val="Pa35"/>
        <w:rPr>
          <w:rFonts w:ascii="Times New Roman" w:hAnsi="Times New Roman" w:cs="Times New Roman"/>
          <w:noProof/>
          <w:color w:val="000000"/>
          <w:sz w:val="23"/>
          <w:szCs w:val="23"/>
        </w:rPr>
      </w:pPr>
      <w:r>
        <w:rPr>
          <w:rStyle w:val="A13"/>
          <w:rFonts w:ascii="Times New Roman" w:hAnsi="Times New Roman"/>
          <w:noProof/>
          <w:sz w:val="23"/>
        </w:rPr>
        <w:t>TEISĖKŪROS PRIORITETŲ ĮGYVENDINIMAS</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Pateikta ir susitarta</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Galima greitai susitarti laikantis įprastų procedūrų</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Galima susitarti, jei visos ES institucijos parodys tvirtą politinį ryžtą</w:t>
            </w:r>
          </w:p>
        </w:tc>
      </w:tr>
    </w:tbl>
    <w:p>
      <w:pPr>
        <w:pStyle w:val="Pa35"/>
        <w:rPr>
          <w:rStyle w:val="A13"/>
          <w:rFonts w:ascii="Times New Roman" w:hAnsi="Times New Roman" w:cs="Times New Roman"/>
          <w:noProof/>
          <w:sz w:val="23"/>
          <w:szCs w:val="23"/>
        </w:rPr>
      </w:pPr>
    </w:p>
    <w:p>
      <w:pPr>
        <w:pStyle w:val="Pa35"/>
        <w:rPr>
          <w:rStyle w:val="A13"/>
          <w:rFonts w:ascii="Times New Roman" w:hAnsi="Times New Roman" w:cs="Times New Roman"/>
          <w:noProof/>
          <w:sz w:val="23"/>
          <w:szCs w:val="23"/>
        </w:rPr>
      </w:pPr>
      <w:r>
        <w:rPr>
          <w:rStyle w:val="A13"/>
          <w:rFonts w:ascii="Times New Roman" w:hAnsi="Times New Roman"/>
          <w:noProof/>
          <w:sz w:val="23"/>
        </w:rPr>
        <w:t>I) 2018 m. pranešime apie Sąjungos padėtį nurodytos iniciatyvos</w:t>
      </w:r>
      <w:r>
        <w:rPr>
          <w:rStyle w:val="FootnoteReference"/>
          <w:rFonts w:ascii="Times New Roman" w:hAnsi="Times New Roman"/>
          <w:b/>
          <w:noProof/>
          <w:color w:val="000000"/>
          <w:sz w:val="23"/>
        </w:rPr>
        <w:footnoteReference w:id="1"/>
      </w:r>
    </w:p>
    <w:p>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378"/>
        <w:gridCol w:w="1402"/>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Politikos sritis</w:t>
            </w:r>
          </w:p>
        </w:tc>
        <w:tc>
          <w:tcPr>
            <w:tcW w:w="2521" w:type="dxa"/>
            <w:vAlign w:val="center"/>
          </w:tcPr>
          <w:p>
            <w:pPr>
              <w:jc w:val="center"/>
              <w:rPr>
                <w:rFonts w:ascii="Times New Roman" w:hAnsi="Times New Roman" w:cs="Times New Roman"/>
                <w:b/>
                <w:noProof/>
              </w:rPr>
            </w:pPr>
            <w:r>
              <w:rPr>
                <w:rFonts w:ascii="Times New Roman" w:hAnsi="Times New Roman"/>
                <w:b/>
                <w:noProof/>
              </w:rPr>
              <w:t>Aprašymas</w:t>
            </w:r>
          </w:p>
        </w:tc>
        <w:tc>
          <w:tcPr>
            <w:tcW w:w="1378" w:type="dxa"/>
            <w:vAlign w:val="center"/>
          </w:tcPr>
          <w:p>
            <w:pPr>
              <w:jc w:val="center"/>
              <w:rPr>
                <w:rFonts w:ascii="Times New Roman" w:hAnsi="Times New Roman" w:cs="Times New Roman"/>
                <w:b/>
                <w:noProof/>
              </w:rPr>
            </w:pPr>
            <w:r>
              <w:rPr>
                <w:rFonts w:ascii="Times New Roman" w:hAnsi="Times New Roman"/>
                <w:b/>
                <w:noProof/>
              </w:rPr>
              <w:t>Europos Komisija</w:t>
            </w:r>
          </w:p>
        </w:tc>
        <w:tc>
          <w:tcPr>
            <w:tcW w:w="1276" w:type="dxa"/>
            <w:vAlign w:val="center"/>
          </w:tcPr>
          <w:p>
            <w:pPr>
              <w:jc w:val="center"/>
              <w:rPr>
                <w:rFonts w:ascii="Times New Roman" w:hAnsi="Times New Roman" w:cs="Times New Roman"/>
                <w:b/>
                <w:noProof/>
              </w:rPr>
            </w:pPr>
            <w:r>
              <w:rPr>
                <w:rFonts w:ascii="Times New Roman" w:hAnsi="Times New Roman"/>
                <w:b/>
                <w:noProof/>
              </w:rPr>
              <w:t>Europos Parlamentas</w:t>
            </w:r>
          </w:p>
        </w:tc>
        <w:tc>
          <w:tcPr>
            <w:tcW w:w="1146" w:type="dxa"/>
            <w:vAlign w:val="center"/>
          </w:tcPr>
          <w:p>
            <w:pPr>
              <w:jc w:val="center"/>
              <w:rPr>
                <w:rFonts w:ascii="Times New Roman" w:hAnsi="Times New Roman" w:cs="Times New Roman"/>
                <w:b/>
                <w:noProof/>
              </w:rPr>
            </w:pPr>
            <w:r>
              <w:rPr>
                <w:rFonts w:ascii="Times New Roman" w:hAnsi="Times New Roman"/>
                <w:b/>
                <w:noProof/>
              </w:rPr>
              <w:t>Europos Sąjungos Taryba</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Teroristinio turinio sklaidos internete prevencija</w:t>
            </w:r>
            <w:r>
              <w:rPr>
                <w:rStyle w:val="FootnoteReference"/>
                <w:rFonts w:ascii="Times New Roman" w:hAnsi="Times New Roman"/>
                <w:noProof/>
                <w:sz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2018 m. rugsėjo mėn.; Taryba savo įgaliojimus patvirtino 2018 m. gruodžio 6 d.; Europos Parlamentas turi patvirtinti derybų įgaliojimus, kad būtų galima pradėti trišales diskusijas.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Europos prokuratūros įgaliojimų išplėtimas, kad jie apimtų ir kovą su tarpvalstybiniu terorizmu</w:t>
            </w:r>
            <w:r>
              <w:rPr>
                <w:rStyle w:val="FootnoteReference"/>
                <w:rFonts w:ascii="Times New Roman" w:hAnsi="Times New Roman"/>
                <w:noProof/>
                <w:sz w:val="20"/>
              </w:rPr>
              <w:footnoteReference w:id="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2018 m. rugsėjo mėn.</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Pasiūlymas, kuriuo dėl tikrinimo procedūros, susijusios su asmens duomenų apsaugos taisyklių pažeidimais per Europos Parlamento rinkimus, iš dalies keičiamas reglamentas dėl partijų finansavimo</w:t>
            </w:r>
            <w:r>
              <w:rPr>
                <w:rStyle w:val="FootnoteReference"/>
                <w:rFonts w:ascii="Times New Roman" w:hAnsi="Times New Roman"/>
                <w:noProof/>
                <w:sz w:val="20"/>
              </w:rPr>
              <w:footnoteReference w:id="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2018 m. rugsėjo mėn.; teisėkūros institucijos susitarė; oficialus priėmimas 2019 m. kovo mėn.</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00B050"/>
            <w:vAlign w:val="center"/>
          </w:tcPr>
          <w:p>
            <w:pPr>
              <w:spacing w:before="180" w:after="180"/>
              <w:rPr>
                <w:rFonts w:ascii="Times New Roman" w:hAnsi="Times New Roman" w:cs="Times New Roman"/>
                <w:noProof/>
                <w:sz w:val="20"/>
                <w:szCs w:val="20"/>
              </w:rPr>
            </w:pPr>
          </w:p>
        </w:tc>
        <w:tc>
          <w:tcPr>
            <w:tcW w:w="1146" w:type="dxa"/>
            <w:shd w:val="clear" w:color="auto" w:fill="00B05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Europos sienų ir pakrančių apsaugos agentūros pajėgumų stiprinimas</w:t>
            </w:r>
            <w:r>
              <w:rPr>
                <w:rStyle w:val="FootnoteReference"/>
                <w:rFonts w:ascii="Times New Roman" w:hAnsi="Times New Roman"/>
                <w:noProof/>
                <w:sz w:val="20"/>
              </w:rPr>
              <w:footnoteReference w:id="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2018 m. rugsėjo mėn.; Taryba ir Europos Parlamentas patvirtino savo derybų įgaliojimus ir pradėjo tarpinstitucines diskusijas.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Europos kibernetinio saugumo pramonės, technologijų ir mokslinių tyrimų kompetencijos centras</w:t>
            </w:r>
            <w:r>
              <w:rPr>
                <w:rStyle w:val="FootnoteReference"/>
                <w:rFonts w:ascii="Times New Roman" w:hAnsi="Times New Roman"/>
                <w:noProof/>
                <w:sz w:val="20"/>
              </w:rPr>
              <w:footnoteReference w:id="6"/>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2018 m. rugsėjo mėn.; Europos Parlamentas ir Taryba patvirtino savo derybų įgaliojimus ir pradėjo tarpinstitucines diskusijas.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bl>
    <w:p>
      <w:pPr>
        <w:pStyle w:val="Pa35"/>
        <w:rPr>
          <w:rStyle w:val="A13"/>
          <w:rFonts w:ascii="Times New Roman" w:hAnsi="Times New Roman" w:cs="Times New Roman"/>
          <w:noProof/>
          <w:color w:val="auto"/>
          <w:sz w:val="23"/>
          <w:szCs w:val="23"/>
        </w:rPr>
      </w:pPr>
    </w:p>
    <w:p>
      <w:pPr>
        <w:pStyle w:val="Pa35"/>
        <w:rPr>
          <w:rFonts w:ascii="Times New Roman" w:hAnsi="Times New Roman" w:cs="Times New Roman"/>
          <w:noProof/>
        </w:rPr>
      </w:pPr>
      <w:r>
        <w:rPr>
          <w:rStyle w:val="A13"/>
          <w:rFonts w:ascii="Times New Roman" w:hAnsi="Times New Roman"/>
          <w:noProof/>
          <w:color w:val="auto"/>
          <w:sz w:val="23"/>
        </w:rPr>
        <w:lastRenderedPageBreak/>
        <w:t>II) Prioritetai, dėl kurių susitarta Bendroje deklaracijoje</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402"/>
        <w:gridCol w:w="1146"/>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Politikos sritis</w:t>
            </w:r>
          </w:p>
        </w:tc>
        <w:tc>
          <w:tcPr>
            <w:tcW w:w="2521" w:type="dxa"/>
            <w:vAlign w:val="center"/>
          </w:tcPr>
          <w:p>
            <w:pPr>
              <w:jc w:val="center"/>
              <w:rPr>
                <w:rFonts w:ascii="Times New Roman" w:hAnsi="Times New Roman" w:cs="Times New Roman"/>
                <w:b/>
                <w:noProof/>
              </w:rPr>
            </w:pPr>
            <w:r>
              <w:rPr>
                <w:rFonts w:ascii="Times New Roman" w:hAnsi="Times New Roman"/>
                <w:b/>
                <w:noProof/>
              </w:rPr>
              <w:t>Aprašymas</w:t>
            </w:r>
          </w:p>
        </w:tc>
        <w:tc>
          <w:tcPr>
            <w:tcW w:w="1378" w:type="dxa"/>
            <w:vAlign w:val="center"/>
          </w:tcPr>
          <w:p>
            <w:pPr>
              <w:jc w:val="center"/>
              <w:rPr>
                <w:rFonts w:ascii="Times New Roman" w:hAnsi="Times New Roman" w:cs="Times New Roman"/>
                <w:b/>
                <w:noProof/>
              </w:rPr>
            </w:pPr>
            <w:r>
              <w:rPr>
                <w:rFonts w:ascii="Times New Roman" w:hAnsi="Times New Roman"/>
                <w:b/>
                <w:noProof/>
              </w:rPr>
              <w:t>Europos Komisija</w:t>
            </w:r>
          </w:p>
        </w:tc>
        <w:tc>
          <w:tcPr>
            <w:tcW w:w="1276" w:type="dxa"/>
            <w:vAlign w:val="center"/>
          </w:tcPr>
          <w:p>
            <w:pPr>
              <w:jc w:val="center"/>
              <w:rPr>
                <w:rFonts w:ascii="Times New Roman" w:hAnsi="Times New Roman" w:cs="Times New Roman"/>
                <w:b/>
                <w:noProof/>
              </w:rPr>
            </w:pPr>
            <w:r>
              <w:rPr>
                <w:rFonts w:ascii="Times New Roman" w:hAnsi="Times New Roman"/>
                <w:b/>
                <w:noProof/>
              </w:rPr>
              <w:t>Europos Parlamentas</w:t>
            </w:r>
          </w:p>
        </w:tc>
        <w:tc>
          <w:tcPr>
            <w:tcW w:w="1146" w:type="dxa"/>
            <w:vAlign w:val="center"/>
          </w:tcPr>
          <w:p>
            <w:pPr>
              <w:jc w:val="center"/>
              <w:rPr>
                <w:rFonts w:ascii="Times New Roman" w:hAnsi="Times New Roman" w:cs="Times New Roman"/>
                <w:b/>
                <w:noProof/>
              </w:rPr>
            </w:pPr>
            <w:r>
              <w:rPr>
                <w:rFonts w:ascii="Times New Roman" w:hAnsi="Times New Roman"/>
                <w:b/>
                <w:noProof/>
              </w:rPr>
              <w:t>Europos Sąjungos Taryba</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Europos kelionių informacijos ir leidimų sistema</w:t>
            </w:r>
            <w:r>
              <w:rPr>
                <w:rStyle w:val="FootnoteReference"/>
                <w:rFonts w:ascii="Times New Roman" w:hAnsi="Times New Roman"/>
                <w:noProof/>
                <w:sz w:val="20"/>
              </w:rPr>
              <w:footnoteReference w:id="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2016 m. lapkričio mėn.; teisėkūros institucijos susitarė; oficialus priėmimas 2018 m. rugsėjo mėn.</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Europos didelės apimties IT sistemų laisvės, saugumo ir teisingumo erdvėje operacijų valdymo agentūra</w:t>
            </w:r>
            <w:r>
              <w:rPr>
                <w:rStyle w:val="FootnoteReference"/>
                <w:rFonts w:ascii="Times New Roman" w:hAnsi="Times New Roman"/>
                <w:noProof/>
                <w:sz w:val="20"/>
              </w:rPr>
              <w:footnoteReference w:id="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2017 m. birželio mėn.; teisėkūros institucijos susitarė; oficialus priėmimas 2018 m. lapkričio mėn.</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Šengeno informacinės sistemos stiprinimas</w:t>
            </w:r>
            <w:r>
              <w:rPr>
                <w:rStyle w:val="FootnoteReference"/>
                <w:rFonts w:ascii="Times New Roman" w:hAnsi="Times New Roman"/>
                <w:noProof/>
                <w:sz w:val="20"/>
              </w:rPr>
              <w:footnoteReference w:id="1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2016 m. gruodžio mėn.; teisėkūros institucijos susitarė; oficialus priėmimas 2018 m. rudenį.</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Pinigų plovimas ar teroristų finansavimas</w:t>
            </w:r>
            <w:r>
              <w:rPr>
                <w:rStyle w:val="FootnoteReference"/>
                <w:rFonts w:ascii="Times New Roman" w:hAnsi="Times New Roman"/>
                <w:noProof/>
                <w:sz w:val="20"/>
              </w:rPr>
              <w:footnoteReference w:id="11"/>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2016 m. liepos mėn.; oficialus priėmimas 2018 m. gegužės mėn.</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Atvykimo ir išvykimo sistema</w:t>
            </w:r>
            <w:r>
              <w:rPr>
                <w:rStyle w:val="FootnoteReference"/>
                <w:rFonts w:ascii="Times New Roman" w:hAnsi="Times New Roman"/>
                <w:noProof/>
                <w:sz w:val="20"/>
              </w:rPr>
              <w:footnoteReference w:id="1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2016 m. balandžio mėn.; oficialus priėmimas 2017 m. lapkričio mėn.</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Ginklų įsigijimo ir laikymo kontrolė</w:t>
            </w:r>
            <w:r>
              <w:rPr>
                <w:rStyle w:val="FootnoteReference"/>
                <w:rFonts w:ascii="Times New Roman" w:hAnsi="Times New Roman"/>
                <w:noProof/>
                <w:sz w:val="20"/>
              </w:rPr>
              <w:footnoteReference w:id="1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2015 m. lapkričio mėn.; oficialus priėmimas 2017 m. gegužės mėn.</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Kovos su terorizmu direktyva</w:t>
            </w:r>
            <w:r>
              <w:rPr>
                <w:rStyle w:val="FootnoteReference"/>
                <w:rFonts w:ascii="Times New Roman" w:hAnsi="Times New Roman"/>
                <w:noProof/>
                <w:sz w:val="20"/>
              </w:rPr>
              <w:footnoteReference w:id="1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2015 m. gruodžio mėn.; oficialus priėmimas 2017 m. kovo mėn.</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Kibernetinio saugumo aktas</w:t>
            </w:r>
            <w:r>
              <w:rPr>
                <w:rStyle w:val="FootnoteReference"/>
                <w:rFonts w:ascii="Times New Roman" w:hAnsi="Times New Roman"/>
                <w:noProof/>
                <w:sz w:val="20"/>
              </w:rPr>
              <w:footnoteReference w:id="1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2017 m. rugsėjo mėn.; teisėkūros institucijos susitarė; oficialus priėmimas 2019 m. balandžio mėn.</w:t>
            </w:r>
          </w:p>
          <w:p>
            <w:pPr>
              <w:spacing w:before="180" w:after="180"/>
              <w:rPr>
                <w:rFonts w:ascii="Times New Roman" w:hAnsi="Times New Roman" w:cs="Times New Roman"/>
                <w:noProof/>
                <w:sz w:val="20"/>
                <w:szCs w:val="20"/>
              </w:rPr>
            </w:pP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Europos nuosprendžių registrų informacinė sistema</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2016 m. sausio mėn., papildyta 2017 m. birželio mėn.; oficialus priėmimas 2019 m. kovo mėn.</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ES saugumo, sienų ir migracijos valdymo informacinių sistemų sąveikumas</w:t>
            </w:r>
            <w:r>
              <w:rPr>
                <w:rStyle w:val="FootnoteReference"/>
                <w:rFonts w:ascii="Times New Roman" w:hAnsi="Times New Roman"/>
                <w:noProof/>
                <w:sz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2017 m. gruodžio mėn., iš dalies pakeista 2018 m. birželio mėn.; oficialus priėmimas 2019 m. balandžio mėn.</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Tarpvalstybinė teisėsaugos institucijų prieiga prie elektroninių įrodymų</w:t>
            </w:r>
            <w:r>
              <w:rPr>
                <w:rStyle w:val="FootnoteReference"/>
                <w:rFonts w:ascii="Times New Roman" w:hAnsi="Times New Roman"/>
                <w:noProof/>
                <w:sz w:val="20"/>
              </w:rPr>
              <w:footnoteReference w:id="1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2018 m. balandžio mėn.; Taryba patvirtino derybų įgaliojimus; Europos Parlamentas turi patvirtinti derybų įgaliojimus, kad būtų galima pradėti trišales diskusijas.</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Tarpvalstybinė teisėsaugos institucijų prieiga prie finansinių duomenų ir jų naudojimas</w:t>
            </w:r>
            <w:r>
              <w:rPr>
                <w:rStyle w:val="FootnoteReference"/>
                <w:rFonts w:ascii="Times New Roman" w:hAnsi="Times New Roman"/>
                <w:noProof/>
                <w:sz w:val="20"/>
              </w:rPr>
              <w:footnoteReference w:id="1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2018 m. balandžio mėn.; oficialus priėmimas 2019 m. balandžio mėn.</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EURODAC stiprinimas</w:t>
            </w:r>
            <w:r>
              <w:rPr>
                <w:rStyle w:val="FootnoteReference"/>
                <w:rFonts w:ascii="Times New Roman" w:hAnsi="Times New Roman"/>
                <w:noProof/>
                <w:sz w:val="20"/>
              </w:rPr>
              <w:footnoteReference w:id="2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Pasiūlyta 2016 m. gegužės mėn.; Europos Parlamentas ir Taryba turi užbaigti vykdomas derybas.</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rPr>
            </w:pPr>
          </w:p>
        </w:tc>
      </w:tr>
    </w:tbl>
    <w:p>
      <w:pPr>
        <w:rPr>
          <w:rFonts w:ascii="Times New Roman" w:hAnsi="Times New Roman" w:cs="Times New Roman"/>
          <w:noProof/>
        </w:rPr>
      </w:pPr>
    </w:p>
    <w:p>
      <w:pPr>
        <w:rPr>
          <w:rStyle w:val="A13"/>
          <w:rFonts w:ascii="Times New Roman" w:hAnsi="Times New Roman" w:cs="Times New Roman"/>
          <w:noProof/>
          <w:sz w:val="23"/>
          <w:szCs w:val="23"/>
        </w:rPr>
      </w:pPr>
      <w:r>
        <w:rPr>
          <w:noProof/>
        </w:rPr>
        <w:br w:type="page"/>
      </w:r>
    </w:p>
    <w:p>
      <w:pPr>
        <w:pStyle w:val="Pa35"/>
        <w:rPr>
          <w:rFonts w:ascii="Times New Roman" w:hAnsi="Times New Roman" w:cs="Times New Roman"/>
          <w:noProof/>
        </w:rPr>
      </w:pPr>
      <w:r>
        <w:rPr>
          <w:rStyle w:val="A13"/>
          <w:rFonts w:ascii="Times New Roman" w:hAnsi="Times New Roman"/>
          <w:noProof/>
          <w:sz w:val="23"/>
        </w:rPr>
        <w:t xml:space="preserve">III) </w:t>
      </w:r>
      <w:r>
        <w:rPr>
          <w:rStyle w:val="A13"/>
          <w:rFonts w:ascii="Times New Roman" w:hAnsi="Times New Roman"/>
          <w:noProof/>
          <w:color w:val="auto"/>
          <w:sz w:val="23"/>
        </w:rPr>
        <w:t>Kitos su saugumo sąjunga susijusios teisėkūros iniciatyvos, dėl kurių vyksta diskusijos</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402"/>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Politikos sritis</w:t>
            </w:r>
          </w:p>
        </w:tc>
        <w:tc>
          <w:tcPr>
            <w:tcW w:w="2521" w:type="dxa"/>
            <w:vAlign w:val="center"/>
          </w:tcPr>
          <w:p>
            <w:pPr>
              <w:jc w:val="center"/>
              <w:rPr>
                <w:rFonts w:ascii="Times New Roman" w:hAnsi="Times New Roman" w:cs="Times New Roman"/>
                <w:b/>
                <w:noProof/>
              </w:rPr>
            </w:pPr>
            <w:r>
              <w:rPr>
                <w:rFonts w:ascii="Times New Roman" w:hAnsi="Times New Roman"/>
                <w:b/>
                <w:noProof/>
              </w:rPr>
              <w:t>Aprašymas</w:t>
            </w:r>
          </w:p>
        </w:tc>
        <w:tc>
          <w:tcPr>
            <w:tcW w:w="1378" w:type="dxa"/>
            <w:vAlign w:val="center"/>
          </w:tcPr>
          <w:p>
            <w:pPr>
              <w:jc w:val="center"/>
              <w:rPr>
                <w:rFonts w:ascii="Times New Roman" w:hAnsi="Times New Roman" w:cs="Times New Roman"/>
                <w:b/>
                <w:noProof/>
              </w:rPr>
            </w:pPr>
            <w:r>
              <w:rPr>
                <w:rFonts w:ascii="Times New Roman" w:hAnsi="Times New Roman"/>
                <w:b/>
                <w:noProof/>
              </w:rPr>
              <w:t>Europos Komisija</w:t>
            </w:r>
          </w:p>
        </w:tc>
        <w:tc>
          <w:tcPr>
            <w:tcW w:w="1276" w:type="dxa"/>
            <w:vAlign w:val="center"/>
          </w:tcPr>
          <w:p>
            <w:pPr>
              <w:jc w:val="center"/>
              <w:rPr>
                <w:rFonts w:ascii="Times New Roman" w:hAnsi="Times New Roman" w:cs="Times New Roman"/>
                <w:b/>
                <w:noProof/>
              </w:rPr>
            </w:pPr>
            <w:r>
              <w:rPr>
                <w:rFonts w:ascii="Times New Roman" w:hAnsi="Times New Roman"/>
                <w:b/>
                <w:noProof/>
              </w:rPr>
              <w:t>Europos Parlamentas</w:t>
            </w:r>
          </w:p>
        </w:tc>
        <w:tc>
          <w:tcPr>
            <w:tcW w:w="1146" w:type="dxa"/>
            <w:vAlign w:val="center"/>
          </w:tcPr>
          <w:p>
            <w:pPr>
              <w:jc w:val="center"/>
              <w:rPr>
                <w:rFonts w:ascii="Times New Roman" w:hAnsi="Times New Roman" w:cs="Times New Roman"/>
                <w:b/>
                <w:noProof/>
              </w:rPr>
            </w:pPr>
            <w:r>
              <w:rPr>
                <w:rFonts w:ascii="Times New Roman" w:hAnsi="Times New Roman"/>
                <w:b/>
                <w:noProof/>
              </w:rPr>
              <w:t>Europos Sąjungos Taryba</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Kova su sukčiavimu negrynosiomis mokėjimo priemonėmis ir jų klastojimu</w:t>
            </w:r>
            <w:r>
              <w:rPr>
                <w:rStyle w:val="FootnoteReference"/>
                <w:rFonts w:ascii="Times New Roman" w:hAnsi="Times New Roman"/>
                <w:noProof/>
                <w:sz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Pasiūlyta 2017 m. rugsėjo mėn.; oficialus priėmimas 2019 m. balandžio mėn.</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Prekybos sprogstamųjų medžiagų pirmtakais ir jų naudojimo ribojimas</w:t>
            </w:r>
            <w:r>
              <w:rPr>
                <w:rStyle w:val="FootnoteReference"/>
                <w:rFonts w:ascii="Times New Roman" w:hAnsi="Times New Roman"/>
                <w:noProof/>
                <w:sz w:val="20"/>
              </w:rPr>
              <w:footnoteReference w:id="22"/>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Pasiūlyta 2018 m. balandžio mėn.; oficialus priėmimas 2019 m. balandžio mėn.</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Nacionalinių tapatybės kortelių ir teisę gyventi šalyje patvirtinančių dokumentų apsaugos priemonių gerinimas</w:t>
            </w:r>
            <w:r>
              <w:rPr>
                <w:rStyle w:val="FootnoteReference"/>
                <w:rFonts w:ascii="Times New Roman" w:hAnsi="Times New Roman"/>
                <w:noProof/>
                <w:sz w:val="20"/>
              </w:rPr>
              <w:footnoteReference w:id="23"/>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 xml:space="preserve">Pasiūlyta 2018 m. balandžio mėn.; Europos Parlamentas ir Taryba preliminarų susitarimą pasiekė 2019 m. vasario mėn., jis turi būti patvirtintas 2019 m. balandžio mėn. Europos Parlamento plenariniame posėdyje; po to – oficialus priėmimas. </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Vizų informacinės sistemos stiprinimas</w:t>
            </w:r>
            <w:r>
              <w:rPr>
                <w:rStyle w:val="FootnoteReference"/>
                <w:rFonts w:ascii="Times New Roman" w:hAnsi="Times New Roman"/>
                <w:noProof/>
                <w:sz w:val="20"/>
              </w:rPr>
              <w:footnoteReference w:id="24"/>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Pasiūlyta 2018 m. gegužės mėn.; Taryba savo įgaliojimus patvirtino 2018 m. gruodžio 19 d.; 2019 m. kovo 13 d. Europos Parlamentas balsavo dėl savo pranešimo ir taip užbaigė savo pirmąjį svarstymą. Trišalės teisėkūros institucijų derybos bus pradėtos prasidėjus naujai Europos Parlamento kadencijai.</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bl>
    <w:p>
      <w:pPr>
        <w:tabs>
          <w:tab w:val="left" w:pos="6345"/>
        </w:tabs>
        <w:rPr>
          <w:rFonts w:ascii="Times New Roman" w:hAnsi="Times New Roman" w:cs="Times New Roman"/>
          <w:noProof/>
          <w:sz w:val="2"/>
          <w:szCs w:val="2"/>
        </w:rPr>
      </w:pPr>
    </w:p>
    <w:p>
      <w:pPr>
        <w:tabs>
          <w:tab w:val="left" w:pos="6345"/>
        </w:tabs>
        <w:rPr>
          <w:rFonts w:ascii="Times New Roman" w:hAnsi="Times New Roman" w:cs="Times New Roman"/>
          <w:noProof/>
          <w:sz w:val="2"/>
          <w:szCs w:val="2"/>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https://ec.europa.eu/commission/sites/beta-political/files/soteu2018-speech_lt_0.pdf</w:t>
        </w:r>
      </w:hyperlink>
      <w:r>
        <w:rPr>
          <w:rFonts w:ascii="Times New Roman" w:hAnsi="Times New Roman"/>
        </w:rPr>
        <w:t xml:space="preserve">. Taip pat žr. Komisijos Pirmininko J.-C. Junckerio ketinimų raštą: </w:t>
      </w:r>
      <w:hyperlink r:id="rId2">
        <w:r>
          <w:rPr>
            <w:rStyle w:val="Hyperlink"/>
            <w:rFonts w:ascii="Times New Roman" w:hAnsi="Times New Roman"/>
          </w:rPr>
          <w:t>https://ec.europa.eu/commission/sites/beta-political/files/soteu2018-letter-of-intent_lt.pdf</w:t>
        </w:r>
      </w:hyperlink>
      <w:r>
        <w:rPr>
          <w:rFonts w:ascii="Times New Roman" w:hAnsi="Times New Roman"/>
        </w:rPr>
        <w:t>.</w:t>
      </w:r>
    </w:p>
  </w:footnote>
  <w:footnote w:id="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640 </w:t>
      </w:r>
      <w:r>
        <w:rPr>
          <w:rFonts w:ascii="Times New Roman" w:hAnsi="Times New Roman"/>
          <w:i/>
        </w:rPr>
        <w:t>final</w:t>
      </w:r>
      <w:r>
        <w:rPr>
          <w:rFonts w:ascii="Times New Roman" w:hAnsi="Times New Roman"/>
        </w:rPr>
        <w:t xml:space="preserve"> (2018 9 12).</w:t>
      </w:r>
    </w:p>
  </w:footnote>
  <w:footnote w:id="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641 </w:t>
      </w:r>
      <w:r>
        <w:rPr>
          <w:rFonts w:ascii="Times New Roman" w:hAnsi="Times New Roman"/>
          <w:i/>
        </w:rPr>
        <w:t>final</w:t>
      </w:r>
      <w:r>
        <w:rPr>
          <w:rFonts w:ascii="Times New Roman" w:hAnsi="Times New Roman"/>
        </w:rPr>
        <w:t xml:space="preserve"> (2018 9 12).</w:t>
      </w:r>
    </w:p>
  </w:footnote>
  <w:footnote w:id="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636 </w:t>
      </w:r>
      <w:r>
        <w:rPr>
          <w:rFonts w:ascii="Times New Roman" w:hAnsi="Times New Roman"/>
          <w:i/>
        </w:rPr>
        <w:t>final</w:t>
      </w:r>
      <w:r>
        <w:rPr>
          <w:rFonts w:ascii="Times New Roman" w:hAnsi="Times New Roman"/>
        </w:rPr>
        <w:t xml:space="preserve"> (2018 9 12).</w:t>
      </w:r>
    </w:p>
  </w:footnote>
  <w:footnote w:id="5">
    <w:p>
      <w:pPr>
        <w:pStyle w:val="FootnoteText"/>
        <w:ind w:left="567" w:hanging="567"/>
        <w:jc w:val="both"/>
        <w:rPr>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631 </w:t>
      </w:r>
      <w:r>
        <w:rPr>
          <w:rFonts w:ascii="Times New Roman" w:hAnsi="Times New Roman"/>
          <w:i/>
        </w:rPr>
        <w:t>final</w:t>
      </w:r>
      <w:r>
        <w:rPr>
          <w:rFonts w:ascii="Times New Roman" w:hAnsi="Times New Roman"/>
        </w:rPr>
        <w:t xml:space="preserve"> (2018 9 12).</w:t>
      </w:r>
    </w:p>
  </w:footnote>
  <w:footnote w:id="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630 </w:t>
      </w:r>
      <w:r>
        <w:rPr>
          <w:rFonts w:ascii="Times New Roman" w:hAnsi="Times New Roman"/>
          <w:i/>
        </w:rPr>
        <w:t>final</w:t>
      </w:r>
      <w:r>
        <w:rPr>
          <w:rFonts w:ascii="Times New Roman" w:hAnsi="Times New Roman"/>
        </w:rPr>
        <w:t xml:space="preserve"> (2018 9 12).</w:t>
      </w:r>
    </w:p>
  </w:footnote>
  <w:footnote w:id="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https://ec.europa.eu/commission/sites/beta-political/files/joint-declaration-eu-legislative-priorities-2018-19_en.pdf</w:t>
        </w:r>
      </w:hyperlink>
      <w:r>
        <w:rPr>
          <w:rFonts w:ascii="Times New Roman" w:hAnsi="Times New Roman"/>
        </w:rPr>
        <w:t>.</w:t>
      </w:r>
    </w:p>
  </w:footnote>
  <w:footnote w:id="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Reglamentas (ES) 2018/1240 (2018 9 12) ir Reglamentas (ES) 2018/1241 (2018 9 12).</w:t>
      </w:r>
    </w:p>
  </w:footnote>
  <w:footnote w:id="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Reglamentas (ES) 2018/1726 (2018 11 14).</w:t>
      </w:r>
    </w:p>
  </w:footnote>
  <w:footnote w:id="1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Reglamentas (ES) 2018/1860 (2018 11 28), Reglamentas (ES) 2018/1861 (2018 11 28) ir Reglamentas (ES) 2018/1862 (2018 11 28).</w:t>
      </w:r>
    </w:p>
  </w:footnote>
  <w:footnote w:id="1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Direktyva (ES) 2018/843 (2018 5 30).</w:t>
      </w:r>
    </w:p>
  </w:footnote>
  <w:footnote w:id="1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Reglamentas (ES) 2017/2226 (2017 11 30).</w:t>
      </w:r>
    </w:p>
  </w:footnote>
  <w:footnote w:id="1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Direktyva (ES) 2017/853 (2017 5 17).</w:t>
      </w:r>
    </w:p>
  </w:footnote>
  <w:footnote w:id="1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Direktyva (ES) 2017/541 (2017 3 15).</w:t>
      </w:r>
    </w:p>
  </w:footnote>
  <w:footnote w:id="15">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COM(2017) 477 </w:t>
      </w:r>
      <w:r>
        <w:rPr>
          <w:rFonts w:ascii="Times New Roman" w:hAnsi="Times New Roman"/>
          <w:i/>
        </w:rPr>
        <w:t>final</w:t>
      </w:r>
      <w:r>
        <w:rPr>
          <w:rFonts w:ascii="Times New Roman" w:hAnsi="Times New Roman"/>
        </w:rPr>
        <w:t xml:space="preserve"> (2017 9 13).</w:t>
      </w:r>
    </w:p>
  </w:footnote>
  <w:footnote w:id="1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COM(2016) 7 </w:t>
      </w:r>
      <w:r>
        <w:rPr>
          <w:rFonts w:ascii="Times New Roman" w:hAnsi="Times New Roman"/>
          <w:i/>
        </w:rPr>
        <w:t>final</w:t>
      </w:r>
      <w:r>
        <w:rPr>
          <w:rFonts w:ascii="Times New Roman" w:hAnsi="Times New Roman"/>
        </w:rPr>
        <w:t xml:space="preserve"> (2016 1 19) ir COM(2017) 344 </w:t>
      </w:r>
      <w:r>
        <w:rPr>
          <w:rFonts w:ascii="Times New Roman" w:hAnsi="Times New Roman"/>
          <w:i/>
        </w:rPr>
        <w:t>final</w:t>
      </w:r>
      <w:r>
        <w:rPr>
          <w:rFonts w:ascii="Times New Roman" w:hAnsi="Times New Roman"/>
        </w:rPr>
        <w:t xml:space="preserve"> (2017 6 29).</w:t>
      </w:r>
    </w:p>
  </w:footnote>
  <w:footnote w:id="1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COM(2017) 793 </w:t>
      </w:r>
      <w:r>
        <w:rPr>
          <w:rFonts w:ascii="Times New Roman" w:hAnsi="Times New Roman"/>
          <w:i/>
        </w:rPr>
        <w:t>final</w:t>
      </w:r>
      <w:r>
        <w:rPr>
          <w:rFonts w:ascii="Times New Roman" w:hAnsi="Times New Roman"/>
        </w:rPr>
        <w:t xml:space="preserve"> (2017 12 12), COM(2017) 794 </w:t>
      </w:r>
      <w:r>
        <w:rPr>
          <w:rFonts w:ascii="Times New Roman" w:hAnsi="Times New Roman"/>
          <w:i/>
        </w:rPr>
        <w:t>final</w:t>
      </w:r>
      <w:r>
        <w:rPr>
          <w:rFonts w:ascii="Times New Roman" w:hAnsi="Times New Roman"/>
        </w:rPr>
        <w:t xml:space="preserve"> (2017 12 12), COM(2018) 478 </w:t>
      </w:r>
      <w:r>
        <w:rPr>
          <w:rFonts w:ascii="Times New Roman" w:hAnsi="Times New Roman"/>
          <w:i/>
        </w:rPr>
        <w:t>final</w:t>
      </w:r>
      <w:r>
        <w:rPr>
          <w:rFonts w:ascii="Times New Roman" w:hAnsi="Times New Roman"/>
        </w:rPr>
        <w:t xml:space="preserve"> (2018 6 13) ir COM(2018) 480 </w:t>
      </w:r>
      <w:r>
        <w:rPr>
          <w:rFonts w:ascii="Times New Roman" w:hAnsi="Times New Roman"/>
          <w:i/>
        </w:rPr>
        <w:t>final</w:t>
      </w:r>
      <w:r>
        <w:rPr>
          <w:rFonts w:ascii="Times New Roman" w:hAnsi="Times New Roman"/>
        </w:rPr>
        <w:t xml:space="preserve"> (2018 6 13).</w:t>
      </w:r>
    </w:p>
  </w:footnote>
  <w:footnote w:id="1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225 </w:t>
      </w:r>
      <w:r>
        <w:rPr>
          <w:rFonts w:ascii="Times New Roman" w:hAnsi="Times New Roman"/>
          <w:i/>
        </w:rPr>
        <w:t>final</w:t>
      </w:r>
      <w:r>
        <w:rPr>
          <w:rFonts w:ascii="Times New Roman" w:hAnsi="Times New Roman"/>
        </w:rPr>
        <w:t xml:space="preserve"> (2018 4 17) ir COM(2018) 226 </w:t>
      </w:r>
      <w:r>
        <w:rPr>
          <w:rFonts w:ascii="Times New Roman" w:hAnsi="Times New Roman"/>
          <w:i/>
        </w:rPr>
        <w:t>final</w:t>
      </w:r>
      <w:r>
        <w:rPr>
          <w:rFonts w:ascii="Times New Roman" w:hAnsi="Times New Roman"/>
        </w:rPr>
        <w:t xml:space="preserve"> (2018 4 17).</w:t>
      </w:r>
    </w:p>
  </w:footnote>
  <w:footnote w:id="1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213 </w:t>
      </w:r>
      <w:r>
        <w:rPr>
          <w:rFonts w:ascii="Times New Roman" w:hAnsi="Times New Roman"/>
          <w:i/>
        </w:rPr>
        <w:t>final</w:t>
      </w:r>
      <w:r>
        <w:rPr>
          <w:rFonts w:ascii="Times New Roman" w:hAnsi="Times New Roman"/>
        </w:rPr>
        <w:t xml:space="preserve"> (2018 4 17).</w:t>
      </w:r>
    </w:p>
  </w:footnote>
  <w:footnote w:id="2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COM(2016) 272 </w:t>
      </w:r>
      <w:r>
        <w:rPr>
          <w:rFonts w:ascii="Times New Roman" w:hAnsi="Times New Roman"/>
          <w:i/>
        </w:rPr>
        <w:t>final</w:t>
      </w:r>
      <w:r>
        <w:rPr>
          <w:rFonts w:ascii="Times New Roman" w:hAnsi="Times New Roman"/>
        </w:rPr>
        <w:t xml:space="preserve"> (2016 5 4).</w:t>
      </w:r>
    </w:p>
  </w:footnote>
  <w:footnote w:id="2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COM(2017) 489 </w:t>
      </w:r>
      <w:r>
        <w:rPr>
          <w:rFonts w:ascii="Times New Roman" w:hAnsi="Times New Roman"/>
          <w:i/>
        </w:rPr>
        <w:t>final</w:t>
      </w:r>
      <w:r>
        <w:rPr>
          <w:rFonts w:ascii="Times New Roman" w:hAnsi="Times New Roman"/>
        </w:rPr>
        <w:t xml:space="preserve"> (2017 9 13).</w:t>
      </w:r>
    </w:p>
  </w:footnote>
  <w:footnote w:id="2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209 </w:t>
      </w:r>
      <w:r>
        <w:rPr>
          <w:rFonts w:ascii="Times New Roman" w:hAnsi="Times New Roman"/>
          <w:i/>
        </w:rPr>
        <w:t>final</w:t>
      </w:r>
      <w:r>
        <w:rPr>
          <w:rFonts w:ascii="Times New Roman" w:hAnsi="Times New Roman"/>
        </w:rPr>
        <w:t xml:space="preserve"> (2018 4 17).</w:t>
      </w:r>
    </w:p>
  </w:footnote>
  <w:footnote w:id="2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212 </w:t>
      </w:r>
      <w:r>
        <w:rPr>
          <w:rFonts w:ascii="Times New Roman" w:hAnsi="Times New Roman"/>
          <w:i/>
        </w:rPr>
        <w:t>final</w:t>
      </w:r>
      <w:r>
        <w:rPr>
          <w:rFonts w:ascii="Times New Roman" w:hAnsi="Times New Roman"/>
        </w:rPr>
        <w:t xml:space="preserve"> (2018 4 17).</w:t>
      </w:r>
    </w:p>
  </w:footnote>
  <w:footnote w:id="24">
    <w:p>
      <w:pPr>
        <w:pStyle w:val="FootnoteText"/>
        <w:ind w:left="567" w:hanging="567"/>
        <w:jc w:val="both"/>
        <w:rPr>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302 </w:t>
      </w:r>
      <w:r>
        <w:rPr>
          <w:rFonts w:ascii="Times New Roman" w:hAnsi="Times New Roman"/>
          <w:i/>
        </w:rPr>
        <w:t>final</w:t>
      </w:r>
      <w:r>
        <w:rPr>
          <w:rFonts w:ascii="Times New Roman" w:hAnsi="Times New Roman"/>
        </w:rPr>
        <w:t xml:space="preserve"> (2018 5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ROSSIDES Giorgos (CAB-AVRAMOPOULOS)">
    <w15:presenceInfo w15:providerId="None" w15:userId="ROSSIDES Giorgos (CAB-AVRAM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1"/>
    <w:docVar w:name="LW_ANNEX_UNIQUE" w:val="1"/>
    <w:docVar w:name="LW_CORRIGENDUM" w:val="&lt;UNUSED&gt;"/>
    <w:docVar w:name="LW_COVERPAGE_EXISTS" w:val="True"/>
    <w:docVar w:name="LW_COVERPAGE_GUID" w:val="5DE89C5E-E81E-4509-A087-6777EAC49B6C"/>
    <w:docVar w:name="LW_COVERPAGE_TYPE" w:val="1"/>
    <w:docVar w:name="LW_CROSSREFERENCE" w:val="{SWD(2019) 140 final}"/>
    <w:docVar w:name="LW_DocType" w:val="NORMAL"/>
    <w:docVar w:name="LW_EMISSION" w:val="2019 03 20"/>
    <w:docVar w:name="LW_EMISSION_ISODATE" w:val="2019-03-20"/>
    <w:docVar w:name="LW_EMISSION_LOCATION" w:val="BRX"/>
    <w:docVar w:name="LW_EMISSION_PREFIX" w:val="Briuseli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A\u353?tuonioliktoji pa\u382?angos, padarytos kuriant tikr\u261? veiksming\u261? saugumo s\u261?jung\u261?, ataskaita_x000b__x000b_Teis\u279?k\u363?ros iniciatyv\u371? s\u261?ra\u353?as_x000b__x000b_"/>
    <w:docVar w:name="LW_PART_NBR" w:val="1"/>
    <w:docVar w:name="LW_PART_NBR_TOTAL" w:val="1"/>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EDAS_x000b_"/>
    <w:docVar w:name="LW_TYPEACTEPRINCIPAL.CP" w:val="KOMISIJOS KOMUNIKATO EUROPOS PARLAMENTUI, EUROPOS VADOV\u370? TARYBAI IR TARYBAI_x000b_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lt-LT" w:bidi="lt-LT"/>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lt-LT" w:bidi="lt-LT"/>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lt.pdf" TargetMode="External"/><Relationship Id="rId1" Type="http://schemas.openxmlformats.org/officeDocument/2006/relationships/hyperlink" Target="https://ec.europa.eu/commission/sites/beta-political/files/soteu2018-speech_l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4201DA9-48C7-4731-ABBC-A144AA04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616</Words>
  <Characters>4226</Characters>
  <Application>Microsoft Office Word</Application>
  <DocSecurity>0</DocSecurity>
  <Lines>325</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DIGIT/C6</cp:lastModifiedBy>
  <cp:revision>12</cp:revision>
  <cp:lastPrinted>2019-03-06T14:21:00Z</cp:lastPrinted>
  <dcterms:created xsi:type="dcterms:W3CDTF">2019-03-15T15:44:00Z</dcterms:created>
  <dcterms:modified xsi:type="dcterms:W3CDTF">2019-04-10T14:16:00Z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