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E821E26E-FAAD-4C5F-97FA-1365A885CE09" style="width:450.75pt;height:434.25pt">
            <v:imagedata r:id="rId8" o:title=""/>
          </v:shape>
        </w:pict>
      </w:r>
    </w:p>
    <w:bookmarkEnd w:id="0"/>
    <w:p>
      <w:pPr>
        <w:rPr>
          <w:noProof/>
        </w:rPr>
        <w:sectPr>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pPr>
        <w:jc w:val="center"/>
        <w:rPr>
          <w:rFonts w:ascii="Times New Roman" w:hAnsi="Times New Roman" w:cs="Times New Roman"/>
          <w:b/>
          <w:noProof/>
          <w:u w:val="single"/>
        </w:rPr>
      </w:pPr>
      <w:bookmarkStart w:id="1" w:name="_GoBack"/>
      <w:bookmarkEnd w:id="1"/>
      <w:r>
        <w:rPr>
          <w:rFonts w:ascii="Times New Roman" w:hAnsi="Times New Roman"/>
          <w:b/>
          <w:noProof/>
          <w:u w:val="single"/>
        </w:rPr>
        <w:lastRenderedPageBreak/>
        <w:t>PIELIKUMS</w:t>
      </w:r>
    </w:p>
    <w:p>
      <w:pPr>
        <w:pStyle w:val="Pa35"/>
        <w:rPr>
          <w:rFonts w:ascii="Times New Roman" w:hAnsi="Times New Roman" w:cs="Times New Roman"/>
          <w:noProof/>
          <w:color w:val="000000"/>
          <w:sz w:val="23"/>
          <w:szCs w:val="23"/>
        </w:rPr>
      </w:pPr>
      <w:r>
        <w:rPr>
          <w:rStyle w:val="A13"/>
          <w:rFonts w:ascii="Times New Roman" w:hAnsi="Times New Roman"/>
          <w:noProof/>
          <w:sz w:val="23"/>
        </w:rPr>
        <w:t>LIKUMDOŠANAS PRIORITĀŠU ĪSTENOŠANA</w:t>
      </w:r>
      <w:r>
        <w:rPr>
          <w:rStyle w:val="A13"/>
          <w:rFonts w:ascii="Times New Roman" w:hAnsi="Times New Roman" w:cs="Times New Roman"/>
          <w:noProof/>
          <w:sz w:val="23"/>
          <w:szCs w:val="23"/>
        </w:rPr>
        <w:br/>
      </w:r>
    </w:p>
    <w:tbl>
      <w:tblPr>
        <w:tblStyle w:val="TableGrid"/>
        <w:tblW w:w="11326" w:type="dxa"/>
        <w:tblInd w:w="250" w:type="dxa"/>
        <w:tblLook w:val="04A0" w:firstRow="1" w:lastRow="0" w:firstColumn="1" w:lastColumn="0" w:noHBand="0" w:noVBand="1"/>
      </w:tblPr>
      <w:tblGrid>
        <w:gridCol w:w="392"/>
        <w:gridCol w:w="10934"/>
      </w:tblGrid>
      <w:tr>
        <w:tc>
          <w:tcPr>
            <w:tcW w:w="392" w:type="dxa"/>
            <w:tcBorders>
              <w:right w:val="single" w:sz="4" w:space="0" w:color="auto"/>
            </w:tcBorders>
            <w:shd w:val="clear" w:color="auto" w:fill="00B05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Likumdošanas prioritātes ir iesniegtas, un vienošanās ir panākta</w:t>
            </w:r>
          </w:p>
        </w:tc>
      </w:tr>
      <w:tr>
        <w:tc>
          <w:tcPr>
            <w:tcW w:w="392" w:type="dxa"/>
            <w:tcBorders>
              <w:right w:val="single" w:sz="4" w:space="0" w:color="auto"/>
            </w:tcBorders>
            <w:shd w:val="clear" w:color="auto" w:fill="FFFF00"/>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Ātra vienošanās ir iespējama, ievērojot parastās procedūras</w:t>
            </w:r>
          </w:p>
        </w:tc>
      </w:tr>
      <w:tr>
        <w:tc>
          <w:tcPr>
            <w:tcW w:w="392" w:type="dxa"/>
            <w:tcBorders>
              <w:right w:val="single" w:sz="4" w:space="0" w:color="auto"/>
            </w:tcBorders>
            <w:shd w:val="clear" w:color="auto" w:fill="F79646" w:themeFill="accent6"/>
          </w:tcPr>
          <w:p>
            <w:pPr>
              <w:rPr>
                <w:rFonts w:ascii="Times New Roman" w:hAnsi="Times New Roman" w:cs="Times New Roman"/>
                <w:noProof/>
                <w:color w:val="000000"/>
                <w:szCs w:val="20"/>
              </w:rPr>
            </w:pPr>
          </w:p>
        </w:tc>
        <w:tc>
          <w:tcPr>
            <w:tcW w:w="10934" w:type="dxa"/>
            <w:tcBorders>
              <w:top w:val="nil"/>
              <w:left w:val="single" w:sz="4" w:space="0" w:color="auto"/>
              <w:bottom w:val="nil"/>
              <w:right w:val="nil"/>
            </w:tcBorders>
          </w:tcPr>
          <w:p>
            <w:pPr>
              <w:rPr>
                <w:rFonts w:ascii="Times New Roman" w:hAnsi="Times New Roman" w:cs="Times New Roman"/>
                <w:noProof/>
                <w:color w:val="000000"/>
                <w:szCs w:val="20"/>
              </w:rPr>
            </w:pPr>
            <w:r>
              <w:rPr>
                <w:rFonts w:ascii="Times New Roman" w:hAnsi="Times New Roman"/>
                <w:noProof/>
                <w:color w:val="000000"/>
              </w:rPr>
              <w:t>Vienošanās ir iespējama, ja visas ES iestādes izrādīs stingru politisko apņemšanos</w:t>
            </w:r>
          </w:p>
        </w:tc>
      </w:tr>
    </w:tbl>
    <w:p>
      <w:pPr>
        <w:pStyle w:val="Pa35"/>
        <w:rPr>
          <w:rStyle w:val="A13"/>
          <w:rFonts w:ascii="Times New Roman" w:hAnsi="Times New Roman" w:cs="Times New Roman"/>
          <w:noProof/>
          <w:sz w:val="23"/>
          <w:szCs w:val="23"/>
        </w:rPr>
      </w:pPr>
    </w:p>
    <w:p>
      <w:pPr>
        <w:pStyle w:val="Pa35"/>
        <w:rPr>
          <w:rStyle w:val="A13"/>
          <w:rFonts w:ascii="Times New Roman" w:hAnsi="Times New Roman" w:cs="Times New Roman"/>
          <w:noProof/>
          <w:sz w:val="23"/>
          <w:szCs w:val="23"/>
        </w:rPr>
      </w:pPr>
      <w:r>
        <w:rPr>
          <w:rStyle w:val="A13"/>
          <w:rFonts w:ascii="Times New Roman" w:hAnsi="Times New Roman"/>
          <w:noProof/>
          <w:sz w:val="23"/>
        </w:rPr>
        <w:t>I) 2018. gada runā par stāvokli Savienībā ierosinātās iniciatīvas</w:t>
      </w:r>
      <w:r>
        <w:rPr>
          <w:rStyle w:val="FootnoteReference"/>
          <w:rFonts w:ascii="Times New Roman" w:hAnsi="Times New Roman"/>
          <w:b/>
          <w:noProof/>
          <w:color w:val="000000"/>
          <w:sz w:val="23"/>
        </w:rPr>
        <w:footnoteReference w:id="1"/>
      </w:r>
    </w:p>
    <w:p>
      <w:pPr>
        <w:rPr>
          <w:rFonts w:ascii="Times New Roman" w:hAnsi="Times New Roman" w:cs="Times New Roman"/>
          <w:noProof/>
        </w:rPr>
      </w:pPr>
    </w:p>
    <w:tbl>
      <w:tblPr>
        <w:tblStyle w:val="TableGrid"/>
        <w:tblW w:w="0" w:type="auto"/>
        <w:jc w:val="center"/>
        <w:tblLook w:val="04A0" w:firstRow="1" w:lastRow="0" w:firstColumn="1" w:lastColumn="0" w:noHBand="0" w:noVBand="1"/>
      </w:tblPr>
      <w:tblGrid>
        <w:gridCol w:w="3085"/>
        <w:gridCol w:w="2521"/>
        <w:gridCol w:w="1378"/>
        <w:gridCol w:w="1292"/>
        <w:gridCol w:w="1219"/>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Politikas joma</w:t>
            </w:r>
          </w:p>
        </w:tc>
        <w:tc>
          <w:tcPr>
            <w:tcW w:w="2521" w:type="dxa"/>
            <w:vAlign w:val="center"/>
          </w:tcPr>
          <w:p>
            <w:pPr>
              <w:jc w:val="center"/>
              <w:rPr>
                <w:rFonts w:ascii="Times New Roman" w:hAnsi="Times New Roman" w:cs="Times New Roman"/>
                <w:b/>
                <w:noProof/>
              </w:rPr>
            </w:pPr>
            <w:r>
              <w:rPr>
                <w:rFonts w:ascii="Times New Roman" w:hAnsi="Times New Roman"/>
                <w:b/>
                <w:noProof/>
              </w:rPr>
              <w:t>Apraksts</w:t>
            </w:r>
          </w:p>
        </w:tc>
        <w:tc>
          <w:tcPr>
            <w:tcW w:w="1378" w:type="dxa"/>
            <w:vAlign w:val="center"/>
          </w:tcPr>
          <w:p>
            <w:pPr>
              <w:jc w:val="center"/>
              <w:rPr>
                <w:rFonts w:ascii="Times New Roman" w:hAnsi="Times New Roman" w:cs="Times New Roman"/>
                <w:b/>
                <w:noProof/>
              </w:rPr>
            </w:pPr>
            <w:r>
              <w:rPr>
                <w:rFonts w:ascii="Times New Roman" w:hAnsi="Times New Roman"/>
                <w:b/>
                <w:noProof/>
              </w:rPr>
              <w:t>Eiropas Komisija</w:t>
            </w:r>
          </w:p>
        </w:tc>
        <w:tc>
          <w:tcPr>
            <w:tcW w:w="1276" w:type="dxa"/>
            <w:vAlign w:val="center"/>
          </w:tcPr>
          <w:p>
            <w:pPr>
              <w:jc w:val="center"/>
              <w:rPr>
                <w:rFonts w:ascii="Times New Roman" w:hAnsi="Times New Roman" w:cs="Times New Roman"/>
                <w:b/>
                <w:noProof/>
              </w:rPr>
            </w:pPr>
            <w:r>
              <w:rPr>
                <w:rFonts w:ascii="Times New Roman" w:hAnsi="Times New Roman"/>
                <w:b/>
                <w:noProof/>
              </w:rPr>
              <w:t>Eiropas Parlaments</w:t>
            </w:r>
          </w:p>
        </w:tc>
        <w:tc>
          <w:tcPr>
            <w:tcW w:w="1146" w:type="dxa"/>
            <w:vAlign w:val="center"/>
          </w:tcPr>
          <w:p>
            <w:pPr>
              <w:jc w:val="center"/>
              <w:rPr>
                <w:rFonts w:ascii="Times New Roman" w:hAnsi="Times New Roman" w:cs="Times New Roman"/>
                <w:b/>
                <w:noProof/>
              </w:rPr>
            </w:pPr>
            <w:r>
              <w:rPr>
                <w:rFonts w:ascii="Times New Roman" w:hAnsi="Times New Roman"/>
                <w:b/>
                <w:noProof/>
              </w:rPr>
              <w:t>Eiropas Savienības Padome</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Teroristiska satura izplatīšanas novēršana tiešsaistē</w:t>
            </w:r>
            <w:r>
              <w:rPr>
                <w:rStyle w:val="FootnoteReference"/>
                <w:rFonts w:ascii="Times New Roman" w:hAnsi="Times New Roman"/>
                <w:noProof/>
                <w:sz w:val="20"/>
              </w:rPr>
              <w:footnoteReference w:id="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2018. gada septembrī; Padome ir pieņēmusi pilnvarojumu 2018. gada 6. decembrī; Eiropas Parlamentam jāpieņem sarunu pilnvarojums un jāsāk trialoga sarunas.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Eiropas Prokuratūras kompetences paplašināšana, to attiecinot uz pārrobežu terorismu</w:t>
            </w:r>
            <w:r>
              <w:rPr>
                <w:rStyle w:val="FootnoteReference"/>
                <w:rFonts w:ascii="Times New Roman" w:hAnsi="Times New Roman"/>
                <w:noProof/>
                <w:sz w:val="20"/>
              </w:rPr>
              <w:footnoteReference w:id="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2018. gada septembrī.</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79646" w:themeFill="accent6"/>
            <w:vAlign w:val="center"/>
          </w:tcPr>
          <w:p>
            <w:pPr>
              <w:spacing w:before="180" w:after="180"/>
              <w:rPr>
                <w:rFonts w:ascii="Times New Roman" w:hAnsi="Times New Roman" w:cs="Times New Roman"/>
                <w:noProof/>
                <w:sz w:val="20"/>
                <w:szCs w:val="20"/>
              </w:rPr>
            </w:pPr>
          </w:p>
        </w:tc>
        <w:tc>
          <w:tcPr>
            <w:tcW w:w="1146" w:type="dxa"/>
            <w:shd w:val="clear" w:color="auto" w:fill="F79646" w:themeFill="accent6"/>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Regulas par partiju finansēšanu mērķtiecīgi grozījumi attiecībā uz pārbaudes procedūru saistībā ar personas datu aizsardzības noteikumu pārkāpumiem Eiropas Parlamenta vēlēšanu kontekstā</w:t>
            </w:r>
            <w:r>
              <w:rPr>
                <w:rStyle w:val="FootnoteReference"/>
                <w:rFonts w:ascii="Times New Roman" w:hAnsi="Times New Roman"/>
                <w:noProof/>
                <w:sz w:val="20"/>
              </w:rPr>
              <w:footnoteReference w:id="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2018. gada septembrī; līdztiesīgie likumdevēji panākuši vienošanos; oficiālā pieņemšana 2019. gada martā.</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00B050"/>
            <w:vAlign w:val="center"/>
          </w:tcPr>
          <w:p>
            <w:pPr>
              <w:spacing w:before="180" w:after="180"/>
              <w:rPr>
                <w:rFonts w:ascii="Times New Roman" w:hAnsi="Times New Roman" w:cs="Times New Roman"/>
                <w:noProof/>
                <w:sz w:val="20"/>
                <w:szCs w:val="20"/>
              </w:rPr>
            </w:pPr>
          </w:p>
        </w:tc>
        <w:tc>
          <w:tcPr>
            <w:tcW w:w="1146" w:type="dxa"/>
            <w:shd w:val="clear" w:color="auto" w:fill="00B05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Eiropas Robežu un krasta apsardzes aģentūras spēju pastiprināšana</w:t>
            </w:r>
            <w:r>
              <w:rPr>
                <w:rStyle w:val="FootnoteReference"/>
                <w:rFonts w:ascii="Times New Roman" w:hAnsi="Times New Roman"/>
                <w:noProof/>
                <w:sz w:val="20"/>
              </w:rPr>
              <w:footnoteReference w:id="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2018. gada septembrī; Padome un Eiropas Parlaments pieņēma sarunu pilnvarojumu un sāka iestāžu sarunas.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Eiropas Industriālais, tehnoloģiskais un pētnieciskais kiberdrošības kompetenču centrs</w:t>
            </w:r>
            <w:r>
              <w:rPr>
                <w:rStyle w:val="FootnoteReference"/>
                <w:rFonts w:ascii="Times New Roman" w:hAnsi="Times New Roman"/>
                <w:noProof/>
                <w:sz w:val="20"/>
              </w:rPr>
              <w:footnoteReference w:id="6"/>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2018. gada septembrī; Eiropas Parlaments un Padome pieņēma sarunu pilnvarojumu un sāka iestāžu sarunas.</w:t>
            </w:r>
          </w:p>
        </w:tc>
        <w:tc>
          <w:tcPr>
            <w:tcW w:w="1378" w:type="dxa"/>
            <w:shd w:val="clear" w:color="auto" w:fill="00B050"/>
            <w:vAlign w:val="center"/>
          </w:tcPr>
          <w:p>
            <w:pPr>
              <w:spacing w:before="180" w:after="180"/>
              <w:rPr>
                <w:rFonts w:ascii="Times New Roman" w:hAnsi="Times New Roman" w:cs="Times New Roman"/>
                <w:noProof/>
                <w:sz w:val="20"/>
                <w:szCs w:val="20"/>
              </w:rPr>
            </w:pPr>
          </w:p>
        </w:tc>
        <w:tc>
          <w:tcPr>
            <w:tcW w:w="1276" w:type="dxa"/>
            <w:shd w:val="clear" w:color="auto" w:fill="FFFF00"/>
            <w:vAlign w:val="center"/>
          </w:tcPr>
          <w:p>
            <w:pPr>
              <w:spacing w:before="180" w:after="180"/>
              <w:rPr>
                <w:rFonts w:ascii="Times New Roman" w:hAnsi="Times New Roman" w:cs="Times New Roman"/>
                <w:noProof/>
                <w:sz w:val="20"/>
                <w:szCs w:val="20"/>
              </w:rPr>
            </w:pPr>
          </w:p>
        </w:tc>
        <w:tc>
          <w:tcPr>
            <w:tcW w:w="1146" w:type="dxa"/>
            <w:shd w:val="clear" w:color="auto" w:fill="FFFF00"/>
            <w:vAlign w:val="center"/>
          </w:tcPr>
          <w:p>
            <w:pPr>
              <w:spacing w:before="180" w:after="180"/>
              <w:rPr>
                <w:rFonts w:ascii="Times New Roman" w:hAnsi="Times New Roman" w:cs="Times New Roman"/>
                <w:noProof/>
                <w:sz w:val="20"/>
                <w:szCs w:val="20"/>
              </w:rPr>
            </w:pPr>
          </w:p>
        </w:tc>
      </w:tr>
    </w:tbl>
    <w:p>
      <w:pPr>
        <w:pStyle w:val="Pa35"/>
        <w:rPr>
          <w:rStyle w:val="A13"/>
          <w:rFonts w:ascii="Times New Roman" w:hAnsi="Times New Roman" w:cs="Times New Roman"/>
          <w:noProof/>
          <w:color w:val="auto"/>
          <w:sz w:val="23"/>
          <w:szCs w:val="23"/>
        </w:rPr>
      </w:pPr>
    </w:p>
    <w:p>
      <w:pPr>
        <w:pStyle w:val="Pa35"/>
        <w:rPr>
          <w:rFonts w:ascii="Times New Roman" w:hAnsi="Times New Roman" w:cs="Times New Roman"/>
          <w:noProof/>
        </w:rPr>
      </w:pPr>
      <w:r>
        <w:rPr>
          <w:rStyle w:val="A13"/>
          <w:rFonts w:ascii="Times New Roman" w:hAnsi="Times New Roman"/>
          <w:noProof/>
          <w:color w:val="auto"/>
          <w:sz w:val="23"/>
        </w:rPr>
        <w:t>II) Prioritātes, par kurām panākta vienošanās kopīgajā deklarācijā</w:t>
      </w:r>
      <w:r>
        <w:rPr>
          <w:rStyle w:val="FootnoteReference"/>
          <w:rFonts w:ascii="Times New Roman" w:hAnsi="Times New Roman"/>
          <w:b/>
          <w:noProof/>
          <w:sz w:val="23"/>
        </w:rPr>
        <w:footnoteReference w:id="7"/>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92"/>
        <w:gridCol w:w="1219"/>
      </w:tblGrid>
      <w:tr>
        <w:trPr>
          <w:tblHeade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Politikas joma</w:t>
            </w:r>
          </w:p>
        </w:tc>
        <w:tc>
          <w:tcPr>
            <w:tcW w:w="2521" w:type="dxa"/>
            <w:vAlign w:val="center"/>
          </w:tcPr>
          <w:p>
            <w:pPr>
              <w:jc w:val="center"/>
              <w:rPr>
                <w:rFonts w:ascii="Times New Roman" w:hAnsi="Times New Roman" w:cs="Times New Roman"/>
                <w:b/>
                <w:noProof/>
              </w:rPr>
            </w:pPr>
            <w:r>
              <w:rPr>
                <w:rFonts w:ascii="Times New Roman" w:hAnsi="Times New Roman"/>
                <w:b/>
                <w:noProof/>
              </w:rPr>
              <w:t>Apraksts</w:t>
            </w:r>
          </w:p>
        </w:tc>
        <w:tc>
          <w:tcPr>
            <w:tcW w:w="1378" w:type="dxa"/>
            <w:vAlign w:val="center"/>
          </w:tcPr>
          <w:p>
            <w:pPr>
              <w:jc w:val="center"/>
              <w:rPr>
                <w:rFonts w:ascii="Times New Roman" w:hAnsi="Times New Roman" w:cs="Times New Roman"/>
                <w:b/>
                <w:noProof/>
              </w:rPr>
            </w:pPr>
            <w:r>
              <w:rPr>
                <w:rFonts w:ascii="Times New Roman" w:hAnsi="Times New Roman"/>
                <w:b/>
                <w:noProof/>
              </w:rPr>
              <w:t>Eiropas Komisija</w:t>
            </w:r>
          </w:p>
        </w:tc>
        <w:tc>
          <w:tcPr>
            <w:tcW w:w="1276" w:type="dxa"/>
            <w:vAlign w:val="center"/>
          </w:tcPr>
          <w:p>
            <w:pPr>
              <w:jc w:val="center"/>
              <w:rPr>
                <w:rFonts w:ascii="Times New Roman" w:hAnsi="Times New Roman" w:cs="Times New Roman"/>
                <w:b/>
                <w:noProof/>
              </w:rPr>
            </w:pPr>
            <w:r>
              <w:rPr>
                <w:rFonts w:ascii="Times New Roman" w:hAnsi="Times New Roman"/>
                <w:b/>
                <w:noProof/>
              </w:rPr>
              <w:t>Eiropas Parlaments</w:t>
            </w:r>
          </w:p>
        </w:tc>
        <w:tc>
          <w:tcPr>
            <w:tcW w:w="1146" w:type="dxa"/>
            <w:vAlign w:val="center"/>
          </w:tcPr>
          <w:p>
            <w:pPr>
              <w:jc w:val="center"/>
              <w:rPr>
                <w:rFonts w:ascii="Times New Roman" w:hAnsi="Times New Roman" w:cs="Times New Roman"/>
                <w:b/>
                <w:noProof/>
              </w:rPr>
            </w:pPr>
            <w:r>
              <w:rPr>
                <w:rFonts w:ascii="Times New Roman" w:hAnsi="Times New Roman"/>
                <w:b/>
                <w:noProof/>
              </w:rPr>
              <w:t>Eiropas Savienības Padome</w:t>
            </w: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Eiropas ceļošanas informācijas un atļauju sistēma</w:t>
            </w:r>
            <w:r>
              <w:rPr>
                <w:rStyle w:val="FootnoteReference"/>
                <w:rFonts w:ascii="Times New Roman" w:hAnsi="Times New Roman"/>
                <w:noProof/>
                <w:sz w:val="20"/>
              </w:rPr>
              <w:footnoteReference w:id="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2016. gada novembrī; līdztiesīgie likumdevēji panākuši vienošanos; oficiālā pieņemšana 2018. gada septembrī.</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Eiropas Aģentūra lielapjoma IT sistēmu darbības pārvaldībai brīvības, drošības un tiesiskuma telpā</w:t>
            </w:r>
            <w:r>
              <w:rPr>
                <w:rStyle w:val="FootnoteReference"/>
                <w:rFonts w:ascii="Times New Roman" w:hAnsi="Times New Roman"/>
                <w:noProof/>
                <w:sz w:val="20"/>
              </w:rPr>
              <w:footnoteReference w:id="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2017. gada jūnijā; līdztiesīgie likumdevēji panākuši vienošanos; oficiālā pieņemšana 2018. gada novembrī.</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Šengenas Informācijas sistēmas stiprināšana</w:t>
            </w:r>
            <w:r>
              <w:rPr>
                <w:rStyle w:val="FootnoteReference"/>
                <w:rFonts w:ascii="Times New Roman" w:hAnsi="Times New Roman"/>
                <w:noProof/>
                <w:sz w:val="20"/>
              </w:rPr>
              <w:footnoteReference w:id="1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2016. gada decembrī; līdztiesīgie likumdevēji panākuši vienošanos; oficiālā pieņemšana 2018. gada rudenī.</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Nelikumīgi iegūtu līdzekļu legalizācijas vai teroristu finansēšanas novēršana</w:t>
            </w:r>
            <w:r>
              <w:rPr>
                <w:rStyle w:val="FootnoteReference"/>
                <w:rFonts w:ascii="Times New Roman" w:hAnsi="Times New Roman"/>
                <w:noProof/>
                <w:sz w:val="20"/>
              </w:rPr>
              <w:footnoteReference w:id="11"/>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2016. gada jūlijā; oficiālā pieņemšana 2018. gada maijā.</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Ieceļošanas/izceļošanas sistēma</w:t>
            </w:r>
            <w:r>
              <w:rPr>
                <w:rStyle w:val="FootnoteReference"/>
                <w:rFonts w:ascii="Times New Roman" w:hAnsi="Times New Roman"/>
                <w:noProof/>
                <w:sz w:val="20"/>
              </w:rPr>
              <w:footnoteReference w:id="12"/>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2016. gada aprīlī; oficiālā pieņemšana 2017. gada novembrī.</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Ieroču iegādes un turēšanas kontrole</w:t>
            </w:r>
            <w:r>
              <w:rPr>
                <w:rStyle w:val="FootnoteReference"/>
                <w:rFonts w:ascii="Times New Roman" w:hAnsi="Times New Roman"/>
                <w:noProof/>
                <w:sz w:val="20"/>
              </w:rPr>
              <w:footnoteReference w:id="13"/>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2015. gada novembrī; oficiālā pieņemšana 2017. gada maijā.</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Direktīva par terorisma apkarošanu</w:t>
            </w:r>
            <w:r>
              <w:rPr>
                <w:rStyle w:val="FootnoteReference"/>
                <w:rFonts w:ascii="Times New Roman" w:hAnsi="Times New Roman"/>
                <w:noProof/>
                <w:sz w:val="20"/>
              </w:rPr>
              <w:footnoteReference w:id="14"/>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2015. gada decembrī; oficiālā pieņemšana 2017. gada martā.</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Kiberdrošības akts</w:t>
            </w:r>
            <w:r>
              <w:rPr>
                <w:rStyle w:val="FootnoteReference"/>
                <w:rFonts w:ascii="Times New Roman" w:hAnsi="Times New Roman"/>
                <w:noProof/>
                <w:sz w:val="20"/>
              </w:rPr>
              <w:footnoteReference w:id="15"/>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2017. gada septembrī; līdztiesīgie likumdevēji panākuši vienošanos; oficiālā pieņemšana 2019. gada aprīlī.</w:t>
            </w:r>
          </w:p>
          <w:p>
            <w:pPr>
              <w:spacing w:before="180" w:after="180"/>
              <w:rPr>
                <w:rFonts w:ascii="Times New Roman" w:hAnsi="Times New Roman" w:cs="Times New Roman"/>
                <w:noProof/>
                <w:sz w:val="20"/>
                <w:szCs w:val="20"/>
              </w:rPr>
            </w:pP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bottom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Eiropas Sodāmības reģistru informācijas sistēma</w:t>
            </w:r>
            <w:r>
              <w:rPr>
                <w:rStyle w:val="FootnoteReference"/>
                <w:rFonts w:ascii="Times New Roman" w:hAnsi="Times New Roman"/>
                <w:noProof/>
                <w:sz w:val="20"/>
              </w:rPr>
              <w:footnoteReference w:id="16"/>
            </w:r>
          </w:p>
        </w:tc>
        <w:tc>
          <w:tcPr>
            <w:tcW w:w="2521" w:type="dxa"/>
            <w:tcBorders>
              <w:bottom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2016. gada janvārī un papildināts 2017. gada jūnijā; oficiālā pieņemšana 2019. gada martā.</w:t>
            </w:r>
          </w:p>
        </w:tc>
        <w:tc>
          <w:tcPr>
            <w:tcW w:w="1378"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bottom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tcBorders>
              <w:top w:val="single" w:sz="4" w:space="0" w:color="auto"/>
            </w:tcBorders>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ES drošības, robežu un migrācijas pārvaldības informācijas sistēmu sadarbspēja</w:t>
            </w:r>
            <w:r>
              <w:rPr>
                <w:rStyle w:val="FootnoteReference"/>
                <w:rFonts w:ascii="Times New Roman" w:hAnsi="Times New Roman"/>
                <w:noProof/>
                <w:sz w:val="20"/>
              </w:rPr>
              <w:footnoteReference w:id="17"/>
            </w:r>
          </w:p>
        </w:tc>
        <w:tc>
          <w:tcPr>
            <w:tcW w:w="2521" w:type="dxa"/>
            <w:tcBorders>
              <w:top w:val="single" w:sz="4" w:space="0" w:color="auto"/>
            </w:tcBorders>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2017. gada decembrī un grozīts 2018. gada jūnijā; oficiālā pieņemšana 2019. gada aprīlī.</w:t>
            </w:r>
          </w:p>
        </w:tc>
        <w:tc>
          <w:tcPr>
            <w:tcW w:w="1378"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27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c>
          <w:tcPr>
            <w:tcW w:w="1146" w:type="dxa"/>
            <w:tcBorders>
              <w:top w:val="single" w:sz="4" w:space="0" w:color="auto"/>
            </w:tcBorders>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Tiesībaizsardzības iestāžu pārrobežu piekļuve elektroniskiem pierādījumiem</w:t>
            </w:r>
            <w:r>
              <w:rPr>
                <w:rStyle w:val="FootnoteReference"/>
                <w:rFonts w:ascii="Times New Roman" w:hAnsi="Times New Roman"/>
                <w:noProof/>
                <w:sz w:val="20"/>
              </w:rPr>
              <w:footnoteReference w:id="18"/>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2018. gada aprīlī; Padome ir pieņēmusi sarunu pilnvarojumu; Eiropas Parlamentam jāpieņem sarunu pilnvarojums un jāsāk trialoga sarunas.</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FFF0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noProof/>
                <w:sz w:val="20"/>
              </w:rPr>
              <w:t>Tiesībaizsardzības iestāžu pārrobežu piekļuve finanšu datiem un to izmantošana</w:t>
            </w:r>
            <w:r>
              <w:rPr>
                <w:rStyle w:val="FootnoteReference"/>
                <w:rFonts w:ascii="Times New Roman" w:hAnsi="Times New Roman"/>
                <w:noProof/>
                <w:sz w:val="20"/>
              </w:rPr>
              <w:footnoteReference w:id="19"/>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2018. gada aprīlī; oficiālā pieņemšana 2019. gada aprīlī.</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00B050"/>
            <w:vAlign w:val="center"/>
          </w:tcPr>
          <w:p>
            <w:pPr>
              <w:spacing w:before="180" w:after="180"/>
              <w:jc w:val="center"/>
              <w:rPr>
                <w:rFonts w:ascii="Times New Roman" w:hAnsi="Times New Roman" w:cs="Times New Roman"/>
                <w:noProof/>
                <w:sz w:val="20"/>
                <w:szCs w:val="20"/>
              </w:rPr>
            </w:pPr>
          </w:p>
        </w:tc>
        <w:tc>
          <w:tcPr>
            <w:tcW w:w="1146" w:type="dxa"/>
            <w:shd w:val="clear" w:color="auto" w:fill="00B050"/>
            <w:vAlign w:val="center"/>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vAlign w:val="center"/>
          </w:tcPr>
          <w:p>
            <w:pPr>
              <w:spacing w:before="180" w:after="180"/>
              <w:rPr>
                <w:rFonts w:ascii="Times New Roman" w:hAnsi="Times New Roman" w:cs="Times New Roman"/>
                <w:noProof/>
                <w:sz w:val="20"/>
                <w:szCs w:val="20"/>
              </w:rPr>
            </w:pPr>
            <w:r>
              <w:rPr>
                <w:rFonts w:ascii="Times New Roman" w:hAnsi="Times New Roman"/>
                <w:i/>
                <w:noProof/>
                <w:sz w:val="20"/>
              </w:rPr>
              <w:t>Eurodac</w:t>
            </w:r>
            <w:r>
              <w:rPr>
                <w:rFonts w:ascii="Times New Roman" w:hAnsi="Times New Roman"/>
                <w:noProof/>
                <w:sz w:val="20"/>
              </w:rPr>
              <w:t xml:space="preserve"> stiprināšana</w:t>
            </w:r>
            <w:r>
              <w:rPr>
                <w:rStyle w:val="FootnoteReference"/>
                <w:rFonts w:ascii="Times New Roman" w:hAnsi="Times New Roman"/>
                <w:noProof/>
                <w:sz w:val="20"/>
              </w:rPr>
              <w:footnoteReference w:id="20"/>
            </w:r>
          </w:p>
        </w:tc>
        <w:tc>
          <w:tcPr>
            <w:tcW w:w="2521" w:type="dxa"/>
            <w:vAlign w:val="center"/>
          </w:tcPr>
          <w:p>
            <w:pPr>
              <w:spacing w:before="180" w:after="180"/>
              <w:rPr>
                <w:rFonts w:ascii="Times New Roman" w:hAnsi="Times New Roman" w:cs="Times New Roman"/>
                <w:noProof/>
                <w:sz w:val="20"/>
                <w:szCs w:val="20"/>
              </w:rPr>
            </w:pPr>
            <w:r>
              <w:rPr>
                <w:rFonts w:ascii="Times New Roman" w:hAnsi="Times New Roman"/>
                <w:noProof/>
                <w:sz w:val="20"/>
              </w:rPr>
              <w:t>Priekšlikums iesniegts 2016. gada maijā; Eiropas Parlamentam un Padomei jāpabeidz sāktās sarunas.</w:t>
            </w:r>
          </w:p>
        </w:tc>
        <w:tc>
          <w:tcPr>
            <w:tcW w:w="1378" w:type="dxa"/>
            <w:shd w:val="clear" w:color="auto" w:fill="00B050"/>
            <w:vAlign w:val="center"/>
          </w:tcPr>
          <w:p>
            <w:pPr>
              <w:spacing w:before="180" w:after="180"/>
              <w:jc w:val="center"/>
              <w:rPr>
                <w:rFonts w:ascii="Times New Roman" w:hAnsi="Times New Roman" w:cs="Times New Roman"/>
                <w:noProof/>
                <w:sz w:val="20"/>
                <w:szCs w:val="20"/>
              </w:rPr>
            </w:pPr>
          </w:p>
        </w:tc>
        <w:tc>
          <w:tcPr>
            <w:tcW w:w="1276" w:type="dxa"/>
            <w:shd w:val="clear" w:color="auto" w:fill="F79646" w:themeFill="accent6"/>
            <w:vAlign w:val="center"/>
          </w:tcPr>
          <w:p>
            <w:pPr>
              <w:spacing w:before="180" w:after="180"/>
              <w:jc w:val="center"/>
              <w:rPr>
                <w:rFonts w:ascii="Times New Roman" w:hAnsi="Times New Roman" w:cs="Times New Roman"/>
                <w:noProof/>
                <w:sz w:val="20"/>
                <w:szCs w:val="20"/>
              </w:rPr>
            </w:pPr>
          </w:p>
        </w:tc>
        <w:tc>
          <w:tcPr>
            <w:tcW w:w="1146" w:type="dxa"/>
            <w:shd w:val="clear" w:color="auto" w:fill="F79646" w:themeFill="accent6"/>
            <w:vAlign w:val="center"/>
          </w:tcPr>
          <w:p>
            <w:pPr>
              <w:spacing w:before="180" w:after="180"/>
              <w:jc w:val="center"/>
              <w:rPr>
                <w:rFonts w:ascii="Times New Roman" w:hAnsi="Times New Roman" w:cs="Times New Roman"/>
                <w:noProof/>
                <w:sz w:val="20"/>
                <w:szCs w:val="20"/>
              </w:rPr>
            </w:pPr>
          </w:p>
        </w:tc>
      </w:tr>
    </w:tbl>
    <w:p>
      <w:pPr>
        <w:rPr>
          <w:rFonts w:ascii="Times New Roman" w:hAnsi="Times New Roman" w:cs="Times New Roman"/>
          <w:noProof/>
        </w:rPr>
      </w:pPr>
    </w:p>
    <w:p>
      <w:pPr>
        <w:rPr>
          <w:rStyle w:val="A13"/>
          <w:rFonts w:ascii="Times New Roman" w:hAnsi="Times New Roman" w:cs="Times New Roman"/>
          <w:noProof/>
          <w:sz w:val="23"/>
          <w:szCs w:val="23"/>
        </w:rPr>
      </w:pPr>
      <w:r>
        <w:rPr>
          <w:noProof/>
        </w:rPr>
        <w:br w:type="page"/>
      </w:r>
    </w:p>
    <w:p>
      <w:pPr>
        <w:pStyle w:val="Pa35"/>
        <w:rPr>
          <w:rFonts w:ascii="Times New Roman" w:hAnsi="Times New Roman" w:cs="Times New Roman"/>
          <w:noProof/>
        </w:rPr>
      </w:pPr>
      <w:r>
        <w:rPr>
          <w:rStyle w:val="A13"/>
          <w:rFonts w:ascii="Times New Roman" w:hAnsi="Times New Roman"/>
          <w:noProof/>
          <w:sz w:val="23"/>
        </w:rPr>
        <w:t xml:space="preserve">III) </w:t>
      </w:r>
      <w:r>
        <w:rPr>
          <w:rStyle w:val="A13"/>
          <w:rFonts w:ascii="Times New Roman" w:hAnsi="Times New Roman"/>
          <w:noProof/>
          <w:color w:val="auto"/>
          <w:sz w:val="23"/>
        </w:rPr>
        <w:t>Citas likumdošanas iniciatīvas, par kurām notiek apspriedes saistībā ar drošības savienību</w:t>
      </w:r>
      <w:r>
        <w:rPr>
          <w:rStyle w:val="A13"/>
          <w:rFonts w:ascii="Times New Roman" w:hAnsi="Times New Roman" w:cs="Times New Roman"/>
          <w:noProof/>
          <w:color w:val="auto"/>
          <w:sz w:val="23"/>
          <w:szCs w:val="23"/>
        </w:rPr>
        <w:br/>
      </w:r>
    </w:p>
    <w:tbl>
      <w:tblPr>
        <w:tblStyle w:val="TableGrid"/>
        <w:tblW w:w="0" w:type="auto"/>
        <w:jc w:val="center"/>
        <w:tblLook w:val="04A0" w:firstRow="1" w:lastRow="0" w:firstColumn="1" w:lastColumn="0" w:noHBand="0" w:noVBand="1"/>
      </w:tblPr>
      <w:tblGrid>
        <w:gridCol w:w="3085"/>
        <w:gridCol w:w="2521"/>
        <w:gridCol w:w="1378"/>
        <w:gridCol w:w="1292"/>
        <w:gridCol w:w="1219"/>
      </w:tblGrid>
      <w:tr>
        <w:trPr>
          <w:jc w:val="center"/>
        </w:trPr>
        <w:tc>
          <w:tcPr>
            <w:tcW w:w="3085" w:type="dxa"/>
            <w:vAlign w:val="center"/>
          </w:tcPr>
          <w:p>
            <w:pPr>
              <w:jc w:val="center"/>
              <w:rPr>
                <w:rFonts w:ascii="Times New Roman" w:hAnsi="Times New Roman" w:cs="Times New Roman"/>
                <w:b/>
                <w:noProof/>
              </w:rPr>
            </w:pPr>
            <w:r>
              <w:rPr>
                <w:rFonts w:ascii="Times New Roman" w:hAnsi="Times New Roman"/>
                <w:b/>
                <w:noProof/>
              </w:rPr>
              <w:t>Politikas joma</w:t>
            </w:r>
          </w:p>
        </w:tc>
        <w:tc>
          <w:tcPr>
            <w:tcW w:w="2521" w:type="dxa"/>
            <w:vAlign w:val="center"/>
          </w:tcPr>
          <w:p>
            <w:pPr>
              <w:jc w:val="center"/>
              <w:rPr>
                <w:rFonts w:ascii="Times New Roman" w:hAnsi="Times New Roman" w:cs="Times New Roman"/>
                <w:b/>
                <w:noProof/>
              </w:rPr>
            </w:pPr>
            <w:r>
              <w:rPr>
                <w:rFonts w:ascii="Times New Roman" w:hAnsi="Times New Roman"/>
                <w:b/>
                <w:noProof/>
              </w:rPr>
              <w:t>Apraksts</w:t>
            </w:r>
          </w:p>
        </w:tc>
        <w:tc>
          <w:tcPr>
            <w:tcW w:w="1378" w:type="dxa"/>
            <w:vAlign w:val="center"/>
          </w:tcPr>
          <w:p>
            <w:pPr>
              <w:jc w:val="center"/>
              <w:rPr>
                <w:rFonts w:ascii="Times New Roman" w:hAnsi="Times New Roman" w:cs="Times New Roman"/>
                <w:b/>
                <w:noProof/>
              </w:rPr>
            </w:pPr>
            <w:r>
              <w:rPr>
                <w:rFonts w:ascii="Times New Roman" w:hAnsi="Times New Roman"/>
                <w:b/>
                <w:noProof/>
              </w:rPr>
              <w:t>Eiropas Komisija</w:t>
            </w:r>
          </w:p>
        </w:tc>
        <w:tc>
          <w:tcPr>
            <w:tcW w:w="1276" w:type="dxa"/>
            <w:vAlign w:val="center"/>
          </w:tcPr>
          <w:p>
            <w:pPr>
              <w:jc w:val="center"/>
              <w:rPr>
                <w:rFonts w:ascii="Times New Roman" w:hAnsi="Times New Roman" w:cs="Times New Roman"/>
                <w:b/>
                <w:noProof/>
              </w:rPr>
            </w:pPr>
            <w:r>
              <w:rPr>
                <w:rFonts w:ascii="Times New Roman" w:hAnsi="Times New Roman"/>
                <w:b/>
                <w:noProof/>
              </w:rPr>
              <w:t>Eiropas Parlaments</w:t>
            </w:r>
          </w:p>
        </w:tc>
        <w:tc>
          <w:tcPr>
            <w:tcW w:w="1146" w:type="dxa"/>
            <w:vAlign w:val="center"/>
          </w:tcPr>
          <w:p>
            <w:pPr>
              <w:jc w:val="center"/>
              <w:rPr>
                <w:rFonts w:ascii="Times New Roman" w:hAnsi="Times New Roman" w:cs="Times New Roman"/>
                <w:b/>
                <w:noProof/>
              </w:rPr>
            </w:pPr>
            <w:r>
              <w:rPr>
                <w:rFonts w:ascii="Times New Roman" w:hAnsi="Times New Roman"/>
                <w:b/>
                <w:noProof/>
              </w:rPr>
              <w:t>Eiropas Savienības Padome</w:t>
            </w: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Krāpšanas un viltošanas apkarošana attiecībā uz bezskaidras naudas instrumentiem</w:t>
            </w:r>
            <w:r>
              <w:rPr>
                <w:rStyle w:val="FootnoteReference"/>
                <w:rFonts w:ascii="Times New Roman" w:hAnsi="Times New Roman"/>
                <w:noProof/>
                <w:sz w:val="20"/>
              </w:rPr>
              <w:footnoteReference w:id="21"/>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Priekšlikums iesniegts 2017. gada septembrī; oficiālā pieņemšana 2019. gada aprīlī.</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Sprāgstvielu prekursoru tirdzniecības un lietošanas ierobežošana</w:t>
            </w:r>
            <w:r>
              <w:rPr>
                <w:rStyle w:val="FootnoteReference"/>
                <w:rFonts w:ascii="Times New Roman" w:hAnsi="Times New Roman"/>
                <w:noProof/>
                <w:sz w:val="20"/>
              </w:rPr>
              <w:footnoteReference w:id="22"/>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Priekšlikums iesniegts 2018. gada aprīlī; oficiālā pieņemšana 2019. gada aprīlī.</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Aizsardzības elementu uzlabošana valsts personas apliecībās un uzturēšanās dokumentos</w:t>
            </w:r>
            <w:r>
              <w:rPr>
                <w:rStyle w:val="FootnoteReference"/>
                <w:rFonts w:ascii="Times New Roman" w:hAnsi="Times New Roman"/>
                <w:noProof/>
                <w:sz w:val="20"/>
              </w:rPr>
              <w:footnoteReference w:id="23"/>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 xml:space="preserve">Priekšlikums iesniegts 2018. gada aprīlī; Eiropas Parlaments un Padome 2019. gada februārī panāca pagaidu vienošanos, kas EP plenārsēdei jāapstiprina 2019. gada aprīlī; jāveic oficiālā pieņemšana. </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00B050"/>
          </w:tcPr>
          <w:p>
            <w:pPr>
              <w:spacing w:before="180" w:after="180"/>
              <w:jc w:val="center"/>
              <w:rPr>
                <w:rFonts w:ascii="Times New Roman" w:hAnsi="Times New Roman" w:cs="Times New Roman"/>
                <w:noProof/>
                <w:sz w:val="20"/>
                <w:szCs w:val="20"/>
              </w:rPr>
            </w:pPr>
          </w:p>
        </w:tc>
        <w:tc>
          <w:tcPr>
            <w:tcW w:w="1146" w:type="dxa"/>
            <w:shd w:val="clear" w:color="auto" w:fill="00B050"/>
          </w:tcPr>
          <w:p>
            <w:pPr>
              <w:spacing w:before="180" w:after="180"/>
              <w:jc w:val="center"/>
              <w:rPr>
                <w:rFonts w:ascii="Times New Roman" w:hAnsi="Times New Roman" w:cs="Times New Roman"/>
                <w:noProof/>
                <w:sz w:val="20"/>
                <w:szCs w:val="20"/>
              </w:rPr>
            </w:pPr>
          </w:p>
        </w:tc>
      </w:tr>
      <w:tr>
        <w:trPr>
          <w:jc w:val="center"/>
        </w:trPr>
        <w:tc>
          <w:tcPr>
            <w:tcW w:w="3085" w:type="dxa"/>
            <w:shd w:val="clear" w:color="auto" w:fill="DBE5F1" w:themeFill="accent1" w:themeFillTint="33"/>
          </w:tcPr>
          <w:p>
            <w:pPr>
              <w:spacing w:before="180" w:after="180"/>
              <w:rPr>
                <w:rFonts w:ascii="Times New Roman" w:hAnsi="Times New Roman" w:cs="Times New Roman"/>
                <w:noProof/>
                <w:sz w:val="20"/>
                <w:szCs w:val="20"/>
              </w:rPr>
            </w:pPr>
            <w:r>
              <w:rPr>
                <w:rFonts w:ascii="Times New Roman" w:hAnsi="Times New Roman"/>
                <w:noProof/>
                <w:sz w:val="20"/>
              </w:rPr>
              <w:t>Vīzu informācijas sistēmas stiprināšana</w:t>
            </w:r>
            <w:r>
              <w:rPr>
                <w:rStyle w:val="FootnoteReference"/>
                <w:rFonts w:ascii="Times New Roman" w:hAnsi="Times New Roman"/>
                <w:noProof/>
                <w:sz w:val="20"/>
              </w:rPr>
              <w:footnoteReference w:id="24"/>
            </w:r>
          </w:p>
        </w:tc>
        <w:tc>
          <w:tcPr>
            <w:tcW w:w="2521" w:type="dxa"/>
          </w:tcPr>
          <w:p>
            <w:pPr>
              <w:spacing w:before="180" w:after="180"/>
              <w:rPr>
                <w:rFonts w:ascii="Times New Roman" w:hAnsi="Times New Roman" w:cs="Times New Roman"/>
                <w:noProof/>
                <w:sz w:val="20"/>
                <w:szCs w:val="20"/>
              </w:rPr>
            </w:pPr>
            <w:r>
              <w:rPr>
                <w:rFonts w:ascii="Times New Roman" w:hAnsi="Times New Roman"/>
                <w:noProof/>
                <w:sz w:val="20"/>
              </w:rPr>
              <w:t>Priekšlikums iesniegts 2018. gada maijā; Padome pieņēma sarunu pilnvarojumu 2018. gada 19. decembrī; Eiropas Parlaments</w:t>
            </w:r>
            <w:r>
              <w:rPr>
                <w:noProof/>
              </w:rPr>
              <w:t xml:space="preserve"> </w:t>
            </w:r>
            <w:r>
              <w:rPr>
                <w:rFonts w:ascii="Times New Roman" w:hAnsi="Times New Roman"/>
                <w:noProof/>
                <w:sz w:val="20"/>
              </w:rPr>
              <w:t>balsoja par ziņojumu 2019. gada 13. martā, šādi noslēdzot tā pirmo lasījumu. Trialoga sarunas starp līdztiesīgajiem likumdevējiem jāsāk nākamajā Eiropas Parlamentā.</w:t>
            </w:r>
          </w:p>
        </w:tc>
        <w:tc>
          <w:tcPr>
            <w:tcW w:w="1378" w:type="dxa"/>
            <w:shd w:val="clear" w:color="auto" w:fill="00B050"/>
          </w:tcPr>
          <w:p>
            <w:pPr>
              <w:spacing w:before="180" w:after="180"/>
              <w:jc w:val="center"/>
              <w:rPr>
                <w:rFonts w:ascii="Times New Roman" w:hAnsi="Times New Roman" w:cs="Times New Roman"/>
                <w:noProof/>
                <w:sz w:val="20"/>
                <w:szCs w:val="20"/>
              </w:rPr>
            </w:pPr>
          </w:p>
        </w:tc>
        <w:tc>
          <w:tcPr>
            <w:tcW w:w="1276" w:type="dxa"/>
            <w:shd w:val="clear" w:color="auto" w:fill="FFFF00"/>
          </w:tcPr>
          <w:p>
            <w:pPr>
              <w:spacing w:before="180" w:after="180"/>
              <w:jc w:val="center"/>
              <w:rPr>
                <w:rFonts w:ascii="Times New Roman" w:hAnsi="Times New Roman" w:cs="Times New Roman"/>
                <w:noProof/>
                <w:sz w:val="20"/>
                <w:szCs w:val="20"/>
              </w:rPr>
            </w:pPr>
          </w:p>
        </w:tc>
        <w:tc>
          <w:tcPr>
            <w:tcW w:w="1146" w:type="dxa"/>
            <w:shd w:val="clear" w:color="auto" w:fill="FFFF00"/>
          </w:tcPr>
          <w:p>
            <w:pPr>
              <w:spacing w:before="180" w:after="180"/>
              <w:jc w:val="center"/>
              <w:rPr>
                <w:rFonts w:ascii="Times New Roman" w:hAnsi="Times New Roman" w:cs="Times New Roman"/>
                <w:noProof/>
                <w:sz w:val="20"/>
                <w:szCs w:val="20"/>
              </w:rPr>
            </w:pPr>
          </w:p>
        </w:tc>
      </w:tr>
    </w:tbl>
    <w:p>
      <w:pPr>
        <w:tabs>
          <w:tab w:val="left" w:pos="6345"/>
        </w:tabs>
        <w:rPr>
          <w:rFonts w:ascii="Times New Roman" w:hAnsi="Times New Roman" w:cs="Times New Roman"/>
          <w:noProof/>
          <w:sz w:val="2"/>
          <w:szCs w:val="2"/>
        </w:rPr>
      </w:pPr>
    </w:p>
    <w:p>
      <w:pPr>
        <w:tabs>
          <w:tab w:val="left" w:pos="6345"/>
        </w:tabs>
        <w:rPr>
          <w:rFonts w:ascii="Times New Roman" w:hAnsi="Times New Roman" w:cs="Times New Roman"/>
          <w:noProof/>
          <w:sz w:val="2"/>
          <w:szCs w:val="2"/>
        </w:rPr>
      </w:pPr>
    </w:p>
    <w:p>
      <w:pPr>
        <w:rPr>
          <w:noProof/>
        </w:rPr>
      </w:pPr>
    </w:p>
    <w:sectPr>
      <w:headerReference w:type="even" r:id="rId15"/>
      <w:headerReference w:type="default" r:id="rId16"/>
      <w:footerReference w:type="even" r:id="rId17"/>
      <w:footerReference w:type="default" r:id="rId18"/>
      <w:headerReference w:type="first" r:id="rId19"/>
      <w:footerReference w:type="first" r:id="rId20"/>
      <w:pgSz w:w="11910" w:h="16840"/>
      <w:pgMar w:top="1020" w:right="400" w:bottom="0" w:left="4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LV</w:t>
    </w:r>
    <w:r>
      <w:rPr>
        <w:rFonts w:ascii="Arial" w:hAnsi="Arial" w:cs="Arial"/>
        <w:b/>
        <w:sz w:val="48"/>
      </w:rPr>
      <w:tab/>
    </w:r>
    <w:r>
      <w:rPr>
        <w:rFonts w:ascii="Arial" w:hAnsi="Arial" w:cs="Arial"/>
        <w:b/>
        <w:sz w:val="48"/>
      </w:rPr>
      <w:tab/>
    </w:r>
    <w:r>
      <w:tab/>
    </w:r>
    <w:r>
      <w:rPr>
        <w:rFonts w:ascii="Arial" w:hAnsi="Arial" w:cs="Arial"/>
        <w:b/>
        <w:sz w:val="48"/>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17396"/>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ind w:left="567" w:hanging="567"/>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t>
      </w:r>
      <w:r>
        <w:tab/>
      </w:r>
      <w:hyperlink r:id="rId1">
        <w:r>
          <w:rPr>
            <w:rStyle w:val="Hyperlink"/>
            <w:rFonts w:ascii="Times New Roman" w:hAnsi="Times New Roman"/>
          </w:rPr>
          <w:t>https://ec.europa.eu/commission/sites/beta-political/files/soteu2018-speech_en_0.pdf</w:t>
        </w:r>
      </w:hyperlink>
      <w:r>
        <w:rPr>
          <w:rFonts w:ascii="Times New Roman" w:hAnsi="Times New Roman"/>
        </w:rPr>
        <w:t xml:space="preserve">. Sk. arī Komisijas priekšsēdētāja Ž. K. Junkera nodomu vēstuli: </w:t>
      </w:r>
      <w:hyperlink r:id="rId2">
        <w:r>
          <w:rPr>
            <w:rStyle w:val="Hyperlink"/>
            <w:rFonts w:ascii="Times New Roman" w:hAnsi="Times New Roman"/>
          </w:rPr>
          <w:t>https://ec.europa.eu/commission/sites/beta-political/files/soteu2018-letter-of-intent_en.pdf</w:t>
        </w:r>
      </w:hyperlink>
      <w:r>
        <w:rPr>
          <w:rFonts w:ascii="Times New Roman" w:hAnsi="Times New Roman"/>
        </w:rPr>
        <w:t>.</w:t>
      </w:r>
    </w:p>
  </w:footnote>
  <w:footnote w:id="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640 final (12.9.2018.).</w:t>
      </w:r>
    </w:p>
  </w:footnote>
  <w:footnote w:id="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641 final (12.9.2018.).</w:t>
      </w:r>
    </w:p>
  </w:footnote>
  <w:footnote w:id="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636 final (12.9.2018.).</w:t>
      </w:r>
    </w:p>
  </w:footnote>
  <w:footnote w:id="5">
    <w:p>
      <w:pPr>
        <w:pStyle w:val="FootnoteText"/>
        <w:ind w:left="567" w:hanging="567"/>
        <w:jc w:val="both"/>
        <w:rPr>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631 final (12.9.2018.).</w:t>
      </w:r>
    </w:p>
  </w:footnote>
  <w:footnote w:id="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630 final (12.9.2018.).</w:t>
      </w:r>
    </w:p>
  </w:footnote>
  <w:footnote w:id="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hyperlink r:id="rId3">
        <w:r>
          <w:rPr>
            <w:rStyle w:val="Hyperlink"/>
            <w:rFonts w:ascii="Times New Roman" w:hAnsi="Times New Roman"/>
          </w:rPr>
          <w:t>https://ec.europa.eu/commission/sites/beta-political/files/joint-declaration-eu-legislative-priorities-2018-19_en.pdf</w:t>
        </w:r>
      </w:hyperlink>
      <w:r>
        <w:rPr>
          <w:rFonts w:ascii="Times New Roman" w:hAnsi="Times New Roman"/>
        </w:rPr>
        <w:t>.</w:t>
      </w:r>
    </w:p>
  </w:footnote>
  <w:footnote w:id="8">
    <w:p>
      <w:pPr>
        <w:pStyle w:val="FootnoteText"/>
        <w:ind w:left="567" w:hanging="567"/>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 (ES) 2018/1240 (12.9.2018.) un Regula (ES) 2018/1241 (12.9.2018.).</w:t>
      </w:r>
    </w:p>
  </w:footnote>
  <w:footnote w:id="9">
    <w:p>
      <w:pPr>
        <w:pStyle w:val="FootnoteText"/>
        <w:ind w:left="567" w:hanging="567"/>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 (ES) 2018/1726 (14.11.2018.).</w:t>
      </w:r>
    </w:p>
  </w:footnote>
  <w:footnote w:id="10">
    <w:p>
      <w:pPr>
        <w:pStyle w:val="FootnoteText"/>
        <w:ind w:left="567" w:hanging="567"/>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 (ES) 2018/1860 (28.11.2018.), Regula (ES) 2018/1861 (28.11.2018.) un Regula (ES) 2018/1862 (28.11.2018.).</w:t>
      </w:r>
    </w:p>
  </w:footnote>
  <w:footnote w:id="11">
    <w:p>
      <w:pPr>
        <w:pStyle w:val="FootnoteText"/>
        <w:ind w:left="567" w:hanging="567"/>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Direktīva (ES) 2018/843 (30.5.2018.).</w:t>
      </w:r>
    </w:p>
  </w:footnote>
  <w:footnote w:id="12">
    <w:p>
      <w:pPr>
        <w:pStyle w:val="FootnoteText"/>
        <w:ind w:left="567" w:hanging="567"/>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Regula (ES) 2017/2226 (30.11.2017.).</w:t>
      </w:r>
    </w:p>
  </w:footnote>
  <w:footnote w:id="13">
    <w:p>
      <w:pPr>
        <w:pStyle w:val="FootnoteText"/>
        <w:ind w:left="567" w:hanging="567"/>
        <w:jc w:val="both"/>
        <w:rPr>
          <w:rFonts w:ascii="Times New Roman" w:hAnsi="Times New Roman" w:cs="Times New Roman"/>
          <w:lang w:val="es-ES"/>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Direktīva (ES) 2017/853 (17.5.2017.).</w:t>
      </w:r>
    </w:p>
  </w:footnote>
  <w:footnote w:id="14">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Direktīva (ES) 2017/541 (15.3.2017.).</w:t>
      </w:r>
    </w:p>
  </w:footnote>
  <w:footnote w:id="15">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477 final (13.9.2017.).</w:t>
      </w:r>
    </w:p>
  </w:footnote>
  <w:footnote w:id="16">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7 final (19.1.2016.) un COM(2017) 344 final (29.6.2017.).</w:t>
      </w:r>
    </w:p>
  </w:footnote>
  <w:footnote w:id="17">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793 final (12.12.2017.), COM(2017) 794 final (12.12.2017.), COM(2018) 478 final (13.6.2018.) un COM(2018) 480 final (13.6.2018.).</w:t>
      </w:r>
    </w:p>
  </w:footnote>
  <w:footnote w:id="18">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225 final (17.4.2018.) un COM(2018) 226 final (17.4.2018.).</w:t>
      </w:r>
    </w:p>
  </w:footnote>
  <w:footnote w:id="19">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213 final (17.4.2018.).</w:t>
      </w:r>
    </w:p>
  </w:footnote>
  <w:footnote w:id="20">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COM(2016) 272 final (4.5.2016.).</w:t>
      </w:r>
    </w:p>
  </w:footnote>
  <w:footnote w:id="21">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COM(2017) 489 final (13.9.2017.).</w:t>
      </w:r>
    </w:p>
  </w:footnote>
  <w:footnote w:id="22">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209 final (17.4.2018.).</w:t>
      </w:r>
    </w:p>
  </w:footnote>
  <w:footnote w:id="23">
    <w:p>
      <w:pPr>
        <w:pStyle w:val="FootnoteText"/>
        <w:ind w:left="567" w:hanging="567"/>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212 final (17.4.2018.).</w:t>
      </w:r>
    </w:p>
  </w:footnote>
  <w:footnote w:id="24">
    <w:p>
      <w:pPr>
        <w:pStyle w:val="FootnoteText"/>
        <w:ind w:left="567" w:hanging="567"/>
        <w:jc w:val="both"/>
        <w:rPr>
          <w:lang w:val="pt-PT"/>
        </w:rPr>
      </w:pPr>
      <w:r>
        <w:rPr>
          <w:rStyle w:val="FootnoteReference"/>
          <w:rFonts w:ascii="Times New Roman" w:hAnsi="Times New Roman"/>
        </w:rPr>
        <w:footnoteRef/>
      </w:r>
      <w:r>
        <w:rPr>
          <w:rFonts w:ascii="Times New Roman" w:hAnsi="Times New Roman"/>
        </w:rPr>
        <w:t xml:space="preserve"> </w:t>
      </w:r>
      <w:r>
        <w:tab/>
      </w:r>
      <w:r>
        <w:rPr>
          <w:rFonts w:ascii="Times New Roman" w:hAnsi="Times New Roman"/>
        </w:rPr>
        <w:t>COM(2018) 302 final (16.5.2018.).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GL Julian (CAB-KING)">
    <w15:presenceInfo w15:providerId="None" w15:userId="SIEGL Julian (CAB-KING)"/>
  </w15:person>
  <w15:person w15:author="ROSSIDES Giorgos (CAB-AVRAMOPOULOS)">
    <w15:presenceInfo w15:providerId="None" w15:userId="ROSSIDES Giorgos (CAB-AVRAM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markup="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dokumentam"/>
    <w:docVar w:name="LW_ANNEX_NBR_FIRST" w:val="1"/>
    <w:docVar w:name="LW_ANNEX_NBR_LAST" w:val="1"/>
    <w:docVar w:name="LW_ANNEX_UNIQUE" w:val="1"/>
    <w:docVar w:name="LW_CORRIGENDUM" w:val="&lt;UNUSED&gt;"/>
    <w:docVar w:name="LW_COVERPAGE_EXISTS" w:val="True"/>
    <w:docVar w:name="LW_COVERPAGE_GUID" w:val="E821E26E-FAAD-4C5F-97FA-1365A885CE09"/>
    <w:docVar w:name="LW_COVERPAGE_TYPE" w:val="1"/>
    <w:docVar w:name="LW_CROSSREFERENCE" w:val="{SWD(2019) 140 final}"/>
    <w:docVar w:name="LW_DocType" w:val="NORMAL"/>
    <w:docVar w:name="LW_EMISSION" w:val="20.3.2019"/>
    <w:docVar w:name="LW_EMISSION_ISODATE" w:val="2019-03-20"/>
    <w:docVar w:name="LW_EMISSION_LOCATION" w:val="BRX"/>
    <w:docVar w:name="LW_EMISSION_PREFIX" w:val="Briselē, "/>
    <w:docVar w:name="LW_EMISSION_SUFFIX" w:val="."/>
    <w:docVar w:name="LW_ID_DOCTYPE_NONLW" w:val="CP-039"/>
    <w:docVar w:name="LW_LANGUE" w:val="LV"/>
    <w:docVar w:name="LW_LEVEL_OF_SENSITIVITY" w:val="Standard treatment"/>
    <w:docVar w:name="LW_NOM.INST" w:val="EIROPAS KOMISIJA"/>
    <w:docVar w:name="LW_NOM.INST_JOINTDOC" w:val="&lt;EMPTY&gt;"/>
    <w:docVar w:name="LW_OBJETACTEPRINCIPAL.CP" w:val="Asto\u326?padsmitais progresa zi\u326?ojums virz\u299?b\u257? uz efekt\u299?vu un patiesu dro\u353?\u299?bas savien\u299?bu_x000b__x000b_Likumdo\u353?anas iniciat\u299?vu saraksts_x000b_"/>
    <w:docVar w:name="LW_PART_NBR" w:val="1"/>
    <w:docVar w:name="LW_PART_NBR_TOTAL" w:val="1"/>
    <w:docVar w:name="LW_REF.INST.NEW" w:val="COM"/>
    <w:docVar w:name="LW_REF.INST.NEW_ADOPTED" w:val="final"/>
    <w:docVar w:name="LW_REF.INST.NEW_TEXT" w:val="(2019) 14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PIELIKUMS_x000b_"/>
    <w:docVar w:name="LW_TYPEACTEPRINCIPAL.CP" w:val="KOMISIJAS PAZI\u325?OJUMS EIROPAS PARLAMENTAM, EIROPADOMEI UN PADOMEI"/>
  </w:docVar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lv-LV" w:bidi="lv-LV"/>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paragraph" w:styleId="BodyText">
    <w:name w:val="Body Text"/>
    <w:basedOn w:val="Normal"/>
    <w:link w:val="BodyTextChar"/>
    <w:uiPriority w:val="1"/>
    <w:qFormat/>
    <w:pPr>
      <w:widowControl w:val="0"/>
      <w:autoSpaceDE w:val="0"/>
      <w:autoSpaceDN w:val="0"/>
      <w:spacing w:before="4" w:after="0" w:line="240" w:lineRule="auto"/>
      <w:ind w:left="40"/>
    </w:pPr>
    <w:rPr>
      <w:rFonts w:ascii="EC Square Sans Pro" w:eastAsia="EC Square Sans Pro" w:hAnsi="EC Square Sans Pro" w:cs="EC Square Sans Pro"/>
      <w:sz w:val="18"/>
      <w:szCs w:val="18"/>
    </w:rPr>
  </w:style>
  <w:style w:type="character" w:customStyle="1" w:styleId="BodyTextChar">
    <w:name w:val="Body Text Char"/>
    <w:basedOn w:val="DefaultParagraphFont"/>
    <w:link w:val="BodyText"/>
    <w:uiPriority w:val="1"/>
    <w:rPr>
      <w:rFonts w:ascii="EC Square Sans Pro" w:eastAsia="EC Square Sans Pro" w:hAnsi="EC Square Sans Pro" w:cs="EC Square Sans Pro"/>
      <w:sz w:val="18"/>
      <w:szCs w:val="18"/>
      <w:lang w:eastAsia="lv-LV" w:bidi="lv-LV"/>
    </w:rPr>
  </w:style>
  <w:style w:type="character" w:styleId="Hyperlink">
    <w:name w:val="Hyperlink"/>
    <w:basedOn w:val="DefaultParagraphFont"/>
    <w:uiPriority w:val="99"/>
    <w:unhideWhenUsed/>
    <w:rPr>
      <w:color w:val="0000FF" w:themeColor="hyperlink"/>
      <w:u w:val="single"/>
    </w:rPr>
  </w:style>
  <w:style w:type="paragraph" w:customStyle="1" w:styleId="Pa35">
    <w:name w:val="Pa35"/>
    <w:basedOn w:val="Normal"/>
    <w:next w:val="Normal"/>
    <w:uiPriority w:val="99"/>
    <w:pPr>
      <w:autoSpaceDE w:val="0"/>
      <w:autoSpaceDN w:val="0"/>
      <w:adjustRightInd w:val="0"/>
      <w:spacing w:after="0" w:line="195" w:lineRule="atLeast"/>
    </w:pPr>
    <w:rPr>
      <w:rFonts w:ascii="EC Square Sans Pro" w:hAnsi="EC Square Sans Pro"/>
      <w:sz w:val="24"/>
      <w:szCs w:val="24"/>
    </w:rPr>
  </w:style>
  <w:style w:type="character" w:customStyle="1" w:styleId="A13">
    <w:name w:val="A13"/>
    <w:uiPriority w:val="99"/>
    <w:rPr>
      <w:rFonts w:cs="EC Square Sans Pro"/>
      <w:b/>
      <w:bCs/>
      <w:color w:val="00000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CSR,Fußnotentextf,Note de bas de page Car Car Car Car Car Car Car Car Car Car,Note de bas de page Car Car Car Car,Note de bas de page Car Car Car Car Car Car Car Car Car,ft,Fußnote, Char Char Car,fn,Schriftart: 9 pt,o"/>
    <w:basedOn w:val="Normal"/>
    <w:link w:val="FootnoteTextChar"/>
    <w:uiPriority w:val="99"/>
    <w:unhideWhenUsed/>
    <w:qFormat/>
    <w:pPr>
      <w:spacing w:after="0" w:line="240" w:lineRule="auto"/>
    </w:pPr>
    <w:rPr>
      <w:sz w:val="20"/>
      <w:szCs w:val="20"/>
    </w:rPr>
  </w:style>
  <w:style w:type="character" w:customStyle="1" w:styleId="FootnoteTextChar">
    <w:name w:val="Footnote Text Char"/>
    <w:aliases w:val="Footnote TextCSR Char,Fußnotentextf Char,Note de bas de page Car Car Car Car Car Car Car Car Car Car Char,Note de bas de page Car Car Car Car Char,Note de bas de page Car Car Car Car Car Car Car Car Car Char,ft Char,Fußnote Char"/>
    <w:basedOn w:val="DefaultParagraphFont"/>
    <w:link w:val="FootnoteText"/>
    <w:uiPriority w:val="99"/>
    <w:qFormat/>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sites/beta-political/files/joint-declaration-eu-legislative-priorities-2018-19_en.pdf" TargetMode="External"/><Relationship Id="rId2" Type="http://schemas.openxmlformats.org/officeDocument/2006/relationships/hyperlink" Target="https://ec.europa.eu/commission/sites/beta-political/files/soteu2018-letter-of-intent_en.pdf" TargetMode="External"/><Relationship Id="rId1" Type="http://schemas.openxmlformats.org/officeDocument/2006/relationships/hyperlink" Target="https://ec.europa.eu/commission/sites/beta-political/files/soteu2018-speech_e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09824BF-D3C8-4F4D-B786-FB69C36E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576</Words>
  <Characters>4412</Characters>
  <Application>Microsoft Office Word</Application>
  <DocSecurity>0</DocSecurity>
  <Lines>315</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BARETTE Anne (HOME)</dc:creator>
  <cp:lastModifiedBy>WES PDFC Administrator</cp:lastModifiedBy>
  <cp:revision>13</cp:revision>
  <cp:lastPrinted>2019-03-06T14:21:00Z</cp:lastPrinted>
  <dcterms:created xsi:type="dcterms:W3CDTF">2019-03-15T15:44:00Z</dcterms:created>
  <dcterms:modified xsi:type="dcterms:W3CDTF">2019-04-10T14:17:00Z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reated using">
    <vt:lpwstr>LW 6.0.1, Build 20180503</vt:lpwstr>
  </property>
  <property fmtid="{D5CDD505-2E9C-101B-9397-08002B2CF9AE}" pid="10" name="Last edited using">
    <vt:lpwstr>LW 6.0.1, Build 20180503</vt:lpwstr>
  </property>
</Properties>
</file>