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868CB1B2-519C-4D11-9D14-6BE54C26A54D" style="width:450.8pt;height:348.1pt">
            <v:imagedata r:id="rId13" o:title=""/>
          </v:shape>
        </w:pict>
      </w:r>
    </w:p>
    <w:bookmarkEnd w:id="0"/>
    <w:p>
      <w:pPr>
        <w:rPr>
          <w:noProof/>
        </w:rPr>
        <w:sectPr>
          <w:headerReference w:type="even" r:id="rId14"/>
          <w:headerReference w:type="default" r:id="rId15"/>
          <w:footerReference w:type="even" r:id="rId16"/>
          <w:footerReference w:type="default" r:id="rId17"/>
          <w:headerReference w:type="first" r:id="rId18"/>
          <w:footerReference w:type="first" r:id="rId19"/>
          <w:pgSz w:w="11906" w:h="16838"/>
          <w:pgMar w:top="1134" w:right="1417" w:bottom="1134" w:left="1417" w:header="709" w:footer="709" w:gutter="0"/>
          <w:pgNumType w:start="0"/>
          <w:cols w:space="720"/>
          <w:docGrid w:linePitch="360"/>
        </w:sectPr>
      </w:pPr>
    </w:p>
    <w:p>
      <w:pPr>
        <w:pStyle w:val="Typedudocument"/>
        <w:rPr>
          <w:noProof/>
        </w:rPr>
      </w:pPr>
      <w:bookmarkStart w:id="1" w:name="_GoBack"/>
      <w:bookmarkEnd w:id="1"/>
      <w:r>
        <w:rPr>
          <w:noProof/>
        </w:rPr>
        <w:lastRenderedPageBreak/>
        <w:t>A BIZOTTSÁG KÖZLEMÉNYE AZ EURÓPAI PARLAMENTNEK, AZ EURÓPAI TANÁCSNAK, A TANÁCSNAK, AZ EURÓPAI KÖZPONTI BANKNAK, AZ EURÓPAI GAZDASÁGI ÉS SZOCIÁLIS BIZOTTSÁGNAK, A RÉGIÓK BIZOTTSÁGÁNAK ÉS AZ EURÓPAI BERUHÁZÁSI BANKNAK</w:t>
      </w:r>
    </w:p>
    <w:p>
      <w:pPr>
        <w:pStyle w:val="Titreobjet"/>
        <w:rPr>
          <w:noProof/>
        </w:rPr>
      </w:pPr>
      <w:r>
        <w:rPr>
          <w:noProof/>
        </w:rPr>
        <w:t>Az Egyesült Királyságnak az Unióból megállapodás nélkül való kilépésével járó hatás kezelése: az Unió összehangolt megközelítése</w:t>
      </w:r>
    </w:p>
    <w:p>
      <w:pPr>
        <w:pStyle w:val="Heading"/>
        <w:numPr>
          <w:ilvl w:val="0"/>
          <w:numId w:val="2"/>
        </w:numPr>
        <w:rPr>
          <w:noProof/>
        </w:rPr>
      </w:pPr>
      <w:r>
        <w:rPr>
          <w:noProof/>
        </w:rPr>
        <w:t>Bevezetés</w:t>
      </w:r>
    </w:p>
    <w:p>
      <w:pPr>
        <w:pStyle w:val="Text1"/>
        <w:ind w:left="0"/>
        <w:rPr>
          <w:noProof/>
        </w:rPr>
      </w:pPr>
      <w:r>
        <w:rPr>
          <w:noProof/>
        </w:rPr>
        <w:t>2017. március 29-én az Egyesült Királyság bejelentette az Unióból való kilépésre irányuló szándékát. A Bizottság továbbra is úgy véli, hogy az lenne a legcélravezetőbb, ha az Egyesült Királyság az Egyesült Királyság kormánya által elfogadott és az Európai Tanács (50. cikk) által 2018. november 25-én jóváhagyott megállapodás alapján, rendezett körülmények között lépne ki az Unióból. A Bizottság továbbra is e célra összpontosítja erőfeszítéseit. Mindazonáltal most, az Európai Tanács által 2019. április 12-ig meghosszabbított határidő</w:t>
      </w:r>
      <w:r>
        <w:rPr>
          <w:noProof/>
          <w:vertAlign w:val="superscript"/>
        </w:rPr>
        <w:footnoteReference w:id="2"/>
      </w:r>
      <w:r>
        <w:rPr>
          <w:noProof/>
        </w:rPr>
        <w:t xml:space="preserve"> előtt két nappal fokozott a valószínűsége a rendezetlen kilépésnek. E közlemény célja, hogy mérleget vonjon az e lehetséges forgatókönyvre irányulóan 2017 óta folyó intenzív felkészülésről.</w:t>
      </w:r>
    </w:p>
    <w:p>
      <w:pPr>
        <w:pStyle w:val="Text1"/>
        <w:ind w:left="0"/>
        <w:rPr>
          <w:noProof/>
        </w:rPr>
      </w:pPr>
      <w:r>
        <w:rPr>
          <w:noProof/>
        </w:rPr>
        <w:t>A Bizottság több alkalommal – így a 2018. július 19-i</w:t>
      </w:r>
      <w:r>
        <w:rPr>
          <w:noProof/>
          <w:vertAlign w:val="superscript"/>
        </w:rPr>
        <w:footnoteReference w:id="3"/>
      </w:r>
      <w:r>
        <w:rPr>
          <w:noProof/>
        </w:rPr>
        <w:t>, a 2018. november 13-i</w:t>
      </w:r>
      <w:r>
        <w:rPr>
          <w:noProof/>
          <w:vertAlign w:val="superscript"/>
        </w:rPr>
        <w:footnoteReference w:id="4"/>
      </w:r>
      <w:r>
        <w:rPr>
          <w:noProof/>
        </w:rPr>
        <w:t xml:space="preserve"> és a 2018. december 19-i</w:t>
      </w:r>
      <w:r>
        <w:rPr>
          <w:noProof/>
          <w:vertAlign w:val="superscript"/>
        </w:rPr>
        <w:footnoteReference w:id="5"/>
      </w:r>
      <w:r>
        <w:rPr>
          <w:noProof/>
        </w:rPr>
        <w:t xml:space="preserve"> brexitfelkészülési közleményben – is felhívta valamennyi érdekelt fél figyelmét arra, hogy egy megállapodás nélküli kilépés jelentős fennakadásokat okozna. Ez az értékelés nem változott. Megállapodás nélküli kilépés esetén nem lesz lehetőség a kilépésről rendelkező megállapodásban előirányzottal egyenértékű rendezett átmenetre.</w:t>
      </w:r>
    </w:p>
    <w:p>
      <w:pPr>
        <w:pStyle w:val="Text1"/>
        <w:ind w:left="0"/>
        <w:rPr>
          <w:noProof/>
        </w:rPr>
      </w:pPr>
      <w:r>
        <w:rPr>
          <w:noProof/>
        </w:rPr>
        <w:t>Következésképpen az uniós intézmények, a tagállamok közigazgatásai valamennyi szinten és minden érdekelt fél közösen dolgoztak azon, hogy mérsékeljék a megállapodás nélküli kilépés hatását. E közös erőfeszítés eredményeként ma az EU készen áll a rendezetlen kilépésre.</w:t>
      </w:r>
    </w:p>
    <w:p>
      <w:pPr>
        <w:pStyle w:val="Text1"/>
        <w:ind w:left="0"/>
        <w:rPr>
          <w:noProof/>
        </w:rPr>
      </w:pPr>
      <w:r>
        <w:rPr>
          <w:noProof/>
        </w:rPr>
        <w:t>Az európai és nemzeti szinten elfogadott rendkívüli intézkedések a 2018. november 13-i közleményben meghatározott általános elveken alapulnak. A rendkívüli intézkedések nem egyenértékűek az uniós tagság előnyeivel, sem a kilépésről rendelkező megállapodásban előírt átmeneti időszak feltételeivel. Ezek az intézkedések ideiglenes jellegűek, és azokat az Európai Unió a saját érdekei védelmében egyoldalúan fogadta el. Az intézkedések maradéktalanul tiszteletben tartják a Szerződések által megállapított hatáskörmegosztást, valamint a szubszidiaritás elvét.</w:t>
      </w:r>
    </w:p>
    <w:p>
      <w:pPr>
        <w:pStyle w:val="Text1"/>
        <w:ind w:left="0"/>
        <w:rPr>
          <w:noProof/>
        </w:rPr>
      </w:pPr>
      <w:r>
        <w:rPr>
          <w:noProof/>
        </w:rPr>
        <w:t>Megállapodás nélküli kilépés esetén ezek az ideiglenes rendkívüli intézkedések lehetővé teszik az Egyesült Királyság számára, hogy megoldást keressen a kilépés azon három fő kérdésére, amelyek az Egyesült Királysággal a jövőbeli kapcsolatokról folytatandó tárgyalások előfeltételét képezik. Amint azt Jean-Claude Juncker elnök 2019. április 3-án az Európai Parlamentben tartott beszédében</w:t>
      </w:r>
      <w:r>
        <w:rPr>
          <w:rStyle w:val="FootnoteReference"/>
          <w:noProof/>
        </w:rPr>
        <w:footnoteReference w:id="6"/>
      </w:r>
      <w:r>
        <w:rPr>
          <w:noProof/>
        </w:rPr>
        <w:t xml:space="preserve"> kijelentette, e három kérdés a következő: i. továbbra is tiszteletben kell tartani és védeni kell az EU27-tagállamok és az Egyesült Királyság azon állampolgárainak jogait, akik a kilépés előtt gyakorolták a szabad mozgáshoz való jogukat; ii. az Egyesült Királyságnak továbbra is tiszteletben kell tartania a tagállamként tett pénzügyi kötelezettségeit; iii. megoldást kell találni az Ír-sziget békéjének és a belső piac integritásának megőrzésére. Az Egyesült Királyságnak maradéktalanul tiszteletben kell tartania a nagypénteki megállapodás betűjét és szellemét.</w:t>
      </w:r>
    </w:p>
    <w:p>
      <w:pPr>
        <w:pStyle w:val="Heading"/>
        <w:numPr>
          <w:ilvl w:val="0"/>
          <w:numId w:val="2"/>
        </w:numPr>
        <w:rPr>
          <w:noProof/>
        </w:rPr>
      </w:pPr>
      <w:r>
        <w:rPr>
          <w:noProof/>
        </w:rPr>
        <w:t>A rendkívüli helyzetre való felkészülés lezárult</w:t>
      </w:r>
    </w:p>
    <w:p>
      <w:pPr>
        <w:pStyle w:val="Body"/>
        <w:rPr>
          <w:noProof/>
        </w:rPr>
      </w:pPr>
      <w:r>
        <w:rPr>
          <w:noProof/>
        </w:rPr>
        <w:t>Az Egyesült Királyság kilépésére való felkészülés az uniós intézmények és szervek, a nemzeti, regionális és helyi önkormányzatok, valamint a gazdasági szereplők közös erőfeszítése volt. A Bizottság valamennyi szereplőt felszólította arra, hogy felelősségi körüknek megfelelően készüljenek fel a megállapodás nélküli kilépésre és enyhítsék a kilépésből adódó legsúlyosabb hatásokat.</w:t>
      </w:r>
    </w:p>
    <w:p>
      <w:pPr>
        <w:pStyle w:val="Body"/>
        <w:rPr>
          <w:noProof/>
        </w:rPr>
      </w:pPr>
      <w:r>
        <w:rPr>
          <w:noProof/>
        </w:rPr>
        <w:t>Az uniós intézmények és szervek, valamint az EU27-tagállamok 2017 decembere óta aktívan készülnek a megállapodás nélküli kilépés lehetőségére. A Bizottság a követendő megközelítésre vonatkozó politikai iránymutatást tartalmazó három közlemény mellett 92 közleményt</w:t>
      </w:r>
      <w:r>
        <w:rPr>
          <w:noProof/>
          <w:vertAlign w:val="superscript"/>
        </w:rPr>
        <w:footnoteReference w:id="7"/>
      </w:r>
      <w:r>
        <w:rPr>
          <w:noProof/>
        </w:rPr>
        <w:t xml:space="preserve"> tett közzé, hogy segítse az érdekelt feleket és a hatóságokat a felkészülésben. A Bizottság továbbá 19 jogalkotási javaslatot terjesztett elő, amelyek közül 18-at elfogadtak és ezeket a kilépés időpontjától kezdődően alkalmazni kell, egy pedig – a 2019. évi uniós költségvetésre vonatkozó javaslat – a kilépés időpontjától visszamenőleges hatállyal, a véglegesítés után lesz alkalmazandó</w:t>
      </w:r>
      <w:r>
        <w:rPr>
          <w:rStyle w:val="FootnoteReference"/>
          <w:noProof/>
        </w:rPr>
        <w:footnoteReference w:id="8"/>
      </w:r>
      <w:r>
        <w:rPr>
          <w:noProof/>
        </w:rPr>
        <w:t>. A Bizottság emellett 45 nem jogalkotási aktust is elfogadott számos szakpolitikai területen</w:t>
      </w:r>
      <w:r>
        <w:rPr>
          <w:rStyle w:val="FootnoteReference"/>
          <w:noProof/>
        </w:rPr>
        <w:footnoteReference w:id="9"/>
      </w:r>
      <w:r>
        <w:rPr>
          <w:noProof/>
        </w:rPr>
        <w:t>.</w:t>
      </w:r>
    </w:p>
    <w:p>
      <w:pPr>
        <w:pStyle w:val="Body"/>
        <w:rPr>
          <w:noProof/>
        </w:rPr>
      </w:pPr>
      <w:r>
        <w:rPr>
          <w:noProof/>
        </w:rPr>
        <w:t>A Bizottság széles körű technikai megbeszéléseket tartott az EU27-tagállamokkal mind a felkészülésre és a rendkívüli helyzetre irányuló munka általános kérdéseiről, mind a konkrét ágazati, jogi és igazgatási lépéseiről. A Bizottság képviselői felkeresték az EU27-tagállamok mindegyikének fővárosát, hogy felvilágosítást adjanak a Bizottság felkészülési és rendkívüli intézkedéseiről, valamint megvitassák a nemzeti előkészületeket és a rendkívüli helyzetre szóló terveket. A látogatások alapján kijelenthető, hogy a tagállamok valamennyi forgatókönyv esetében magas szintű felkészültséget mutattak.</w:t>
      </w:r>
    </w:p>
    <w:p>
      <w:pPr>
        <w:pStyle w:val="Body"/>
        <w:rPr>
          <w:noProof/>
        </w:rPr>
      </w:pPr>
      <w:r>
        <w:rPr>
          <w:noProof/>
        </w:rPr>
        <w:t>A rendkívüli helyzettel kapcsolatos erőfeszítéseket igénylő kulcsfontosságú területek közé tartoznak a következők: a polgárok jogai (szociális biztonság, tartózkodási jogok és utazás), a közlekedés (alapvető összeköttetések és biztonság), a rendőrségi és igazságügyi együttműködés, az Egyesült Királyság és az EU közötti új uniós külső határok igazgatása, a halászat és az uniós költségvetés. Az Unió és a tagállamok más kiválasztott területeken is elfogadtak intézkedéseket.</w:t>
      </w:r>
    </w:p>
    <w:p>
      <w:pPr>
        <w:pStyle w:val="Body"/>
        <w:rPr>
          <w:noProof/>
        </w:rPr>
      </w:pPr>
      <w:r>
        <w:rPr>
          <w:noProof/>
        </w:rPr>
        <w:t>A polgárok tekintetében a Bizottság által ajánlott nagyvonalú megközelítést</w:t>
      </w:r>
      <w:r>
        <w:rPr>
          <w:noProof/>
          <w:vertAlign w:val="superscript"/>
        </w:rPr>
        <w:footnoteReference w:id="10"/>
      </w:r>
      <w:r>
        <w:rPr>
          <w:noProof/>
        </w:rPr>
        <w:t xml:space="preserve"> követve a tagállamok folyamatos (ideiglenes vagy állandó) </w:t>
      </w:r>
      <w:r>
        <w:rPr>
          <w:noProof/>
          <w:u w:val="single"/>
        </w:rPr>
        <w:t>tartózkodási jogokat</w:t>
      </w:r>
      <w:r>
        <w:rPr>
          <w:noProof/>
        </w:rPr>
        <w:t xml:space="preserve"> biztosítanak </w:t>
      </w:r>
      <w:r>
        <w:rPr>
          <w:noProof/>
          <w:u w:val="single"/>
        </w:rPr>
        <w:t>az Egyesült Királyság azon állampolgárai</w:t>
      </w:r>
      <w:r>
        <w:rPr>
          <w:noProof/>
        </w:rPr>
        <w:t xml:space="preserve"> számára, akik a kilépés időpontjában az EU-ban tartózkodnak.</w:t>
      </w:r>
    </w:p>
    <w:p>
      <w:pPr>
        <w:pStyle w:val="Body"/>
        <w:rPr>
          <w:noProof/>
        </w:rPr>
      </w:pPr>
      <w:r>
        <w:rPr>
          <w:noProof/>
        </w:rPr>
        <w:t xml:space="preserve">A polgárok által az Egyesült Királyság vonatkozásában a kilépést megelőzően szerzett </w:t>
      </w:r>
      <w:r>
        <w:rPr>
          <w:noProof/>
          <w:u w:val="single"/>
        </w:rPr>
        <w:t>szociális biztonsági jogosultságok</w:t>
      </w:r>
      <w:r>
        <w:rPr>
          <w:noProof/>
        </w:rPr>
        <w:t xml:space="preserve"> védelmet élveznek. A rendkívüli eljárásról szóló rendelet az érintett személyek számára állampolgárságuktól függetlenül biztosítani fogja az egyenlő bánásmód, valamint a kilépés előtt bekövetkezett tények vagy események, illetve a kilépés előtt teljesített tartózkodási, biztosítási vagy foglalkoztatásban eltöltött időszakok tekintetében alkalmazandó azonos kezelés és összesítés elvét</w:t>
      </w:r>
      <w:r>
        <w:rPr>
          <w:noProof/>
          <w:vertAlign w:val="superscript"/>
        </w:rPr>
        <w:footnoteReference w:id="11"/>
      </w:r>
      <w:r>
        <w:rPr>
          <w:noProof/>
        </w:rPr>
        <w:t>. A tagállamok nemzeti szinten is intézkedéseket hajtanak végre annak érdekében, hogy a kilépést követően is biztosítsák a szociális biztonsági jogosultságok védelmét e polgárok számára.</w:t>
      </w:r>
    </w:p>
    <w:p>
      <w:pPr>
        <w:pStyle w:val="Body"/>
        <w:rPr>
          <w:noProof/>
        </w:rPr>
      </w:pPr>
      <w:r>
        <w:rPr>
          <w:noProof/>
        </w:rPr>
        <w:t xml:space="preserve">Az Unió azt is elfogadta, hogy az Egyesült Királyság állampolgárainak </w:t>
      </w:r>
      <w:r>
        <w:rPr>
          <w:noProof/>
          <w:u w:val="single"/>
        </w:rPr>
        <w:t>nem kell vízumot igényelniük</w:t>
      </w:r>
      <w:r>
        <w:rPr>
          <w:noProof/>
        </w:rPr>
        <w:t>, ha bármely 180 napos időszakon belül 90 napos üzleti vagy turisztikai célú rövid távú tartózkodás céljából utaznak az EU-ba, feltéve, hogy az Egyesült Királyság az EU27-tagállamok valamennyi állampolgára számára ugyanolyan bánásmódot biztosít</w:t>
      </w:r>
      <w:r>
        <w:rPr>
          <w:noProof/>
          <w:vertAlign w:val="superscript"/>
        </w:rPr>
        <w:footnoteReference w:id="12"/>
      </w:r>
      <w:r>
        <w:rPr>
          <w:noProof/>
        </w:rPr>
        <w:t>.</w:t>
      </w:r>
    </w:p>
    <w:p>
      <w:pPr>
        <w:pStyle w:val="Body"/>
        <w:rPr>
          <w:noProof/>
        </w:rPr>
      </w:pPr>
      <w:r>
        <w:rPr>
          <w:noProof/>
        </w:rPr>
        <w:t>Rendkívüli eljárásról szóló rendeletek vannak továbbá hatályban a kulcsfontosságú közlekedési módok – légi közlekedés</w:t>
      </w:r>
      <w:r>
        <w:rPr>
          <w:noProof/>
          <w:vertAlign w:val="superscript"/>
        </w:rPr>
        <w:footnoteReference w:id="13"/>
      </w:r>
      <w:r>
        <w:rPr>
          <w:noProof/>
        </w:rPr>
        <w:t>, vasúti közlekedés</w:t>
      </w:r>
      <w:r>
        <w:rPr>
          <w:noProof/>
          <w:vertAlign w:val="superscript"/>
        </w:rPr>
        <w:footnoteReference w:id="14"/>
      </w:r>
      <w:r>
        <w:rPr>
          <w:noProof/>
        </w:rPr>
        <w:t>, valamint közúti személy- és teherszállítás</w:t>
      </w:r>
      <w:r>
        <w:rPr>
          <w:noProof/>
          <w:vertAlign w:val="superscript"/>
        </w:rPr>
        <w:footnoteReference w:id="15"/>
      </w:r>
      <w:r>
        <w:rPr>
          <w:noProof/>
        </w:rPr>
        <w:t xml:space="preserve"> – </w:t>
      </w:r>
      <w:r>
        <w:rPr>
          <w:noProof/>
          <w:u w:val="single"/>
        </w:rPr>
        <w:t>alapvető összeköttetéseinek fenntartása</w:t>
      </w:r>
      <w:r>
        <w:rPr>
          <w:noProof/>
        </w:rPr>
        <w:t xml:space="preserve"> érdekében.</w:t>
      </w:r>
    </w:p>
    <w:p>
      <w:pPr>
        <w:pStyle w:val="Body"/>
        <w:rPr>
          <w:noProof/>
        </w:rPr>
      </w:pPr>
      <w:r>
        <w:rPr>
          <w:noProof/>
        </w:rPr>
        <w:t xml:space="preserve">Az Egyesült Királyság Unióból való kilépését követően a </w:t>
      </w:r>
      <w:r>
        <w:rPr>
          <w:noProof/>
          <w:u w:val="single"/>
        </w:rPr>
        <w:t>rendőrségi és igazságügyi együttműködés</w:t>
      </w:r>
      <w:r>
        <w:rPr>
          <w:noProof/>
        </w:rPr>
        <w:t xml:space="preserve"> nem az uniós jog, hanem többoldalú nemzetközi egyezmények alapján folyik majd. Az uniós intézmények és tagállamok közösen határozták meg az ebben az összefüggésben alkalmazható megfelelő eszközöket. A tagállamok jelentős erőfeszítéseket tettek annak érdekében, hogy ezek az eszközök a kilépés időpontjától kezdődően működőképesek legyenek.</w:t>
      </w:r>
    </w:p>
    <w:p>
      <w:pPr>
        <w:pStyle w:val="Body"/>
        <w:rPr>
          <w:noProof/>
        </w:rPr>
      </w:pPr>
      <w:r>
        <w:rPr>
          <w:noProof/>
        </w:rPr>
        <w:t xml:space="preserve">A tagállamok szorosan együttműködtek az uniós intézményekkel a belső piac integritásának megőrzése érdekében azáltal, hogy megfelelő infrastruktúrákat és forrásokat alakítottak ki a </w:t>
      </w:r>
      <w:r>
        <w:rPr>
          <w:noProof/>
          <w:u w:val="single"/>
        </w:rPr>
        <w:t>vámalakiságok és kontrollok</w:t>
      </w:r>
      <w:r>
        <w:rPr>
          <w:noProof/>
        </w:rPr>
        <w:t xml:space="preserve">, valamint a határokon az áruk </w:t>
      </w:r>
      <w:r>
        <w:rPr>
          <w:noProof/>
          <w:u w:val="single"/>
        </w:rPr>
        <w:t>állat- és növényegészségügyi ellenőrzésének</w:t>
      </w:r>
      <w:r>
        <w:rPr>
          <w:noProof/>
        </w:rPr>
        <w:t xml:space="preserve"> alkalmazása céljából.</w:t>
      </w:r>
    </w:p>
    <w:p>
      <w:pPr>
        <w:pStyle w:val="Body"/>
        <w:rPr>
          <w:noProof/>
        </w:rPr>
      </w:pPr>
      <w:r>
        <w:rPr>
          <w:noProof/>
        </w:rPr>
        <w:t xml:space="preserve">A </w:t>
      </w:r>
      <w:r>
        <w:rPr>
          <w:noProof/>
          <w:u w:val="single"/>
        </w:rPr>
        <w:t>pénzügyi ágazatban</w:t>
      </w:r>
      <w:r>
        <w:rPr>
          <w:noProof/>
        </w:rPr>
        <w:t xml:space="preserve"> csak korlátozott számú uniós intézkedést tartottak szükségesnek az Európai Unió pénzügyi stabilitását fenyegető kockázatok minimalizálása érdekében. Ez a döntés a megállapodás nélküli kilépés kockázatairól a Bizottság, az Európai Központi Bank, az Egységes Szanálási Testület és az európai felügyeleti hatóságok által végzett közös elemzésen, valamint az Európai Központi Bank és a Bank of England közös technikai csoportjának elemzésén alapult.</w:t>
      </w:r>
    </w:p>
    <w:p>
      <w:pPr>
        <w:pStyle w:val="Body"/>
        <w:rPr>
          <w:noProof/>
        </w:rPr>
      </w:pPr>
      <w:r>
        <w:rPr>
          <w:noProof/>
        </w:rPr>
        <w:t xml:space="preserve">A </w:t>
      </w:r>
      <w:r>
        <w:rPr>
          <w:noProof/>
          <w:u w:val="single"/>
        </w:rPr>
        <w:t>halászati tevékenységek</w:t>
      </w:r>
      <w:r>
        <w:rPr>
          <w:noProof/>
        </w:rPr>
        <w:t xml:space="preserve"> tekintetében az intézkedések 2019 folyamán folyamatos kölcsönös hozzáférést tesznek majd lehetővé az Unió és az Egyesült Királyság hajóinak egymás vizeihez</w:t>
      </w:r>
      <w:r>
        <w:rPr>
          <w:noProof/>
          <w:vertAlign w:val="superscript"/>
        </w:rPr>
        <w:footnoteReference w:id="16"/>
      </w:r>
      <w:r>
        <w:rPr>
          <w:noProof/>
        </w:rPr>
        <w:t>, amennyiben az Egyesült Királyság hozzáférést biztosít az uniós hajók számára és betartja a halászati lehetőségekről szóló 2019. évi rendeletben</w:t>
      </w:r>
      <w:r>
        <w:rPr>
          <w:rStyle w:val="FootnoteReference"/>
          <w:noProof/>
        </w:rPr>
        <w:footnoteReference w:id="17"/>
      </w:r>
      <w:r>
        <w:rPr>
          <w:noProof/>
        </w:rPr>
        <w:t xml:space="preserve"> foglaltakat. Ellenkező esetben az uniós halászok számára pénzügyi támogatás áll majd rendelkezésre, ha tevékenységük ideiglenes szüneteltetésére kerül sor</w:t>
      </w:r>
      <w:r>
        <w:rPr>
          <w:noProof/>
          <w:vertAlign w:val="superscript"/>
        </w:rPr>
        <w:footnoteReference w:id="18"/>
      </w:r>
      <w:r>
        <w:rPr>
          <w:noProof/>
        </w:rPr>
        <w:t>.</w:t>
      </w:r>
    </w:p>
    <w:p>
      <w:pPr>
        <w:pStyle w:val="Body"/>
        <w:rPr>
          <w:noProof/>
        </w:rPr>
      </w:pPr>
      <w:r>
        <w:rPr>
          <w:noProof/>
        </w:rPr>
        <w:t>Mindezek az intézkedések egy időre enyhítik az Egyesült Királyság rendezetlen kilépéséből eredő legjelentősebb fennakadásokat, amint azt az e közlemény 1. mellékletében szereplő ábra szemlélteti.</w:t>
      </w:r>
    </w:p>
    <w:p>
      <w:pPr>
        <w:pStyle w:val="Heading"/>
        <w:numPr>
          <w:ilvl w:val="0"/>
          <w:numId w:val="2"/>
        </w:numPr>
        <w:rPr>
          <w:noProof/>
        </w:rPr>
      </w:pPr>
      <w:r>
        <w:rPr>
          <w:noProof/>
        </w:rPr>
        <w:t>A 2019. évi költségvetés és a kiegészítő pénzügyi támogatás</w:t>
      </w:r>
    </w:p>
    <w:p>
      <w:pPr>
        <w:pStyle w:val="Body"/>
        <w:rPr>
          <w:rFonts w:eastAsia="Arial Unicode MS" w:cs="Arial Unicode MS"/>
          <w:noProof/>
        </w:rPr>
      </w:pPr>
      <w:r>
        <w:rPr>
          <w:noProof/>
        </w:rPr>
        <w:t>A Bizottság rendkívüli eljárásról szóló rendeletre irányuló javaslatot fogadott el, amelynek rendelkezései szerint 2019 során folytatódhat az Unió általános költségvetéséből származó források egyesült királyságbeli kedvezményezettek számára történő kifizetése, amennyiben az Egyesült Királyság továbbra is befizeti a 2019. évi költségvetéshez való hozzájárulásait, valamint lehetővé teszi az előírt ellenőrzések és kontrollok elvégzését</w:t>
      </w:r>
      <w:r>
        <w:rPr>
          <w:noProof/>
          <w:vertAlign w:val="superscript"/>
        </w:rPr>
        <w:footnoteReference w:id="19"/>
      </w:r>
      <w:r>
        <w:rPr>
          <w:noProof/>
        </w:rPr>
        <w:t>. Ha az Egyesült Királyság nem egyezik bele abba, hogy a rendkívüli eljárásról szóló rendeletjavaslatnak megfelelően hozzájáruljon a 2019. évi költségvetés finanszírozásához, a Bizottság kellő időben költségvetés-módosítási tervezetet terjeszt elő a keletkező finanszírozási hiány kezelése érdekében. Ezzel összefüggésben a Bizottság felkéri a Parlamentet és a Tanácsot a javaslat hivatalos elfogadására.</w:t>
      </w:r>
    </w:p>
    <w:p>
      <w:pPr>
        <w:pStyle w:val="Body"/>
        <w:rPr>
          <w:rFonts w:eastAsia="Arial Unicode MS" w:cs="Arial Unicode MS"/>
          <w:noProof/>
        </w:rPr>
      </w:pPr>
      <w:r>
        <w:rPr>
          <w:noProof/>
        </w:rPr>
        <w:t>Az Unió úgy határozott, hogy egyes tevékenységeknek még az említett hozzájárulások elmaradása esetén is folytatódniuk kell. A PEACE IV program és az Egyesült Királyság–Írország együttműködési program folytatódni fog, mivel e programok alapvető támogatást nyújtanak az észak-írországi és írországi béke megőrzéséhez</w:t>
      </w:r>
      <w:r>
        <w:rPr>
          <w:noProof/>
          <w:vertAlign w:val="superscript"/>
        </w:rPr>
        <w:footnoteReference w:id="20"/>
      </w:r>
      <w:r>
        <w:rPr>
          <w:noProof/>
        </w:rPr>
        <w:t>. Szintén lefolytathatók az Erasmus+ keretében jelenleg zajló, az Egyesült Királyságot érintő azon tanulási célú mobilitási tevékenységek, amelyek a kilépés időpontjáig elkezdődtek, annak érdekében, hogy elkerüljék a diákokat, valamint az őket küldő és fogadó intézményeket érintő fennakadásokat</w:t>
      </w:r>
      <w:r>
        <w:rPr>
          <w:noProof/>
          <w:vertAlign w:val="superscript"/>
        </w:rPr>
        <w:footnoteReference w:id="21"/>
      </w:r>
      <w:r>
        <w:rPr>
          <w:noProof/>
        </w:rPr>
        <w:t>.</w:t>
      </w:r>
    </w:p>
    <w:p>
      <w:pPr>
        <w:pStyle w:val="Body"/>
        <w:rPr>
          <w:rFonts w:eastAsia="Arial Unicode MS" w:cs="Arial Unicode MS"/>
          <w:noProof/>
        </w:rPr>
      </w:pPr>
      <w:r>
        <w:rPr>
          <w:noProof/>
        </w:rPr>
        <w:t>Továbbá az üzleti szervezetek és az érdekelt felek amellett érveltek, hogy az Egyesült Királyság Unióból való rendezetlen kilépéséből adódó gazdasági hatások mérsékléséhez az Uniótól származó pénzügyi támogatásra lehet szükség. A megállapodás nélküli kilépés hatása az egész Unióban érezhető lesz, ám egyértelmű, hogy bizonyos régiókat és gazdasági ágazatokat jelentősebb mértékben fog érinteni.</w:t>
      </w:r>
    </w:p>
    <w:p>
      <w:pPr>
        <w:pStyle w:val="Body"/>
        <w:rPr>
          <w:rFonts w:eastAsia="Arial Unicode MS" w:cs="Arial Unicode MS"/>
          <w:noProof/>
        </w:rPr>
      </w:pPr>
      <w:r>
        <w:rPr>
          <w:noProof/>
        </w:rPr>
        <w:t>Először is, számottevő költségek hárulnak majd az Egyesült Királysággal határos tagállamokra. Bár valamennyi tagállamnak ellenőrzéseket és kontrollokat kell majd végeznie a vámjogszabályok, az állat- és növényegészségügyi szabályozás, valamint egyéb biztonsági és védelmi szabványok tekintetében, egyes tagállamok esetében ezek nagyságrendje különösen komoly lesz. Ezért új határállomásokat kellett kialakítaniuk, illetve tovább kellett fejleszteniük a meglévőket. Másodszor, a gazdasági költségek különösen magasak lesznek azokban az ágazatokban, amelyek a leginkább érintettek az Egyesült Királysággal való kapcsolatok tekintetében. Ez a helyzet például az Egyesült Királyság piacára szállító agrár-élelmiszeripari exportőrök, az Egyesült Királyság vizeihez való hozzáféréstől függő halászati vállalkozások, valamint az Egyesült Királyságból érkező turisták körében népszerű régiók idegenforgalmi vállalkozásai esetében. Harmadszor, a Bizottság brexitfelkészülési tevékenységei során világossá vált, hogy a kis- és középvállalkozások a nagyvállalatokhoz képest kevésbé rendelkeznek a felkészüléshez szükséges eszközökkel. A kkv-k nem mindig rendelkeznek a rendkívüli helyzetre szóló teljes körű terv végrehajtásához szükséges adminisztratív kapacitással és jogképességgel.</w:t>
      </w:r>
    </w:p>
    <w:p>
      <w:pPr>
        <w:pStyle w:val="Body"/>
        <w:rPr>
          <w:rFonts w:eastAsia="Arial Unicode MS" w:cs="Arial Unicode MS"/>
          <w:noProof/>
        </w:rPr>
      </w:pPr>
      <w:r>
        <w:rPr>
          <w:noProof/>
        </w:rPr>
        <w:t>Bár világos, hogy szükség van pénzügyi támogatásra, figyelembe kell venni a megállapodás nélküli kilépésből eredő pénzügyi korlátokat. A Bizottság következetesen kiállt amellett, hogy bármilyen forgatókönyv szerint is alakul a helyzet, az Egyesült Királyságot továbbra is kötik az Európai Unió felé fennálló pénzügyi kötelezettségei, és az Európai Unió szintén eleget fog tenni az Egyesült Királyság felé fennálló pénzügyi kötelezettségeinek, ideértve azt az esetet is, ha megállapodás nélküli kilépésre kerül sor.</w:t>
      </w:r>
    </w:p>
    <w:p>
      <w:pPr>
        <w:pStyle w:val="Body"/>
        <w:rPr>
          <w:rFonts w:eastAsia="Arial Unicode MS" w:cs="Arial Unicode MS"/>
          <w:noProof/>
        </w:rPr>
      </w:pPr>
      <w:r>
        <w:rPr>
          <w:noProof/>
        </w:rPr>
        <w:t>A fentiekre tekintettel a Bizottság feltárta, hogy megállapodás nélküli kilépés esetén hogyan mozgósíthatók – az esetleges szükséges kiigazításokat követően – az uniós költségvetés meglévő programjai és eszközei. Mindennek célja, hogy a rendelkezésre álló források adta lehetőségen belül mérsékeljük a hatást azokon a területeken, ahol az a legerőteljesebben jelentkezne. A fenti intézkedésekre vonatkozó javaslat kellőképpen figyelembe veszi majd az esetleges rendezetlen kilépésből adódóan az uniós költségvetés kiadási és bevételi oldalát érintő kiigazításokat, és teljes mértékben kihasználja a meglévő költségvetési eszközöket és elérhető forrásokat. Megállapodás nélküli kilépés esetén az uniós költségvetés keretében kiegészítő célzott finanszírozást lehetne elérhetővé tenni az egységes közös piacszervezésről szóló rendelet</w:t>
      </w:r>
      <w:r>
        <w:rPr>
          <w:rStyle w:val="FootnoteReference"/>
          <w:noProof/>
        </w:rPr>
        <w:footnoteReference w:id="22"/>
      </w:r>
      <w:r>
        <w:rPr>
          <w:noProof/>
        </w:rPr>
        <w:t xml:space="preserve"> alapján a mezőgazdasági piacok zavarainak megelőzésére szolgáló intézkedések aktiválásával, ezen belül az összes lehetséges pénzügyi forrás kihasználásával, valamint olyan egyedi eszközök alkalmazásával, mint a vállalkozások versenyképességét és a kis- és középvállalkozásokat segítő program (COSME), az Európai Globalizációs Alkalmazkodási Alap (EGAA), a Szolidaritási Alap és az Európai Stratégiai Beruházási Alap (ESBA).</w:t>
      </w:r>
    </w:p>
    <w:p>
      <w:pPr>
        <w:pStyle w:val="Text1"/>
        <w:ind w:left="0"/>
        <w:rPr>
          <w:noProof/>
        </w:rPr>
      </w:pPr>
      <w:r>
        <w:rPr>
          <w:noProof/>
        </w:rPr>
        <w:t>A hatásokkal szembesülő érdekelt felek – például az Egyesült Királyság tekintetében jelentősen kitett kis- és középvállalkozások – sürgősebb támogatásához az állami támogatási szabályok rugalmas megoldásokat kínálnak a nemzeti támogatási intézkedésekre.</w:t>
      </w:r>
    </w:p>
    <w:p>
      <w:pPr>
        <w:pStyle w:val="Heading"/>
        <w:numPr>
          <w:ilvl w:val="0"/>
          <w:numId w:val="2"/>
        </w:numPr>
        <w:rPr>
          <w:noProof/>
        </w:rPr>
      </w:pPr>
      <w:r>
        <w:rPr>
          <w:noProof/>
        </w:rPr>
        <w:t>Iránymutatás a rendezetlen kilépést követően alkalmazandó összehangolt megközelítésről</w:t>
      </w:r>
    </w:p>
    <w:p>
      <w:pPr>
        <w:pStyle w:val="Text1"/>
        <w:ind w:left="0"/>
        <w:rPr>
          <w:noProof/>
        </w:rPr>
      </w:pPr>
      <w:r>
        <w:rPr>
          <w:noProof/>
        </w:rPr>
        <w:t>Az EU27-tagállamok által az Egyesült Királysággal folytatott tárgyalások és a kilépésre való felkészülés során tanúsított egység és szolidaritás közös célt szolgált, függetlenül attól, hogy az Egyesült Királyság tekintetében fennálló gazdasági kitettség mértéke Unió-szerte eltérő mértékű. Elengedhetetlen, hogy a rendezetlen kilépést követően is összehangolt és következetes lépéseket tegyünk. Ez az egység hatékonyabbá teszi az esetleges korrekciós intézkedéseket, védi közös szabályainkat és az egyenlő versenyfeltételeket, kiszámíthatóbbá teszi a helyzetet a legsúlyosabb hatásokkal szembesülők számára, valamint fenntartja az Unió tárgyalási célkitűzéseit az Egyesült Királysággal kialakítandó jövőbeli kapcsolatokról szóló megbeszélések tekintetében. Ezért el kell kerülni, hogy a tagállamok és az Egyesült Királyság között kétoldalú megállapodások jöjjenek létre.</w:t>
      </w:r>
    </w:p>
    <w:p>
      <w:pPr>
        <w:pStyle w:val="Text1"/>
        <w:spacing w:after="0"/>
        <w:ind w:left="0"/>
        <w:rPr>
          <w:noProof/>
        </w:rPr>
      </w:pPr>
      <w:r>
        <w:rPr>
          <w:noProof/>
        </w:rPr>
        <w:t>A rendkívüli intézkedéseket végrehajtó tagállamok kiegészítő támogatása érdekekében a Bizottság ma öt kulcsfontosságú területre vonatkozóan további iránymutatást nyújt. Ez az iránymutatás elősegíti majd a rendkívüli intézkedések zökkenőmentes végrehajtását, és hozzájárul az alábbi területeket érintő összehangolt megközelítés kialakításához és fenntartásához:</w:t>
      </w:r>
    </w:p>
    <w:p>
      <w:pPr>
        <w:pStyle w:val="Text1"/>
        <w:numPr>
          <w:ilvl w:val="0"/>
          <w:numId w:val="4"/>
        </w:numPr>
        <w:spacing w:after="0"/>
        <w:ind w:left="714" w:hanging="357"/>
        <w:rPr>
          <w:noProof/>
        </w:rPr>
      </w:pPr>
      <w:r>
        <w:rPr>
          <w:noProof/>
        </w:rPr>
        <w:t>a polgárok tartózkodási joga és szociális biztonsági jogosultságai,</w:t>
      </w:r>
    </w:p>
    <w:p>
      <w:pPr>
        <w:pStyle w:val="Text1"/>
        <w:numPr>
          <w:ilvl w:val="0"/>
          <w:numId w:val="4"/>
        </w:numPr>
        <w:spacing w:after="0"/>
        <w:ind w:left="714" w:hanging="357"/>
        <w:rPr>
          <w:noProof/>
        </w:rPr>
      </w:pPr>
      <w:r>
        <w:rPr>
          <w:noProof/>
        </w:rPr>
        <w:t>rendőrségi és igazságügyi együttműködés a büntetőügyekben,</w:t>
      </w:r>
    </w:p>
    <w:p>
      <w:pPr>
        <w:pStyle w:val="Text1"/>
        <w:numPr>
          <w:ilvl w:val="0"/>
          <w:numId w:val="4"/>
        </w:numPr>
        <w:spacing w:after="0"/>
        <w:ind w:left="714" w:hanging="357"/>
        <w:rPr>
          <w:noProof/>
        </w:rPr>
      </w:pPr>
      <w:r>
        <w:rPr>
          <w:noProof/>
        </w:rPr>
        <w:t>gyógyszerek és orvostechnikai eszközök,</w:t>
      </w:r>
    </w:p>
    <w:p>
      <w:pPr>
        <w:pStyle w:val="Text1"/>
        <w:numPr>
          <w:ilvl w:val="0"/>
          <w:numId w:val="4"/>
        </w:numPr>
        <w:spacing w:after="0"/>
        <w:ind w:left="714" w:hanging="357"/>
        <w:rPr>
          <w:noProof/>
        </w:rPr>
      </w:pPr>
      <w:r>
        <w:rPr>
          <w:noProof/>
        </w:rPr>
        <w:t>halászati tevékenységek, valamint</w:t>
      </w:r>
    </w:p>
    <w:p>
      <w:pPr>
        <w:pStyle w:val="Text1"/>
        <w:numPr>
          <w:ilvl w:val="0"/>
          <w:numId w:val="4"/>
        </w:numPr>
        <w:rPr>
          <w:noProof/>
        </w:rPr>
      </w:pPr>
      <w:r>
        <w:rPr>
          <w:noProof/>
        </w:rPr>
        <w:t>adatvédelem.</w:t>
      </w:r>
    </w:p>
    <w:p>
      <w:pPr>
        <w:pStyle w:val="Text1"/>
        <w:ind w:left="0"/>
        <w:rPr>
          <w:noProof/>
        </w:rPr>
      </w:pPr>
      <w:r>
        <w:rPr>
          <w:noProof/>
        </w:rPr>
        <w:t xml:space="preserve">A Bizottság szükség esetén további iránymutatást nyújt majd. A Bizottság továbbra is készséggel áll az EU27-tagállamok rendelkezésére, hogy megvitassák a megállapodás nélküli kilépés hatását érintő kérdéseket, folytatva a tárgyalások időszakát jellemző átlátható és intenzív együttműködést. A Bizottság ösztönzi a tagállamokat, hogy a kilépés utáni időszakban számoljanak be a Bizottságnak és egymásnak a jelentkező – előre látható és előre nem látható – problémákról és a kezelésük során kialakított bevált módszerekről, hogy valamennyi tagállam hasznosíthassa ezeket a tapasztalatokat. A Bizottság a közvetlenül a kilépést követő időszak tekintetében </w:t>
      </w:r>
      <w:r>
        <w:rPr>
          <w:noProof/>
          <w:u w:val="single"/>
        </w:rPr>
        <w:t>ügyfélszolgálatot</w:t>
      </w:r>
      <w:r>
        <w:rPr>
          <w:noProof/>
        </w:rPr>
        <w:t xml:space="preserve"> hozott létre </w:t>
      </w:r>
      <w:r>
        <w:rPr>
          <w:noProof/>
          <w:u w:val="single"/>
        </w:rPr>
        <w:t>a tagállami közigazgatási szervek számára</w:t>
      </w:r>
      <w:r>
        <w:rPr>
          <w:noProof/>
        </w:rPr>
        <w:t xml:space="preserve">, amely elérhetővé teszi számukra a Bizottság szakértelmét. Az uniós </w:t>
      </w:r>
      <w:r>
        <w:rPr>
          <w:noProof/>
          <w:u w:val="single"/>
        </w:rPr>
        <w:t>polgárok, vállalkozások és egyéb érdekelt felek</w:t>
      </w:r>
      <w:r>
        <w:rPr>
          <w:noProof/>
        </w:rPr>
        <w:t xml:space="preserve"> kérdéseikkel a </w:t>
      </w:r>
      <w:r>
        <w:rPr>
          <w:noProof/>
          <w:u w:val="single"/>
        </w:rPr>
        <w:t>Europe Direct</w:t>
      </w:r>
      <w:r>
        <w:rPr>
          <w:noProof/>
        </w:rPr>
        <w:t xml:space="preserve"> Tájékoztató Központhoz fordulhatnak (az EU bármely részéről ingyenesen hívható 00 800 6 7 8 9 10 11 telefonszámon).</w:t>
      </w:r>
    </w:p>
    <w:p>
      <w:pPr>
        <w:pStyle w:val="Heading"/>
        <w:numPr>
          <w:ilvl w:val="0"/>
          <w:numId w:val="2"/>
        </w:numPr>
        <w:rPr>
          <w:b w:val="0"/>
          <w:noProof/>
        </w:rPr>
      </w:pPr>
      <w:r>
        <w:rPr>
          <w:noProof/>
        </w:rPr>
        <w:t>Következtetés</w:t>
      </w:r>
    </w:p>
    <w:p>
      <w:pPr>
        <w:pStyle w:val="Text1"/>
        <w:ind w:left="0"/>
        <w:rPr>
          <w:noProof/>
        </w:rPr>
      </w:pPr>
      <w:r>
        <w:rPr>
          <w:noProof/>
        </w:rPr>
        <w:t>Az Egyesült Királyságban 2016. június 23-án tartott népszavazás óta az Unió következetesen hangot adott annak, hogy sajnálattal fogadja, ugyanakkor tiszteletben tartja az Egyesült Királyságnak az Unióból való kilépésre vonatkozó döntését. A Bizottság továbbra is azon a véleményen van, hogy a legjobb lehetséges opció a kilépésről rendelkező megállapodás szerinti rendezett kilépés. A rendezetlen kilépés azonban csak akkor kerülhető el, ha az Egyesült Királyság megerősíti a kilépésről rendelkező megállapodást.</w:t>
      </w:r>
    </w:p>
    <w:p>
      <w:pPr>
        <w:pStyle w:val="Text1"/>
        <w:ind w:left="0"/>
        <w:rPr>
          <w:noProof/>
        </w:rPr>
      </w:pPr>
      <w:r>
        <w:rPr>
          <w:noProof/>
        </w:rPr>
        <w:t>A Bizottság ezért meghozta a megállapodás nélküli kilépésre való felkészüléshez szükséges intézkedéseket, még ha eltökélten törekszik is arra, hogy elkerülje e lehetőség bekövetkezését. Ezután is szükség lesz a tagállamok közötti egységre és szolidaritásra ahhoz, hogy választ adjunk a jelentkező kihívásokra, és a jövőben is érvényre juttassuk az Unió alapvető értékeit.</w:t>
      </w:r>
    </w:p>
    <w:p>
      <w:pPr>
        <w:pStyle w:val="Body"/>
        <w:rPr>
          <w:noProof/>
        </w:rPr>
      </w:pPr>
    </w:p>
    <w:sectPr>
      <w:headerReference w:type="even" r:id="rId20"/>
      <w:headerReference w:type="default" r:id="rId21"/>
      <w:footerReference w:type="even" r:id="rId22"/>
      <w:footerReference w:type="default" r:id="rId23"/>
      <w:headerReference w:type="first" r:id="rId24"/>
      <w:footerReference w:type="first" r:id="rId25"/>
      <w:pgSz w:w="11900" w:h="16840"/>
      <w:pgMar w:top="1020" w:right="1701" w:bottom="1020" w:left="1587" w:header="601"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Helvetica Neue">
    <w:altName w:val="Corbel"/>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rPr>
        <w:sz w:val="22"/>
        <w:szCs w:val="22"/>
      </w:rPr>
    </w:pPr>
    <w:r>
      <w:rPr>
        <w:sz w:val="22"/>
        <w:szCs w:val="22"/>
      </w:rPr>
      <w:fldChar w:fldCharType="begin"/>
    </w:r>
    <w:r>
      <w:rPr>
        <w:sz w:val="22"/>
        <w:szCs w:val="22"/>
      </w:rPr>
      <w:instrText xml:space="preserve"> PAGE </w:instrText>
    </w:r>
    <w:r>
      <w:rPr>
        <w:sz w:val="22"/>
        <w:szCs w:val="22"/>
      </w:rPr>
      <w:fldChar w:fldCharType="separate"/>
    </w:r>
    <w:r>
      <w:rPr>
        <w:noProof/>
        <w:sz w:val="22"/>
        <w:szCs w:val="22"/>
      </w:rPr>
      <w:t>1</w:t>
    </w:r>
    <w:r>
      <w:rPr>
        <w:sz w:val="22"/>
        <w:szCs w:val="2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pPr>
      <w:r>
        <w:rPr>
          <w:vertAlign w:val="superscript"/>
        </w:rPr>
        <w:footnoteRef/>
      </w:r>
      <w:r>
        <w:t xml:space="preserve"> </w:t>
      </w:r>
      <w:r>
        <w:tab/>
        <w:t>Az Európai Tanács az Egyesült Királysággal egyetértésben hozott (EU) 2019/476 határozata (2019. március 22.) az EUSZ 50. cikkének (3) bekezdése szerinti határidő meghosszabbításáról (HL L 80., 22.3.2019., 1. o.).</w:t>
      </w:r>
    </w:p>
  </w:footnote>
  <w:footnote w:id="3">
    <w:p>
      <w:pPr>
        <w:pStyle w:val="FootnoteText"/>
      </w:pPr>
      <w:r>
        <w:rPr>
          <w:vertAlign w:val="superscript"/>
        </w:rPr>
        <w:footnoteRef/>
      </w:r>
      <w:r>
        <w:t xml:space="preserve"> </w:t>
      </w:r>
      <w:r>
        <w:tab/>
        <w:t>COM(2018) 556.</w:t>
      </w:r>
    </w:p>
  </w:footnote>
  <w:footnote w:id="4">
    <w:p>
      <w:pPr>
        <w:pStyle w:val="FootnoteText"/>
        <w:rPr>
          <w:color w:val="auto"/>
        </w:rPr>
      </w:pPr>
      <w:r>
        <w:rPr>
          <w:vertAlign w:val="superscript"/>
        </w:rPr>
        <w:footnoteRef/>
      </w:r>
      <w:r>
        <w:t xml:space="preserve"> </w:t>
      </w:r>
      <w:r>
        <w:tab/>
      </w:r>
      <w:r>
        <w:rPr>
          <w:color w:val="auto"/>
          <w:u w:color="444444"/>
        </w:rPr>
        <w:t>COM(2018) 880.</w:t>
      </w:r>
    </w:p>
  </w:footnote>
  <w:footnote w:id="5">
    <w:p>
      <w:pPr>
        <w:pStyle w:val="FootnoteText"/>
      </w:pPr>
      <w:r>
        <w:rPr>
          <w:vertAlign w:val="superscript"/>
        </w:rPr>
        <w:footnoteRef/>
      </w:r>
      <w:r>
        <w:t xml:space="preserve"> </w:t>
      </w:r>
      <w:r>
        <w:tab/>
        <w:t>COM(2018) 890.</w:t>
      </w:r>
    </w:p>
  </w:footnote>
  <w:footnote w:id="6">
    <w:p>
      <w:pPr>
        <w:pStyle w:val="FootnoteText"/>
      </w:pPr>
      <w:r>
        <w:rPr>
          <w:rStyle w:val="FootnoteReference"/>
        </w:rPr>
        <w:footnoteRef/>
      </w:r>
      <w:r>
        <w:t xml:space="preserve"> </w:t>
      </w:r>
      <w:r>
        <w:tab/>
        <w:t xml:space="preserve">Juncker elnök nyilatkozata az Egyesült Királyság Európai Unióból való kilépéséről az Európai Parlament plenáris ülésén, Brüsszel, 2019. április 3., </w:t>
      </w:r>
      <w:hyperlink r:id="rId1">
        <w:r>
          <w:rPr>
            <w:rStyle w:val="Hyperlink"/>
          </w:rPr>
          <w:t>http://europa.eu/rapid/press-release_SPEECH-19-1970_en.htm</w:t>
        </w:r>
      </w:hyperlink>
      <w:r>
        <w:t xml:space="preserve">. </w:t>
      </w:r>
    </w:p>
  </w:footnote>
  <w:footnote w:id="7">
    <w:p>
      <w:pPr>
        <w:pStyle w:val="FootnoteText"/>
      </w:pPr>
      <w:r>
        <w:rPr>
          <w:vertAlign w:val="superscript"/>
        </w:rPr>
        <w:footnoteRef/>
      </w:r>
      <w:r>
        <w:t xml:space="preserve"> </w:t>
      </w:r>
      <w:r>
        <w:tab/>
      </w:r>
      <w:hyperlink r:id="rId2">
        <w:r>
          <w:rPr>
            <w:rStyle w:val="Hyperlink0"/>
          </w:rPr>
          <w:t>https://ec.europa.eu/info/brexit/brexit-preparedness/preparedness-notices_hu</w:t>
        </w:r>
      </w:hyperlink>
      <w:r>
        <w:rPr>
          <w:rStyle w:val="Hyperlink0"/>
        </w:rPr>
        <w:t>.</w:t>
      </w:r>
      <w:r>
        <w:t xml:space="preserve"> </w:t>
      </w:r>
    </w:p>
  </w:footnote>
  <w:footnote w:id="8">
    <w:p>
      <w:pPr>
        <w:pStyle w:val="FootnoteText"/>
      </w:pPr>
      <w:r>
        <w:rPr>
          <w:rStyle w:val="FootnoteReference"/>
        </w:rPr>
        <w:footnoteRef/>
      </w:r>
      <w:r>
        <w:t xml:space="preserve"> </w:t>
      </w:r>
      <w:r>
        <w:tab/>
        <w:t>Az Európai Parlament a 2019. április 15-én kezdődő plenáris ülésén várhatóan egyetértését adja a javaslathoz.</w:t>
      </w:r>
    </w:p>
  </w:footnote>
  <w:footnote w:id="9">
    <w:p>
      <w:pPr>
        <w:pStyle w:val="FootnoteText"/>
      </w:pPr>
      <w:r>
        <w:rPr>
          <w:rStyle w:val="FootnoteReference"/>
        </w:rPr>
        <w:footnoteRef/>
      </w:r>
      <w:r>
        <w:t xml:space="preserve"> </w:t>
      </w:r>
      <w:r>
        <w:tab/>
        <w:t>19 további nem jogalkotási javaslat elfogadása folyamatban van, az Egyesült Királyság és egyéb külső szereplők beadványaitól függően.</w:t>
      </w:r>
    </w:p>
  </w:footnote>
  <w:footnote w:id="10">
    <w:p>
      <w:pPr>
        <w:pStyle w:val="FootnoteText"/>
      </w:pPr>
      <w:r>
        <w:rPr>
          <w:vertAlign w:val="superscript"/>
        </w:rPr>
        <w:footnoteRef/>
      </w:r>
      <w:r>
        <w:t xml:space="preserve"> </w:t>
      </w:r>
      <w:r>
        <w:tab/>
        <w:t xml:space="preserve">Az uniós tagállamokban az Egyesült Királyság állampolgárai számára biztosított tartózkodási jogok jegyzéke megtalálható a Bizottság honlapján: </w:t>
      </w:r>
      <w:hyperlink r:id="rId3">
        <w:r>
          <w:rPr>
            <w:rStyle w:val="Hyperlink0"/>
          </w:rPr>
          <w:t>https://ec.europa.eu/info/brexit/brexit-preparedness/residence-rights-uk-nationals-eu-member-states_en</w:t>
        </w:r>
      </w:hyperlink>
      <w:r>
        <w:t>.</w:t>
      </w:r>
    </w:p>
  </w:footnote>
  <w:footnote w:id="11">
    <w:p>
      <w:pPr>
        <w:pStyle w:val="FootnoteText"/>
      </w:pPr>
      <w:r>
        <w:rPr>
          <w:vertAlign w:val="superscript"/>
        </w:rPr>
        <w:footnoteRef/>
      </w:r>
      <w:r>
        <w:t xml:space="preserve"> </w:t>
      </w:r>
      <w:r>
        <w:tab/>
        <w:t>Az Európai Parlament és a Tanács (EU) 2019/500 rendelete (2019. március 25.) a szociális biztonsági rendszerek koordinálása területén az Egyesült Királyságnak az Unióból való kilépését követő rendkívüli intézkedések bevezetéséről (HL L 85I., 2019.3.27., 35. o.).</w:t>
      </w:r>
    </w:p>
  </w:footnote>
  <w:footnote w:id="12">
    <w:p>
      <w:pPr>
        <w:pStyle w:val="FootnoteText"/>
      </w:pPr>
      <w:r>
        <w:rPr>
          <w:vertAlign w:val="superscript"/>
        </w:rPr>
        <w:footnoteRef/>
      </w:r>
      <w:r>
        <w:t xml:space="preserve"> </w:t>
      </w:r>
      <w:r>
        <w:tab/>
        <w:t>A külső határok átlépésekor vízumkötelezettség alá eső, illetve az e kötelezettség alól mentes harmadik országbeli állampolgárok országainak felsorolásáról szóló, 2018. november 14-i (EU) 2018/1806 európai parlamenti és tanácsi rendelet módosítása. A hivatalos elfogadásra a következő napokban kerül sor.</w:t>
      </w:r>
    </w:p>
  </w:footnote>
  <w:footnote w:id="13">
    <w:p>
      <w:pPr>
        <w:pStyle w:val="FootnoteText"/>
      </w:pPr>
      <w:r>
        <w:rPr>
          <w:vertAlign w:val="superscript"/>
        </w:rPr>
        <w:footnoteRef/>
      </w:r>
      <w:r>
        <w:t xml:space="preserve"> </w:t>
      </w:r>
      <w:r>
        <w:tab/>
        <w:t>Az Európai Parlament és a Tanács (EU) 2019/494 rendelete (2019. március 25.) a légi közlekedés biztonságának egyes, Nagy-Britannia és Észak-Írország Egyesült Királyságának az Unióból történő kilépésével összefüggő vonatkozásairól (HL L 85I., 2019.3.27., 11. o.), valamint az Európai Parlament és a Tanács (EU) 2019/502 rendelete (2019. március 25.) Nagy-Britannia és Észak-Írország Egyesült Királyságának az Unióból történő kilépésével összefüggésben az alapszintű légi összeköttetést biztosító közös szabályokról (HL L 85I., 2019.3.27., 49. o.).</w:t>
      </w:r>
    </w:p>
  </w:footnote>
  <w:footnote w:id="14">
    <w:p>
      <w:pPr>
        <w:pStyle w:val="FootnoteText"/>
      </w:pPr>
      <w:r>
        <w:rPr>
          <w:vertAlign w:val="superscript"/>
        </w:rPr>
        <w:footnoteRef/>
      </w:r>
      <w:r>
        <w:t xml:space="preserve"> </w:t>
      </w:r>
      <w:r>
        <w:tab/>
        <w:t>Az Európai Parlament és a Tanács (EU) 2019/503 rendelete (2019. március 25.) a vasútbiztonság és a vasúti összeköttetés egyes, az Egyesült Királyság Unióból történő kilépésével összefüggő vonatkozásairól (HL L 85I., 2019.3.27., 60. o.).</w:t>
      </w:r>
    </w:p>
  </w:footnote>
  <w:footnote w:id="15">
    <w:p>
      <w:pPr>
        <w:pStyle w:val="FootnoteText"/>
      </w:pPr>
      <w:r>
        <w:rPr>
          <w:vertAlign w:val="superscript"/>
        </w:rPr>
        <w:footnoteRef/>
      </w:r>
      <w:r>
        <w:t xml:space="preserve"> </w:t>
      </w:r>
      <w:r>
        <w:tab/>
        <w:t>Az Európai Parlament és a Tanács (EU) 2019/501 rendelete (2019. március 25.) Nagy-Britannia és Észak-Írország Egyesült Királyságának az Unióból történő kilépésével összefüggésben az alapszintű közúti teher- és személyszállítási összeköttetést biztosító közös szabályokról (HL L 85I., 2019.3.27., 39. o.).</w:t>
      </w:r>
    </w:p>
  </w:footnote>
  <w:footnote w:id="16">
    <w:p>
      <w:pPr>
        <w:pStyle w:val="FootnoteText"/>
      </w:pPr>
      <w:r>
        <w:rPr>
          <w:vertAlign w:val="superscript"/>
        </w:rPr>
        <w:footnoteRef/>
      </w:r>
      <w:r>
        <w:t xml:space="preserve"> </w:t>
      </w:r>
      <w:r>
        <w:tab/>
        <w:t>Az Európai Parlament és a Tanács (EU) 2019/498 rendelete (2019. március 25.) az (EU) 2017/2403 rendeletnek az Egyesült Királyság vizein tevékenységet folytató uniós halászhajókra vonatkozó halászati engedélyek és az Egyesült Királyság halászhajói által az uniós vizeken végzett halászati műveletek tekintetében történő módosításáról (HL L 85I., 2019.3.27., 25. o.).</w:t>
      </w:r>
    </w:p>
  </w:footnote>
  <w:footnote w:id="17">
    <w:p>
      <w:pPr>
        <w:pStyle w:val="FootnoteText"/>
        <w:tabs>
          <w:tab w:val="left" w:pos="360"/>
        </w:tabs>
        <w:ind w:left="360" w:hanging="360"/>
      </w:pPr>
      <w:r>
        <w:rPr>
          <w:rStyle w:val="FootnoteReference"/>
        </w:rPr>
        <w:footnoteRef/>
      </w:r>
      <w:r>
        <w:t xml:space="preserve"> </w:t>
      </w:r>
      <w:r>
        <w:tab/>
        <w:t>A Tanács (EU) 2019/124 rendelete (2019. január 30.) egyes halállományok és halállománycsoportok tekintetében az uniós vizeken, valamint az uniós halászhajók tekintetében egyes nem uniós vizeken alkalmazandó halászati lehetőségeknek a 2019. évre történő meghatározásáról (HL L 29., 2019.1.31., 1. o.), valamint a Tanács (EU) 2018/2025 rendelete (2018. december 17.) az uniós halászhajók egyes mélytengeri halállományokra vonatkozó halászati lehetőségeinek a 2019. és 2020. évre történő meghatározásáról (HL L 325., 2018.12.20., 7. o.).</w:t>
      </w:r>
    </w:p>
  </w:footnote>
  <w:footnote w:id="18">
    <w:p>
      <w:pPr>
        <w:pStyle w:val="FootnoteText"/>
      </w:pPr>
      <w:r>
        <w:rPr>
          <w:vertAlign w:val="superscript"/>
        </w:rPr>
        <w:footnoteRef/>
      </w:r>
      <w:r>
        <w:t xml:space="preserve"> </w:t>
      </w:r>
      <w:r>
        <w:tab/>
        <w:t>Az Európai Parlament és a Tanács (EU) 2019/497 rendelete (2019. március 25.) az 508/2014/EU rendeletnek az Egyesült Királyság Unióból való kilépését követően az Európai Tengerügyi és Halászati Alappal kapcsolatos bizonyos szabályok tekintetében történő módosításáról (HL L 85I., 2019.3.27., 22. o.).</w:t>
      </w:r>
    </w:p>
  </w:footnote>
  <w:footnote w:id="19">
    <w:p>
      <w:pPr>
        <w:pStyle w:val="FootnoteText"/>
      </w:pPr>
      <w:r>
        <w:rPr>
          <w:vertAlign w:val="superscript"/>
        </w:rPr>
        <w:footnoteRef/>
      </w:r>
      <w:r>
        <w:t xml:space="preserve"> </w:t>
      </w:r>
      <w:r>
        <w:tab/>
        <w:t>Javaslat – A Tanács rendelete az Unió általános költségvetésének 2019. évi végrehajtására és finanszírozására vonatkozó, az Egyesült Királyságnak az Unióból való kilépésével összefüggő intézkedésekről (COM(2019) 64 final). A javaslatot a Tanács jóváhagyta.</w:t>
      </w:r>
    </w:p>
  </w:footnote>
  <w:footnote w:id="20">
    <w:p>
      <w:pPr>
        <w:pStyle w:val="FootnoteText"/>
      </w:pPr>
      <w:r>
        <w:rPr>
          <w:vertAlign w:val="superscript"/>
        </w:rPr>
        <w:footnoteRef/>
      </w:r>
      <w:r>
        <w:t xml:space="preserve"> </w:t>
      </w:r>
      <w:r>
        <w:tab/>
        <w:t>Az Európai Parlament és a Tanács (EU) 2019/491 rendelete (2019. március 25.) az Egyesült Királyság Európai Unióból való kilépésére tekintettel a PEACE IV (Írország–Egyesült Királyság) és az Egyesült Királyság–Írország (Írország–Észak-Írország–Skócia) területi együttműködési programok folyamatosságának lehetővé tételéről (HL L 85I., 2019.3.27., 1. o.).</w:t>
      </w:r>
    </w:p>
  </w:footnote>
  <w:footnote w:id="21">
    <w:p>
      <w:pPr>
        <w:pStyle w:val="FootnoteText"/>
      </w:pPr>
      <w:r>
        <w:rPr>
          <w:vertAlign w:val="superscript"/>
        </w:rPr>
        <w:footnoteRef/>
      </w:r>
      <w:r>
        <w:t xml:space="preserve"> </w:t>
      </w:r>
      <w:r>
        <w:tab/>
        <w:t>Az Európai Parlament és a Tanács (EU) 2019/499 rendelete (2019. március 25.) az Egyesült Királyság Európai Unióból való kilépésére tekintettel az 1288/2013/EU rendelettel létrehozott Erasmus+ program keretében folyamatban lévő tanulási célú mobilitási tevékenységek folytatására vonatkozó rendelkezések megállapításáról (HL L 85I., 2019.3.27., 32. o.).</w:t>
      </w:r>
    </w:p>
  </w:footnote>
  <w:footnote w:id="22">
    <w:p>
      <w:pPr>
        <w:pStyle w:val="FootnoteText"/>
      </w:pPr>
      <w:r>
        <w:rPr>
          <w:rStyle w:val="FootnoteReference"/>
        </w:rPr>
        <w:footnoteRef/>
      </w:r>
      <w:r>
        <w:t xml:space="preserve"> </w:t>
      </w:r>
      <w:r>
        <w:tab/>
        <w:t>Az Európai Parlament és a Tanács 1308/2013/EU rendelete (2013. december 17.) a mezőgazdasági termékpiacok közös szervezésének létrehozásáról, és a 922/72/EGK, a 234/79/EGK, az 1037/2001/EK és az 1234/2007/EK tanácsi rendelet hatályon kívül helyezéséről (HL L 347., 2013.12.20., 671. 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Foo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C7DFB"/>
    <w:multiLevelType w:val="hybridMultilevel"/>
    <w:tmpl w:val="A05A3A2E"/>
    <w:styleLink w:val="ImportedStyle2"/>
    <w:lvl w:ilvl="0" w:tplc="581C9D1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9F6875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064C99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8AE0AD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16ED1C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E7440A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22C2D3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FFE95C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990FE8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38DE5B38"/>
    <w:multiLevelType w:val="hybridMultilevel"/>
    <w:tmpl w:val="A05A3A2E"/>
    <w:numStyleLink w:val="ImportedStyle2"/>
  </w:abstractNum>
  <w:abstractNum w:abstractNumId="2">
    <w:nsid w:val="43B708D7"/>
    <w:multiLevelType w:val="multilevel"/>
    <w:tmpl w:val="14D69CFA"/>
    <w:styleLink w:val="ImportedStyle1"/>
    <w:lvl w:ilvl="0">
      <w:start w:val="1"/>
      <w:numFmt w:val="decimal"/>
      <w:lvlText w:val="%1."/>
      <w:lvlJc w:val="left"/>
      <w:pPr>
        <w:ind w:left="482" w:hanging="482"/>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077" w:hanging="601"/>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922" w:hanging="839"/>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880" w:hanging="95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3838" w:hanging="958"/>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3838" w:hanging="958"/>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838" w:hanging="958"/>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838" w:hanging="958"/>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838" w:hanging="95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nsid w:val="4C477C97"/>
    <w:multiLevelType w:val="multilevel"/>
    <w:tmpl w:val="14D69CFA"/>
    <w:numStyleLink w:val="ImportedStyle1"/>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revisionView w:markup="0"/>
  <w:defaultTabStop w:val="720"/>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868CB1B2-519C-4D11-9D14-6BE54C26A54D"/>
    <w:docVar w:name="LW_COVERPAGE_TYPE" w:val="1"/>
    <w:docVar w:name="LW_CROSSREFERENCE" w:val="&lt;UNUSED&gt;"/>
    <w:docVar w:name="LW_DocType" w:val="NORMAL"/>
    <w:docVar w:name="LW_EMISSION" w:val="2019.4.10."/>
    <w:docVar w:name="LW_EMISSION_ISODATE" w:val="2019-04-10"/>
    <w:docVar w:name="LW_EMISSION_LOCATION" w:val="BRX"/>
    <w:docVar w:name="LW_EMISSION_PREFIX" w:val="Brüsszel, "/>
    <w:docVar w:name="LW_EMISSION_SUFFIX" w:val=" "/>
    <w:docVar w:name="LW_ID_DOCTYPE_NONLW" w:val="CP-009"/>
    <w:docVar w:name="LW_LANGUE" w:val="HU"/>
    <w:docVar w:name="LW_LEVEL_OF_SENSITIVITY" w:val="Standard treatment"/>
    <w:docVar w:name="LW_NOM.INST" w:val="EURÓPAI BIZOTTSÁG"/>
    <w:docVar w:name="LW_NOM.INST_JOINTDOC" w:val="&lt;EMPTY&gt;"/>
    <w:docVar w:name="LW_PART_NBR" w:val="1"/>
    <w:docVar w:name="LW_PART_NBR_TOTAL" w:val="1"/>
    <w:docVar w:name="LW_REF.INST.NEW" w:val="COM"/>
    <w:docVar w:name="LW_REF.INST.NEW_ADOPTED" w:val="final"/>
    <w:docVar w:name="LW_REF.INST.NEW_TEXT" w:val="(2019) 19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Az Egyesült Királyságnak az Unióból megállapodás nélkül való kilépésével járó hatás kezelése: az Unió összehangolt megközelítése"/>
    <w:docVar w:name="LW_TYPE.DOC.CP" w:val="A BIZOTTSÁG KÖZLEMÉNYE"/>
    <w:docVar w:name="LW_TYPE.DOC.CP.USERTEXT" w:val="AZ EURÓPAI PARLAMENTNEK, AZ EURÓPAI TANÁCSNAK, A TANÁCSNAK, AZ EURÓPAI KÖZPONTI BANKNAK, AZ EURÓPAI GAZDASÁGI ÉS SZOCIÁLIS BIZOTTSÁGNAK, A RÉGIÓK BIZOTTSÁGÁNAK ÉS AZ EURÓPAI BERUHÁZÁSI BANKNAK"/>
  </w:docVars>
  <m:mathPr>
    <m:mathFont m:val="Cambria Math"/>
    <m:brkBin m:val="before"/>
    <m:brkBinSub m:val="--"/>
    <m:smallFrac m:val="0"/>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szCs w:val="2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Footer">
    <w:name w:val="Header &amp; Footer"/>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rPr>
  </w:style>
  <w:style w:type="paragraph" w:customStyle="1" w:styleId="Body">
    <w:name w:val="Body"/>
    <w:pPr>
      <w:pBdr>
        <w:top w:val="nil"/>
        <w:left w:val="nil"/>
        <w:bottom w:val="nil"/>
        <w:right w:val="nil"/>
        <w:between w:val="nil"/>
        <w:bar w:val="nil"/>
      </w:pBdr>
      <w:spacing w:after="240" w:line="240" w:lineRule="auto"/>
      <w:jc w:val="both"/>
    </w:pPr>
    <w:rPr>
      <w:rFonts w:ascii="Times New Roman" w:eastAsia="Times New Roman" w:hAnsi="Times New Roman" w:cs="Times New Roman"/>
      <w:color w:val="000000"/>
      <w:sz w:val="24"/>
      <w:szCs w:val="24"/>
      <w:u w:color="000000"/>
      <w:bdr w:val="nil"/>
    </w:rPr>
  </w:style>
  <w:style w:type="paragraph" w:customStyle="1" w:styleId="FooterLine">
    <w:name w:val="Footer Line"/>
    <w:next w:val="Footer"/>
    <w:pPr>
      <w:pBdr>
        <w:top w:val="nil"/>
        <w:left w:val="nil"/>
        <w:bottom w:val="nil"/>
        <w:right w:val="nil"/>
        <w:between w:val="nil"/>
        <w:bar w:val="nil"/>
      </w:pBdr>
      <w:tabs>
        <w:tab w:val="right" w:pos="8646"/>
      </w:tabs>
      <w:spacing w:before="120" w:after="0" w:line="240" w:lineRule="auto"/>
    </w:pPr>
    <w:rPr>
      <w:rFonts w:ascii="Times New Roman" w:eastAsia="Times New Roman" w:hAnsi="Times New Roman" w:cs="Times New Roman"/>
      <w:color w:val="000000"/>
      <w:sz w:val="16"/>
      <w:szCs w:val="16"/>
      <w:u w:color="000000"/>
      <w:bdr w:val="nil"/>
    </w:rPr>
  </w:style>
  <w:style w:type="paragraph" w:customStyle="1" w:styleId="Titreobjet">
    <w:name w:val="Titre objet"/>
    <w:next w:val="Body"/>
    <w:pPr>
      <w:pBdr>
        <w:top w:val="nil"/>
        <w:left w:val="nil"/>
        <w:bottom w:val="nil"/>
        <w:right w:val="nil"/>
        <w:between w:val="nil"/>
        <w:bar w:val="nil"/>
      </w:pBdr>
      <w:spacing w:before="360" w:after="360" w:line="240" w:lineRule="auto"/>
      <w:jc w:val="center"/>
    </w:pPr>
    <w:rPr>
      <w:rFonts w:ascii="Times New Roman" w:eastAsia="Arial Unicode MS" w:hAnsi="Times New Roman" w:cs="Arial Unicode MS"/>
      <w:b/>
      <w:bCs/>
      <w:color w:val="000000"/>
      <w:sz w:val="24"/>
      <w:szCs w:val="24"/>
      <w:u w:color="000000"/>
      <w:bdr w:val="nil"/>
    </w:rPr>
  </w:style>
  <w:style w:type="paragraph" w:customStyle="1" w:styleId="Heading">
    <w:name w:val="Heading"/>
    <w:next w:val="Text1"/>
    <w:pPr>
      <w:keepNext/>
      <w:pBdr>
        <w:top w:val="nil"/>
        <w:left w:val="nil"/>
        <w:bottom w:val="nil"/>
        <w:right w:val="nil"/>
        <w:between w:val="nil"/>
        <w:bar w:val="nil"/>
      </w:pBdr>
      <w:tabs>
        <w:tab w:val="left" w:pos="482"/>
      </w:tabs>
      <w:spacing w:before="240" w:after="240" w:line="240" w:lineRule="auto"/>
      <w:jc w:val="both"/>
      <w:outlineLvl w:val="0"/>
    </w:pPr>
    <w:rPr>
      <w:rFonts w:ascii="Times New Roman" w:eastAsia="Arial Unicode MS" w:hAnsi="Times New Roman" w:cs="Arial Unicode MS"/>
      <w:b/>
      <w:bCs/>
      <w:smallCaps/>
      <w:color w:val="000000"/>
      <w:sz w:val="24"/>
      <w:szCs w:val="24"/>
      <w:u w:color="000000"/>
      <w:bdr w:val="nil"/>
    </w:rPr>
  </w:style>
  <w:style w:type="paragraph" w:customStyle="1" w:styleId="Text1">
    <w:name w:val="Text 1"/>
    <w:pPr>
      <w:pBdr>
        <w:top w:val="nil"/>
        <w:left w:val="nil"/>
        <w:bottom w:val="nil"/>
        <w:right w:val="nil"/>
        <w:between w:val="nil"/>
        <w:bar w:val="nil"/>
      </w:pBdr>
      <w:spacing w:after="240" w:line="240" w:lineRule="auto"/>
      <w:ind w:left="482"/>
      <w:jc w:val="both"/>
    </w:pPr>
    <w:rPr>
      <w:rFonts w:ascii="Times New Roman" w:eastAsia="Arial Unicode MS" w:hAnsi="Times New Roman" w:cs="Arial Unicode MS"/>
      <w:color w:val="000000"/>
      <w:sz w:val="24"/>
      <w:szCs w:val="24"/>
      <w:u w:color="000000"/>
      <w:bdr w:val="nil"/>
    </w:rPr>
  </w:style>
  <w:style w:type="numbering" w:customStyle="1" w:styleId="ImportedStyle1">
    <w:name w:val="Imported Style 1"/>
    <w:pPr>
      <w:numPr>
        <w:numId w:val="1"/>
      </w:numPr>
    </w:pPr>
  </w:style>
  <w:style w:type="paragraph" w:styleId="FootnoteText">
    <w:name w:val="footnote text"/>
    <w:link w:val="FootnoteTextChar"/>
    <w:pPr>
      <w:pBdr>
        <w:top w:val="nil"/>
        <w:left w:val="nil"/>
        <w:bottom w:val="nil"/>
        <w:right w:val="nil"/>
        <w:between w:val="nil"/>
        <w:bar w:val="nil"/>
      </w:pBdr>
      <w:spacing w:after="120" w:line="240" w:lineRule="auto"/>
      <w:ind w:left="357" w:hanging="357"/>
      <w:jc w:val="both"/>
    </w:pPr>
    <w:rPr>
      <w:rFonts w:ascii="Times New Roman" w:eastAsia="Times New Roman" w:hAnsi="Times New Roman" w:cs="Times New Roman"/>
      <w:color w:val="000000"/>
      <w:sz w:val="20"/>
      <w:u w:color="000000"/>
      <w:bdr w:val="nil"/>
    </w:rPr>
  </w:style>
  <w:style w:type="character" w:customStyle="1" w:styleId="FootnoteTextChar">
    <w:name w:val="Footnote Text Char"/>
    <w:basedOn w:val="DefaultParagraphFont"/>
    <w:link w:val="FootnoteText"/>
    <w:rPr>
      <w:rFonts w:ascii="Times New Roman" w:eastAsia="Times New Roman" w:hAnsi="Times New Roman" w:cs="Times New Roman"/>
      <w:color w:val="000000"/>
      <w:sz w:val="20"/>
      <w:u w:color="000000"/>
      <w:bdr w:val="nil"/>
      <w:lang w:val="hu-HU" w:eastAsia="hu-HU" w:bidi="hu-HU"/>
    </w:rPr>
  </w:style>
  <w:style w:type="character" w:customStyle="1" w:styleId="Hyperlink0">
    <w:name w:val="Hyperlink.0"/>
    <w:basedOn w:val="Hyperlink"/>
    <w:rPr>
      <w:color w:val="0563C1"/>
      <w:u w:val="single" w:color="0563C1"/>
    </w:rPr>
  </w:style>
  <w:style w:type="numbering" w:customStyle="1" w:styleId="ImportedStyle2">
    <w:name w:val="Imported Style 2"/>
    <w:pPr>
      <w:numPr>
        <w:numId w:val="3"/>
      </w:numPr>
    </w:pPr>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semiHidden/>
    <w:unhideWhenUse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customStyle="1" w:styleId="CommentTextChar">
    <w:name w:val="Comment Text Char"/>
    <w:basedOn w:val="DefaultParagraphFont"/>
    <w:link w:val="CommentText"/>
    <w:uiPriority w:val="99"/>
    <w:semiHidden/>
    <w:rPr>
      <w:rFonts w:ascii="Times New Roman" w:eastAsia="Arial Unicode MS" w:hAnsi="Times New Roman" w:cs="Times New Roman"/>
      <w:sz w:val="24"/>
      <w:szCs w:val="24"/>
      <w:bdr w:val="nil"/>
      <w:lang w:val="hu-HU" w:bidi="hu-HU"/>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6"/>
    </w:rPr>
  </w:style>
  <w:style w:type="character" w:customStyle="1" w:styleId="BalloonTextChar">
    <w:name w:val="Balloon Text Char"/>
    <w:basedOn w:val="DefaultParagraphFont"/>
    <w:link w:val="BalloonText"/>
    <w:uiPriority w:val="99"/>
    <w:semiHidden/>
    <w:rPr>
      <w:rFonts w:ascii="Segoe UI" w:hAnsi="Segoe UI" w:cs="Segoe UI"/>
      <w:sz w:val="18"/>
      <w:szCs w:val="16"/>
    </w:rPr>
  </w:style>
  <w:style w:type="paragraph" w:customStyle="1" w:styleId="Typedudocument">
    <w:name w:val="Type du document"/>
    <w:basedOn w:val="Normal"/>
    <w:next w:val="Titreobjet"/>
    <w:pPr>
      <w:spacing w:before="360" w:after="0" w:line="240" w:lineRule="auto"/>
      <w:jc w:val="center"/>
    </w:pPr>
    <w:rPr>
      <w:rFonts w:ascii="Times New Roman" w:hAnsi="Times New Roman" w:cs="Times New Roman"/>
      <w:b/>
      <w:sz w:val="24"/>
      <w:szCs w:val="22"/>
    </w:rPr>
  </w:style>
  <w:style w:type="character" w:styleId="FootnoteReference">
    <w:name w:val="footnote reference"/>
    <w:basedOn w:val="DefaultParagraphFont"/>
    <w:semiHidden/>
    <w:unhideWhenUsed/>
    <w:rPr>
      <w:vertAlign w:val="superscript"/>
    </w:r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szCs w:val="2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Footer">
    <w:name w:val="Header &amp; Footer"/>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rPr>
  </w:style>
  <w:style w:type="paragraph" w:customStyle="1" w:styleId="Body">
    <w:name w:val="Body"/>
    <w:pPr>
      <w:pBdr>
        <w:top w:val="nil"/>
        <w:left w:val="nil"/>
        <w:bottom w:val="nil"/>
        <w:right w:val="nil"/>
        <w:between w:val="nil"/>
        <w:bar w:val="nil"/>
      </w:pBdr>
      <w:spacing w:after="240" w:line="240" w:lineRule="auto"/>
      <w:jc w:val="both"/>
    </w:pPr>
    <w:rPr>
      <w:rFonts w:ascii="Times New Roman" w:eastAsia="Times New Roman" w:hAnsi="Times New Roman" w:cs="Times New Roman"/>
      <w:color w:val="000000"/>
      <w:sz w:val="24"/>
      <w:szCs w:val="24"/>
      <w:u w:color="000000"/>
      <w:bdr w:val="nil"/>
    </w:rPr>
  </w:style>
  <w:style w:type="paragraph" w:customStyle="1" w:styleId="FooterLine">
    <w:name w:val="Footer Line"/>
    <w:next w:val="Footer"/>
    <w:pPr>
      <w:pBdr>
        <w:top w:val="nil"/>
        <w:left w:val="nil"/>
        <w:bottom w:val="nil"/>
        <w:right w:val="nil"/>
        <w:between w:val="nil"/>
        <w:bar w:val="nil"/>
      </w:pBdr>
      <w:tabs>
        <w:tab w:val="right" w:pos="8646"/>
      </w:tabs>
      <w:spacing w:before="120" w:after="0" w:line="240" w:lineRule="auto"/>
    </w:pPr>
    <w:rPr>
      <w:rFonts w:ascii="Times New Roman" w:eastAsia="Times New Roman" w:hAnsi="Times New Roman" w:cs="Times New Roman"/>
      <w:color w:val="000000"/>
      <w:sz w:val="16"/>
      <w:szCs w:val="16"/>
      <w:u w:color="000000"/>
      <w:bdr w:val="nil"/>
    </w:rPr>
  </w:style>
  <w:style w:type="paragraph" w:customStyle="1" w:styleId="Titreobjet">
    <w:name w:val="Titre objet"/>
    <w:next w:val="Body"/>
    <w:pPr>
      <w:pBdr>
        <w:top w:val="nil"/>
        <w:left w:val="nil"/>
        <w:bottom w:val="nil"/>
        <w:right w:val="nil"/>
        <w:between w:val="nil"/>
        <w:bar w:val="nil"/>
      </w:pBdr>
      <w:spacing w:before="360" w:after="360" w:line="240" w:lineRule="auto"/>
      <w:jc w:val="center"/>
    </w:pPr>
    <w:rPr>
      <w:rFonts w:ascii="Times New Roman" w:eastAsia="Arial Unicode MS" w:hAnsi="Times New Roman" w:cs="Arial Unicode MS"/>
      <w:b/>
      <w:bCs/>
      <w:color w:val="000000"/>
      <w:sz w:val="24"/>
      <w:szCs w:val="24"/>
      <w:u w:color="000000"/>
      <w:bdr w:val="nil"/>
    </w:rPr>
  </w:style>
  <w:style w:type="paragraph" w:customStyle="1" w:styleId="Heading">
    <w:name w:val="Heading"/>
    <w:next w:val="Text1"/>
    <w:pPr>
      <w:keepNext/>
      <w:pBdr>
        <w:top w:val="nil"/>
        <w:left w:val="nil"/>
        <w:bottom w:val="nil"/>
        <w:right w:val="nil"/>
        <w:between w:val="nil"/>
        <w:bar w:val="nil"/>
      </w:pBdr>
      <w:tabs>
        <w:tab w:val="left" w:pos="482"/>
      </w:tabs>
      <w:spacing w:before="240" w:after="240" w:line="240" w:lineRule="auto"/>
      <w:jc w:val="both"/>
      <w:outlineLvl w:val="0"/>
    </w:pPr>
    <w:rPr>
      <w:rFonts w:ascii="Times New Roman" w:eastAsia="Arial Unicode MS" w:hAnsi="Times New Roman" w:cs="Arial Unicode MS"/>
      <w:b/>
      <w:bCs/>
      <w:smallCaps/>
      <w:color w:val="000000"/>
      <w:sz w:val="24"/>
      <w:szCs w:val="24"/>
      <w:u w:color="000000"/>
      <w:bdr w:val="nil"/>
    </w:rPr>
  </w:style>
  <w:style w:type="paragraph" w:customStyle="1" w:styleId="Text1">
    <w:name w:val="Text 1"/>
    <w:pPr>
      <w:pBdr>
        <w:top w:val="nil"/>
        <w:left w:val="nil"/>
        <w:bottom w:val="nil"/>
        <w:right w:val="nil"/>
        <w:between w:val="nil"/>
        <w:bar w:val="nil"/>
      </w:pBdr>
      <w:spacing w:after="240" w:line="240" w:lineRule="auto"/>
      <w:ind w:left="482"/>
      <w:jc w:val="both"/>
    </w:pPr>
    <w:rPr>
      <w:rFonts w:ascii="Times New Roman" w:eastAsia="Arial Unicode MS" w:hAnsi="Times New Roman" w:cs="Arial Unicode MS"/>
      <w:color w:val="000000"/>
      <w:sz w:val="24"/>
      <w:szCs w:val="24"/>
      <w:u w:color="000000"/>
      <w:bdr w:val="nil"/>
    </w:rPr>
  </w:style>
  <w:style w:type="numbering" w:customStyle="1" w:styleId="ImportedStyle1">
    <w:name w:val="Imported Style 1"/>
    <w:pPr>
      <w:numPr>
        <w:numId w:val="1"/>
      </w:numPr>
    </w:pPr>
  </w:style>
  <w:style w:type="paragraph" w:styleId="FootnoteText">
    <w:name w:val="footnote text"/>
    <w:link w:val="FootnoteTextChar"/>
    <w:pPr>
      <w:pBdr>
        <w:top w:val="nil"/>
        <w:left w:val="nil"/>
        <w:bottom w:val="nil"/>
        <w:right w:val="nil"/>
        <w:between w:val="nil"/>
        <w:bar w:val="nil"/>
      </w:pBdr>
      <w:spacing w:after="120" w:line="240" w:lineRule="auto"/>
      <w:ind w:left="357" w:hanging="357"/>
      <w:jc w:val="both"/>
    </w:pPr>
    <w:rPr>
      <w:rFonts w:ascii="Times New Roman" w:eastAsia="Times New Roman" w:hAnsi="Times New Roman" w:cs="Times New Roman"/>
      <w:color w:val="000000"/>
      <w:sz w:val="20"/>
      <w:u w:color="000000"/>
      <w:bdr w:val="nil"/>
    </w:rPr>
  </w:style>
  <w:style w:type="character" w:customStyle="1" w:styleId="FootnoteTextChar">
    <w:name w:val="Footnote Text Char"/>
    <w:basedOn w:val="DefaultParagraphFont"/>
    <w:link w:val="FootnoteText"/>
    <w:rPr>
      <w:rFonts w:ascii="Times New Roman" w:eastAsia="Times New Roman" w:hAnsi="Times New Roman" w:cs="Times New Roman"/>
      <w:color w:val="000000"/>
      <w:sz w:val="20"/>
      <w:u w:color="000000"/>
      <w:bdr w:val="nil"/>
      <w:lang w:val="hu-HU" w:eastAsia="hu-HU" w:bidi="hu-HU"/>
    </w:rPr>
  </w:style>
  <w:style w:type="character" w:customStyle="1" w:styleId="Hyperlink0">
    <w:name w:val="Hyperlink.0"/>
    <w:basedOn w:val="Hyperlink"/>
    <w:rPr>
      <w:color w:val="0563C1"/>
      <w:u w:val="single" w:color="0563C1"/>
    </w:rPr>
  </w:style>
  <w:style w:type="numbering" w:customStyle="1" w:styleId="ImportedStyle2">
    <w:name w:val="Imported Style 2"/>
    <w:pPr>
      <w:numPr>
        <w:numId w:val="3"/>
      </w:numPr>
    </w:pPr>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semiHidden/>
    <w:unhideWhenUse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customStyle="1" w:styleId="CommentTextChar">
    <w:name w:val="Comment Text Char"/>
    <w:basedOn w:val="DefaultParagraphFont"/>
    <w:link w:val="CommentText"/>
    <w:uiPriority w:val="99"/>
    <w:semiHidden/>
    <w:rPr>
      <w:rFonts w:ascii="Times New Roman" w:eastAsia="Arial Unicode MS" w:hAnsi="Times New Roman" w:cs="Times New Roman"/>
      <w:sz w:val="24"/>
      <w:szCs w:val="24"/>
      <w:bdr w:val="nil"/>
      <w:lang w:val="hu-HU" w:bidi="hu-HU"/>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6"/>
    </w:rPr>
  </w:style>
  <w:style w:type="character" w:customStyle="1" w:styleId="BalloonTextChar">
    <w:name w:val="Balloon Text Char"/>
    <w:basedOn w:val="DefaultParagraphFont"/>
    <w:link w:val="BalloonText"/>
    <w:uiPriority w:val="99"/>
    <w:semiHidden/>
    <w:rPr>
      <w:rFonts w:ascii="Segoe UI" w:hAnsi="Segoe UI" w:cs="Segoe UI"/>
      <w:sz w:val="18"/>
      <w:szCs w:val="16"/>
    </w:rPr>
  </w:style>
  <w:style w:type="paragraph" w:customStyle="1" w:styleId="Typedudocument">
    <w:name w:val="Type du document"/>
    <w:basedOn w:val="Normal"/>
    <w:next w:val="Titreobjet"/>
    <w:pPr>
      <w:spacing w:before="360" w:after="0" w:line="240" w:lineRule="auto"/>
      <w:jc w:val="center"/>
    </w:pPr>
    <w:rPr>
      <w:rFonts w:ascii="Times New Roman" w:hAnsi="Times New Roman" w:cs="Times New Roman"/>
      <w:b/>
      <w:sz w:val="24"/>
      <w:szCs w:val="22"/>
    </w:rPr>
  </w:style>
  <w:style w:type="character" w:styleId="FootnoteReference">
    <w:name w:val="footnote reference"/>
    <w:basedOn w:val="DefaultParagraphFont"/>
    <w:semiHidden/>
    <w:unhideWhenUsed/>
    <w:rPr>
      <w:vertAlign w:val="superscript"/>
    </w:r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fo/brexit/brexit-preparedness/residence-rights-uk-nationals-eu-member-states_en" TargetMode="External"/><Relationship Id="rId2" Type="http://schemas.openxmlformats.org/officeDocument/2006/relationships/hyperlink" Target="https://ec.europa.eu/info/brexit/brexit-preparedness/preparedness-notices_hu" TargetMode="External"/><Relationship Id="rId1" Type="http://schemas.openxmlformats.org/officeDocument/2006/relationships/hyperlink" Target="http://europa.eu/rapid/press-release_SPEECH-19-1970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EC Document</p:Name>
  <p:Description/>
  <p:Statement/>
  <p:PolicyItems>
    <p:PolicyItem featureId="Microsoft.Office.RecordsManagement.PolicyFeatures.PolicyAudit" staticId="0x010100258AA79CEB83498886A3A0868112325000D33D44CF0C8FEB45875F235DEEF2E1B9|8138272" UniqueId="82ebddaa-263f-44a4-b383-ae40ea096670">
      <p:Name>Auditing</p:Name>
      <p:Description>Audits user actions on documents and list items to the Audit Log.</p:Description>
      <p:CustomData>
        <Audit>
          <Update/>
          <View/>
          <CheckInOut/>
          <MoveCopy/>
          <DeleteRestore/>
        </Audit>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D33D44CF0C8FEB45875F235DEEF2E1B9" ma:contentTypeVersion="7" ma:contentTypeDescription="Create a new document in this library." ma:contentTypeScope="" ma:versionID="0cb51d011d44aaa2f2f2559eb8aaf023">
  <xsd:schema xmlns:xsd="http://www.w3.org/2001/XMLSchema" xmlns:xs="http://www.w3.org/2001/XMLSchema" xmlns:p="http://schemas.microsoft.com/office/2006/metadata/properties" xmlns:ns1="http://schemas.microsoft.com/sharepoint/v3" xmlns:ns2="http://schemas.microsoft.com/sharepoint/v3/fields" xmlns:ns3="25173920-bf43-43cc-9123-1897e847dfc2" targetNamespace="http://schemas.microsoft.com/office/2006/metadata/properties" ma:root="true" ma:fieldsID="a931e117a4c2a292401c17c6d61581df" ns1:_="" ns2:_="" ns3:_="">
    <xsd:import namespace="http://schemas.microsoft.com/sharepoint/v3"/>
    <xsd:import namespace="http://schemas.microsoft.com/sharepoint/v3/fields"/>
    <xsd:import namespace="25173920-bf43-43cc-9123-1897e847dfc2"/>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1:RelatedItems" minOccurs="0"/>
                <xsd:element ref="ns3:DG"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latedItems" ma:index="16" nillable="true" ma:displayName="Related Items" ma:internalName="RelatedItems" ma:readOnly="false">
      <xsd:simpleType>
        <xsd:restriction base="dms:Note"/>
      </xsd:simpleType>
    </xsd:element>
    <xsd:element name="_dlc_Exempt" ma:index="1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25173920-bf43-43cc-9123-1897e847dfc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G" ma:index="17" nillable="true" ma:displayName="DG" ma:description="Associated DG(s)" ma:list="{a436e1b9-89ab-4a0f-bf89-77e0c01004af}" ma:internalName="DG"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C_Collab_Reference xmlns="25173920-bf43-43cc-9123-1897e847dfc2" xsi:nil="true"/>
    <_Status xmlns="http://schemas.microsoft.com/sharepoint/v3/fields">Not Started</_Status>
    <EC_Collab_Status xmlns="25173920-bf43-43cc-9123-1897e847dfc2">Not Started</EC_Collab_Status>
    <DG xmlns="25173920-bf43-43cc-9123-1897e847dfc2"/>
    <EC_Collab_DocumentLanguage xmlns="25173920-bf43-43cc-9123-1897e847dfc2">EN</EC_Collab_DocumentLanguage>
    <RelatedItem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EAD7208-BB14-4304-86F9-58DCAADB0330}">
  <ds:schemaRefs>
    <ds:schemaRef ds:uri="office.server.policy"/>
  </ds:schemaRefs>
</ds:datastoreItem>
</file>

<file path=customXml/itemProps2.xml><?xml version="1.0" encoding="utf-8"?>
<ds:datastoreItem xmlns:ds="http://schemas.openxmlformats.org/officeDocument/2006/customXml" ds:itemID="{C85208C7-784F-4E73-A6D8-FC8095A804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25173920-bf43-43cc-9123-1897e847df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47CB4C-1C59-4DD1-9329-707A8299A822}">
  <ds:schemaRefs>
    <ds:schemaRef ds:uri="http://schemas.microsoft.com/office/2006/metadata/properties"/>
    <ds:schemaRef ds:uri="http://schemas.microsoft.com/office/infopath/2007/PartnerControls"/>
    <ds:schemaRef ds:uri="25173920-bf43-43cc-9123-1897e847dfc2"/>
    <ds:schemaRef ds:uri="http://schemas.microsoft.com/sharepoint/v3/fields"/>
    <ds:schemaRef ds:uri="http://schemas.microsoft.com/sharepoint/v3"/>
  </ds:schemaRefs>
</ds:datastoreItem>
</file>

<file path=customXml/itemProps4.xml><?xml version="1.0" encoding="utf-8"?>
<ds:datastoreItem xmlns:ds="http://schemas.openxmlformats.org/officeDocument/2006/customXml" ds:itemID="{6E6E6A45-DCEF-4DBB-9426-C420B1787240}">
  <ds:schemaRefs>
    <ds:schemaRef ds:uri="http://schemas.microsoft.com/sharepoint/v3/contenttype/forms"/>
  </ds:schemaRefs>
</ds:datastoreItem>
</file>

<file path=customXml/itemProps5.xml><?xml version="1.0" encoding="utf-8"?>
<ds:datastoreItem xmlns:ds="http://schemas.openxmlformats.org/officeDocument/2006/customXml" ds:itemID="{EC23419F-82E6-42B1-A84E-F9C925A86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8</Pages>
  <Words>2187</Words>
  <Characters>15443</Characters>
  <Application>Microsoft Office Word</Application>
  <DocSecurity>0</DocSecurity>
  <Lines>233</Lines>
  <Paragraphs>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23</cp:revision>
  <cp:lastPrinted>2019-04-08T12:51:00Z</cp:lastPrinted>
  <dcterms:created xsi:type="dcterms:W3CDTF">2019-04-10T05:43:00Z</dcterms:created>
  <dcterms:modified xsi:type="dcterms:W3CDTF">2019-04-10T10:34:00Z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using">
    <vt:lpwstr>LW 6.0.1, Build 20180503</vt:lpwstr>
  </property>
  <property fmtid="{D5CDD505-2E9C-101B-9397-08002B2CF9AE}" pid="3" name="Last edited using">
    <vt:lpwstr>LW 6.0.1, Build 20180503</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ContentTypeId">
    <vt:lpwstr>0x010100258AA79CEB83498886A3A0868112325000D33D44CF0C8FEB45875F235DEEF2E1B9</vt:lpwstr>
  </property>
  <property fmtid="{D5CDD505-2E9C-101B-9397-08002B2CF9AE}" pid="8" name="DocStatus">
    <vt:lpwstr>Green</vt:lpwstr>
  </property>
</Properties>
</file>