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C4A" w:rsidRDefault="005237EE">
      <w:pPr>
        <w:pStyle w:val="Pagedecouverture"/>
        <w:rPr>
          <w:noProof/>
        </w:rPr>
      </w:pPr>
      <w:bookmarkStart w:id="0" w:name="LW_BM_COVERPAGE"/>
      <w:bookmarkStart w:id="1"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78740B48-006C-461E-BD14-7ADA00AC0972" style="width:451.35pt;height:461pt">
            <v:imagedata r:id="rId15" o:title=""/>
          </v:shape>
        </w:pict>
      </w:r>
      <w:bookmarkEnd w:id="1"/>
    </w:p>
    <w:bookmarkEnd w:id="0"/>
    <w:p w:rsidR="00327C4A" w:rsidRDefault="00327C4A">
      <w:pPr>
        <w:rPr>
          <w:noProof/>
        </w:rPr>
        <w:sectPr w:rsidR="00327C4A">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0"/>
          <w:cols w:space="720"/>
          <w:docGrid w:linePitch="326"/>
        </w:sectPr>
      </w:pPr>
    </w:p>
    <w:p w:rsidR="00327C4A" w:rsidRDefault="005237EE">
      <w:pPr>
        <w:pStyle w:val="Heading1"/>
        <w:rPr>
          <w:noProof/>
        </w:rPr>
      </w:pPr>
      <w:r>
        <w:rPr>
          <w:noProof/>
        </w:rPr>
        <w:lastRenderedPageBreak/>
        <w:t>Įvadas</w:t>
      </w:r>
    </w:p>
    <w:p w:rsidR="00327C4A" w:rsidRDefault="005237EE">
      <w:pPr>
        <w:pStyle w:val="Text1"/>
        <w:ind w:left="0"/>
        <w:rPr>
          <w:noProof/>
        </w:rPr>
      </w:pPr>
      <w:r>
        <w:rPr>
          <w:noProof/>
        </w:rPr>
        <w:t xml:space="preserve">2017 m. kovo 29 d. Jungtinė Karalystė pranešė apie savo ketinimą išstoti iš Sąjungos. </w:t>
      </w:r>
      <w:r>
        <w:rPr>
          <w:noProof/>
          <w:color w:val="000000"/>
          <w:u w:color="000000"/>
          <w:bdr w:val="nil"/>
        </w:rPr>
        <w:t xml:space="preserve">Komisija toliau laikosi nuomonės, kad geriausia išeitis yra tvarkingas Jungtinės Karalystės išstojimas iš Sąjungos remiantis Susitarimu dėl išstojimo, kuriam pritarė Jungtinės Karalystės Vyriausybė ir kurį 2018 m. lapkričio 25 d. patvirtino Europos Vadovų </w:t>
      </w:r>
      <w:r>
        <w:rPr>
          <w:noProof/>
          <w:color w:val="000000"/>
          <w:u w:color="000000"/>
          <w:bdr w:val="nil"/>
        </w:rPr>
        <w:t xml:space="preserve">Taryba (50 straipsnis). Komisija ir toliau daugiausia pastangų deda tam, kad tas tikslas būtų pasiektas. </w:t>
      </w:r>
      <w:r>
        <w:rPr>
          <w:noProof/>
        </w:rPr>
        <w:t>Vis dėlto, likus dviem dienoms iki 2019 m. balandžio 12 d. – Europos Vadovų Tarybos pratęsto termino pabaigos</w:t>
      </w:r>
      <w:r>
        <w:rPr>
          <w:noProof/>
          <w:color w:val="000000"/>
          <w:u w:color="000000"/>
          <w:bdr w:val="nil"/>
          <w:vertAlign w:val="superscript"/>
        </w:rPr>
        <w:footnoteReference w:id="2"/>
      </w:r>
      <w:r>
        <w:rPr>
          <w:noProof/>
        </w:rPr>
        <w:t xml:space="preserve">, gerokai padidėjo netvarkingo išstojimo </w:t>
      </w:r>
      <w:r>
        <w:rPr>
          <w:noProof/>
        </w:rPr>
        <w:t xml:space="preserve">tikimybė. </w:t>
      </w:r>
    </w:p>
    <w:p w:rsidR="00327C4A" w:rsidRDefault="005237EE">
      <w:pPr>
        <w:pStyle w:val="Heading1"/>
        <w:rPr>
          <w:noProof/>
        </w:rPr>
      </w:pPr>
      <w:r>
        <w:rPr>
          <w:noProof/>
        </w:rPr>
        <w:t>Piliečių teisė gyventi šalyje</w:t>
      </w:r>
    </w:p>
    <w:p w:rsidR="00327C4A" w:rsidRDefault="005237EE">
      <w:pPr>
        <w:rPr>
          <w:noProof/>
          <w:szCs w:val="24"/>
        </w:rPr>
      </w:pPr>
      <w:r>
        <w:rPr>
          <w:noProof/>
        </w:rPr>
        <w:t>Nuo išstojimo dienos ES gyvenantys Jungtinės Karalystės piliečiai</w:t>
      </w:r>
      <w:r>
        <w:rPr>
          <w:rStyle w:val="FootnoteReference"/>
          <w:noProof/>
        </w:rPr>
        <w:footnoteReference w:id="3"/>
      </w:r>
      <w:r>
        <w:rPr>
          <w:noProof/>
        </w:rPr>
        <w:t xml:space="preserve"> nebebus ES piliečiai, todėl nebegalės naudotis teise laisvai judėti</w:t>
      </w:r>
      <w:r>
        <w:rPr>
          <w:rStyle w:val="FootnoteReference"/>
          <w:noProof/>
        </w:rPr>
        <w:footnoteReference w:id="4"/>
      </w:r>
      <w:r>
        <w:rPr>
          <w:noProof/>
        </w:rPr>
        <w:t>. Jiems bus automatiškai taikomos bendrosios taisyklės, kurios taikomos ES esant</w:t>
      </w:r>
      <w:r>
        <w:rPr>
          <w:noProof/>
        </w:rPr>
        <w:t>iems trečiųjų šalių piliečiams. Analogiškai, Jungtinėje Karalystėje gyvenantiems ES piliečiams nebebus taikoma ES taisyklėmis dėl laisvo judėjimo užtikrinama apsauga. Tai turės įtakos tų Jungtinės Karalystės piliečių ir ES piliečių teisei pasilikti toje ša</w:t>
      </w:r>
      <w:r>
        <w:rPr>
          <w:noProof/>
        </w:rPr>
        <w:t>lyje, kur jie šiuo metu gyvena ir dirba.</w:t>
      </w:r>
    </w:p>
    <w:p w:rsidR="00327C4A" w:rsidRDefault="005237EE">
      <w:pPr>
        <w:pStyle w:val="Heading2"/>
        <w:tabs>
          <w:tab w:val="clear" w:pos="1202"/>
          <w:tab w:val="num" w:pos="1077"/>
        </w:tabs>
        <w:ind w:left="1077" w:hanging="601"/>
        <w:rPr>
          <w:noProof/>
        </w:rPr>
      </w:pPr>
      <w:r>
        <w:rPr>
          <w:noProof/>
        </w:rPr>
        <w:t>Teisės toliau gyventi šalyje užtikrinimas jau ES gyvenantiems Jungtinės Karalystės piliečiams</w:t>
      </w:r>
    </w:p>
    <w:p w:rsidR="00327C4A" w:rsidRDefault="005237EE">
      <w:pPr>
        <w:rPr>
          <w:noProof/>
          <w:szCs w:val="24"/>
        </w:rPr>
      </w:pPr>
      <w:r>
        <w:rPr>
          <w:noProof/>
        </w:rPr>
        <w:t>Komisija ne kartą yra aiškiai nurodžiusi, kad vienas iš prioritetų yra šiuo metu ES gyvenančių Jungtinės Karalystės pilie</w:t>
      </w:r>
      <w:r>
        <w:rPr>
          <w:noProof/>
        </w:rPr>
        <w:t>čių teisinio statuso apsauga, ir paragino valstybes nares jų atžvilgiu laikytis palankaus požiūrio. Dėl Jungtinės Karalystės piliečių teisės gyventi 27 ES valstybėse narėse yra susiklosčiusi skirtinga padėtis – kai kuriais atvejais imtasi nacionalinių nenu</w:t>
      </w:r>
      <w:r>
        <w:rPr>
          <w:noProof/>
        </w:rPr>
        <w:t>matytų atvejų priemonių, o kitus atvejus tinkamai reglamentuoja galiojančios taisyklės.</w:t>
      </w:r>
    </w:p>
    <w:p w:rsidR="00327C4A" w:rsidRDefault="005237EE">
      <w:pPr>
        <w:rPr>
          <w:noProof/>
          <w:szCs w:val="24"/>
        </w:rPr>
      </w:pPr>
      <w:r>
        <w:rPr>
          <w:noProof/>
        </w:rPr>
        <w:t xml:space="preserve">Pastaraisiais mėnesiais, Komisijai koordinuojant procesą, 27 ES valstybės narės parengė nacionalines nenumatytų atvejų priemones, kuriomis </w:t>
      </w:r>
      <w:r>
        <w:rPr>
          <w:b/>
          <w:noProof/>
        </w:rPr>
        <w:t>užtikrinama, kad</w:t>
      </w:r>
      <w:r>
        <w:rPr>
          <w:noProof/>
        </w:rPr>
        <w:t xml:space="preserve"> išstojimo mo</w:t>
      </w:r>
      <w:r>
        <w:rPr>
          <w:noProof/>
        </w:rPr>
        <w:t xml:space="preserve">mentu valstybėje narėje </w:t>
      </w:r>
      <w:r>
        <w:rPr>
          <w:b/>
          <w:noProof/>
        </w:rPr>
        <w:t>jau teisėtai gyvenantys visi Jungtinės Karalystės piliečiai iškart po išstojimo be susitarimo galėtų toliau teisėtai gyventi šalyje</w:t>
      </w:r>
      <w:r>
        <w:rPr>
          <w:noProof/>
        </w:rPr>
        <w:t xml:space="preserve">. Šiomis priemonėmis taip pat bus sudarytos palankesnės sąlygos iškart po išstojimo kirsti ES vidaus </w:t>
      </w:r>
      <w:r>
        <w:rPr>
          <w:noProof/>
        </w:rPr>
        <w:t xml:space="preserve">ir išorės dienas. </w:t>
      </w:r>
    </w:p>
    <w:p w:rsidR="00327C4A" w:rsidRDefault="005237EE">
      <w:pPr>
        <w:rPr>
          <w:noProof/>
          <w:szCs w:val="24"/>
        </w:rPr>
      </w:pPr>
      <w:r>
        <w:rPr>
          <w:noProof/>
        </w:rPr>
        <w:t>Nors savanoriškai koordinuojant valstybių narių veiksmus siekiama užtikrinti, kad būtų laikomasi suderinto požiūrio, valstybių narių pasirinkti metodai ir procedūros gali skirtis atsižvelgiant į kiekvienos į jų individualią padėtį. Iš ti</w:t>
      </w:r>
      <w:r>
        <w:rPr>
          <w:noProof/>
        </w:rPr>
        <w:t xml:space="preserve">esų, kiekviena valstybė narės </w:t>
      </w:r>
      <w:r>
        <w:rPr>
          <w:noProof/>
        </w:rPr>
        <w:lastRenderedPageBreak/>
        <w:t>susiduria su skirtingomis problemomis, priklausomai nuo jos teritorijoje gyvenančių Jungtinės Karalystės piliečių skaičiaus ir jos teisinės bei administracinės sistemos.</w:t>
      </w:r>
    </w:p>
    <w:p w:rsidR="00327C4A" w:rsidRDefault="005237EE">
      <w:pPr>
        <w:rPr>
          <w:noProof/>
        </w:rPr>
      </w:pPr>
      <w:r>
        <w:rPr>
          <w:noProof/>
        </w:rPr>
        <w:t>Valstybės narės ėmėsi būtinų veiksmų, kad atitinkamos jų</w:t>
      </w:r>
      <w:r>
        <w:rPr>
          <w:noProof/>
        </w:rPr>
        <w:t xml:space="preserve"> nacionalinio lygmens priemonės būtų priimtos laiku, ir apie tai atitinkamai pranešė Komisijai. Siekdama informuoti Sąjungoje gyvenančius Jungtinės Karalystės piliečius apie jų teises, Komisija renka ir pasirengimo „Brexit’ui“ svetainės tinklalapiuose</w:t>
      </w:r>
      <w:r>
        <w:rPr>
          <w:rStyle w:val="FootnoteReference"/>
          <w:noProof/>
        </w:rPr>
        <w:footnoteReference w:id="5"/>
      </w:r>
      <w:r>
        <w:rPr>
          <w:noProof/>
        </w:rPr>
        <w:t xml:space="preserve"> ske</w:t>
      </w:r>
      <w:r>
        <w:rPr>
          <w:noProof/>
        </w:rPr>
        <w:t>lbia naujausią apžvalgą, kurioje pateikiama naujausia informacija apie 27 ES valstybių narių nacionalines priemones. Nacionaliniu lygmeniu valstybės narės vykdo įvairius veiksmus, kuriais siekiama informuoti jų teritorijoje gyvenančius Jungtinės Karalystės</w:t>
      </w:r>
      <w:r>
        <w:rPr>
          <w:noProof/>
        </w:rPr>
        <w:t xml:space="preserve"> piliečius</w:t>
      </w:r>
      <w:r>
        <w:rPr>
          <w:rStyle w:val="FootnoteReference"/>
          <w:noProof/>
        </w:rPr>
        <w:footnoteReference w:id="6"/>
      </w:r>
      <w:r>
        <w:rPr>
          <w:noProof/>
        </w:rPr>
        <w:t xml:space="preserve">. Komisija pažymi, kad būtinos priemonės jau priimtos. </w:t>
      </w:r>
      <w:r>
        <w:rPr>
          <w:b/>
          <w:noProof/>
        </w:rPr>
        <w:t>Ji ragina tas valstybes nares, kurios dar nėra užbaigusios priėmimo proceso, tai padaryti kuo greičiau</w:t>
      </w:r>
      <w:r>
        <w:rPr>
          <w:noProof/>
        </w:rPr>
        <w:t>.   </w:t>
      </w:r>
    </w:p>
    <w:p w:rsidR="00327C4A" w:rsidRDefault="005237EE">
      <w:pPr>
        <w:rPr>
          <w:noProof/>
          <w:szCs w:val="24"/>
        </w:rPr>
      </w:pPr>
      <w:r>
        <w:rPr>
          <w:noProof/>
        </w:rPr>
        <w:t xml:space="preserve">Valstybių narių priemonės yra iš esmės panašios, tik šiek tiek skiriasi tiksli </w:t>
      </w:r>
      <w:r>
        <w:rPr>
          <w:noProof/>
        </w:rPr>
        <w:t>taikymo jų teritorijoje gyvenantiems Jungtinės Karalystės piliečiams sritis. Dauguma valstybių narių pasirinko tikslinių nuolatinio arba laikino nacionalinio padėties įteisinimo teisės aktų modelį. Daugelyje valstybių narių numatytas statusas ir teisės gri</w:t>
      </w:r>
      <w:r>
        <w:rPr>
          <w:noProof/>
        </w:rPr>
        <w:t>ndžiami Laisvo judėjimo direktyva</w:t>
      </w:r>
      <w:r>
        <w:rPr>
          <w:rStyle w:val="FootnoteReference"/>
          <w:noProof/>
        </w:rPr>
        <w:footnoteReference w:id="7"/>
      </w:r>
      <w:r>
        <w:rPr>
          <w:noProof/>
        </w:rPr>
        <w:t xml:space="preserve"> arba Susitarimu dėl išstojimo. Kai kurios valstybės narės pabrėžia, jog jų nacionalinėse priemonėse įtvirtintas svarbus pagrindinis principas yra tai, kad Jungtinė Karalystė taikytų abipusiškumo principą. </w:t>
      </w:r>
    </w:p>
    <w:p w:rsidR="00327C4A" w:rsidRDefault="005237EE">
      <w:pPr>
        <w:rPr>
          <w:noProof/>
          <w:szCs w:val="24"/>
        </w:rPr>
      </w:pPr>
      <w:r>
        <w:rPr>
          <w:noProof/>
        </w:rPr>
        <w:t>Jungtinės Karal</w:t>
      </w:r>
      <w:r>
        <w:rPr>
          <w:noProof/>
        </w:rPr>
        <w:t xml:space="preserve">ystės piliečiams, kurie jau daugiau kaip 5 metus yra teisėtai išgyvenę valstybėje narėje, gali būti </w:t>
      </w:r>
      <w:r>
        <w:rPr>
          <w:b/>
          <w:noProof/>
        </w:rPr>
        <w:t>suteiktas ES ilgalaikio gyventojo statusas</w:t>
      </w:r>
      <w:r>
        <w:rPr>
          <w:noProof/>
        </w:rPr>
        <w:t>, jei jie atitinka Direktyvoje 2003/109/EB</w:t>
      </w:r>
      <w:r>
        <w:rPr>
          <w:rStyle w:val="FootnoteReference"/>
          <w:b/>
          <w:noProof/>
        </w:rPr>
        <w:footnoteReference w:id="8"/>
      </w:r>
      <w:r>
        <w:rPr>
          <w:noProof/>
        </w:rPr>
        <w:t xml:space="preserve"> nustatytas sąlygas. Šis patvarus statusas gyvenamojoje valstybėje narėje yra įtvirtintas Sąjungos teisėje</w:t>
      </w:r>
      <w:r>
        <w:rPr>
          <w:rStyle w:val="FootnoteReference"/>
          <w:noProof/>
        </w:rPr>
        <w:footnoteReference w:id="9"/>
      </w:r>
      <w:r>
        <w:rPr>
          <w:noProof/>
        </w:rPr>
        <w:t xml:space="preserve"> ir užtikrina tokias pačias sąlygas kaip ir tos valstybės narės piliečiams, taip pat teisę judėti ir gyventi, dirbti ar mokytis kitoje ES valstybėje </w:t>
      </w:r>
      <w:r>
        <w:rPr>
          <w:noProof/>
        </w:rPr>
        <w:t>narėje, jei įvykdytos tam tikros sąlygos</w:t>
      </w:r>
      <w:r>
        <w:rPr>
          <w:rStyle w:val="FootnoteReference"/>
          <w:noProof/>
        </w:rPr>
        <w:footnoteReference w:id="10"/>
      </w:r>
      <w:r>
        <w:rPr>
          <w:noProof/>
        </w:rPr>
        <w:t>. Komisija primena, kad ji mano, jog laikotarpiai, kuriuos Jungtinės Karalystės piliečiai teisėtai išgyveno kurioje nors iš 27 ES valstybių narių iki išstojimo dienos, pagal Direktyvą 2003/109/EB dėl trečiųjų valsty</w:t>
      </w:r>
      <w:r>
        <w:rPr>
          <w:noProof/>
        </w:rPr>
        <w:t xml:space="preserve">bių </w:t>
      </w:r>
      <w:r>
        <w:rPr>
          <w:noProof/>
        </w:rPr>
        <w:lastRenderedPageBreak/>
        <w:t>piliečių, kurie yra ilgalaikiai gyventojai, statuso</w:t>
      </w:r>
      <w:r>
        <w:rPr>
          <w:rStyle w:val="FootnoteReference"/>
          <w:noProof/>
        </w:rPr>
        <w:footnoteReference w:id="11"/>
      </w:r>
      <w:r>
        <w:rPr>
          <w:noProof/>
        </w:rPr>
        <w:t xml:space="preserve"> turėtų būti laikomi teisėto gyvenimo Europos Sąjungos valstybėje narėje laikotarpiais.</w:t>
      </w:r>
    </w:p>
    <w:p w:rsidR="00327C4A" w:rsidRDefault="005237EE">
      <w:pPr>
        <w:rPr>
          <w:noProof/>
          <w:szCs w:val="24"/>
        </w:rPr>
      </w:pPr>
      <w:r>
        <w:rPr>
          <w:noProof/>
        </w:rPr>
        <w:t>Komisija prašo valstybių narių apsvarstyti papildomas priemones, kuriomis būtų užtikrinama, kad, pasibaigus laik</w:t>
      </w:r>
      <w:r>
        <w:rPr>
          <w:noProof/>
        </w:rPr>
        <w:t>inųjų nenumatytų atvejų priemonių galiojimui, išstojimo dieną 27 ES valstybių narių teritorijoje jau teisėtai gyvenantys visi Jungtinės Karalystės piliečiai (visų pirma valstybėje narėje išgyvenę trumpiau nei 5 metus) galėtų toliau likti šalyje. Tais atvej</w:t>
      </w:r>
      <w:r>
        <w:rPr>
          <w:noProof/>
        </w:rPr>
        <w:t xml:space="preserve">ais, kai nuolatinis statusas nebuvo suteiktas iš anksto, priklausomai nuo to, kokį metodą valstybė narė yra pasirinkusi, šis galutinis terminas įvairuoja nuo kelių mėnesių iki kelerių metų nuo išstojimo momento. </w:t>
      </w:r>
    </w:p>
    <w:p w:rsidR="00327C4A" w:rsidRDefault="005237EE">
      <w:pPr>
        <w:pStyle w:val="Heading2"/>
        <w:tabs>
          <w:tab w:val="clear" w:pos="1202"/>
          <w:tab w:val="num" w:pos="1077"/>
        </w:tabs>
        <w:ind w:left="1077" w:hanging="601"/>
        <w:rPr>
          <w:noProof/>
        </w:rPr>
      </w:pPr>
      <w:r>
        <w:rPr>
          <w:noProof/>
        </w:rPr>
        <w:t>Po išstojimo dienos į ES atvykstančių Jungt</w:t>
      </w:r>
      <w:r>
        <w:rPr>
          <w:noProof/>
        </w:rPr>
        <w:t>inės Karalystės piliečių teisės</w:t>
      </w:r>
    </w:p>
    <w:p w:rsidR="00327C4A" w:rsidRDefault="005237EE">
      <w:pPr>
        <w:spacing w:after="120"/>
        <w:rPr>
          <w:noProof/>
          <w:szCs w:val="24"/>
        </w:rPr>
      </w:pPr>
      <w:r>
        <w:rPr>
          <w:noProof/>
        </w:rPr>
        <w:t xml:space="preserve">Kiek tai susiję su </w:t>
      </w:r>
      <w:r>
        <w:rPr>
          <w:b/>
          <w:noProof/>
        </w:rPr>
        <w:t>trumpalaikiu buvimu</w:t>
      </w:r>
      <w:r>
        <w:rPr>
          <w:noProof/>
        </w:rPr>
        <w:t xml:space="preserve"> (ne ilgiau kaip 90 dienų per 180 dienų laikotarpį), Europos Parlamentas ir Taryba susitarė dėl reglamento, kuriuo Jungtinės Karalystės piliečiams</w:t>
      </w:r>
      <w:r>
        <w:rPr>
          <w:rStyle w:val="FootnoteReference"/>
          <w:noProof/>
        </w:rPr>
        <w:footnoteReference w:id="12"/>
      </w:r>
      <w:r>
        <w:rPr>
          <w:noProof/>
        </w:rPr>
        <w:t xml:space="preserve"> netaikomas reikalavimas turėti vizą, j</w:t>
      </w:r>
      <w:r>
        <w:rPr>
          <w:noProof/>
        </w:rPr>
        <w:t>ei Jungtinė Karalystė tokį pat režimą taikys ES piliečiams</w:t>
      </w:r>
      <w:r>
        <w:rPr>
          <w:rStyle w:val="FootnoteReference"/>
          <w:noProof/>
        </w:rPr>
        <w:footnoteReference w:id="13"/>
      </w:r>
      <w:r>
        <w:rPr>
          <w:noProof/>
        </w:rPr>
        <w:t>.</w:t>
      </w:r>
    </w:p>
    <w:p w:rsidR="00327C4A" w:rsidRDefault="005237EE">
      <w:pPr>
        <w:rPr>
          <w:noProof/>
          <w:szCs w:val="24"/>
        </w:rPr>
      </w:pPr>
      <w:r>
        <w:rPr>
          <w:noProof/>
        </w:rPr>
        <w:t xml:space="preserve">Jungtinės Karalystės piliečiams, kurie į ES atvyksta po išstojimo dienos </w:t>
      </w:r>
      <w:r>
        <w:rPr>
          <w:b/>
          <w:noProof/>
        </w:rPr>
        <w:t>ilgalaikio buvimo tikslais</w:t>
      </w:r>
      <w:r>
        <w:rPr>
          <w:noProof/>
        </w:rPr>
        <w:t xml:space="preserve"> (ilgesniam kaip 90 dienų laikotarpiui bet kokiu tikslu), bus taikomos trečiųjų šalie piliečiams</w:t>
      </w:r>
      <w:r>
        <w:rPr>
          <w:noProof/>
        </w:rPr>
        <w:t xml:space="preserve"> taikytinos ES ir nacionalinės migracijos teisės normos</w:t>
      </w:r>
      <w:r>
        <w:rPr>
          <w:rStyle w:val="FootnoteReference"/>
          <w:noProof/>
        </w:rPr>
        <w:footnoteReference w:id="14"/>
      </w:r>
      <w:r>
        <w:rPr>
          <w:noProof/>
        </w:rPr>
        <w:t>. Šiose taisyklėse numatyta visų pirma galimybė tam tikromis sąlygomis gauti leidimą likti šalyje darbo</w:t>
      </w:r>
      <w:r>
        <w:rPr>
          <w:rStyle w:val="FootnoteReference"/>
          <w:noProof/>
        </w:rPr>
        <w:footnoteReference w:id="15"/>
      </w:r>
      <w:r>
        <w:rPr>
          <w:noProof/>
        </w:rPr>
        <w:t>, mokymosi, mokslinių tyrimų arba prisijungimo prie ES esančio šeimos nario tikslais.</w:t>
      </w:r>
    </w:p>
    <w:p w:rsidR="00327C4A" w:rsidRDefault="005237EE">
      <w:pPr>
        <w:pStyle w:val="Heading2"/>
        <w:tabs>
          <w:tab w:val="clear" w:pos="1202"/>
          <w:tab w:val="num" w:pos="1077"/>
        </w:tabs>
        <w:ind w:left="1077" w:hanging="601"/>
        <w:rPr>
          <w:noProof/>
        </w:rPr>
      </w:pPr>
      <w:r>
        <w:rPr>
          <w:noProof/>
        </w:rPr>
        <w:t>Jungtinėje</w:t>
      </w:r>
      <w:r>
        <w:rPr>
          <w:noProof/>
        </w:rPr>
        <w:t xml:space="preserve"> Karalystėje jau gyvenančių ES piliečių teisė toliau gyventi šalyje</w:t>
      </w:r>
    </w:p>
    <w:p w:rsidR="00327C4A" w:rsidRDefault="005237EE">
      <w:pPr>
        <w:rPr>
          <w:noProof/>
          <w:szCs w:val="24"/>
        </w:rPr>
      </w:pPr>
      <w:r>
        <w:rPr>
          <w:noProof/>
        </w:rPr>
        <w:t>Komisija pirmenybę teikia Jungtinėje Karalystėje jau gyvenančių ES piliečių teisinio statuso apsaugai nepaisydama to, kad šiuo klausimu kompetenciją turės Jungtinė Karalystė. Lygiai taip p</w:t>
      </w:r>
      <w:r>
        <w:rPr>
          <w:noProof/>
        </w:rPr>
        <w:t>at ji siekia garantuoti ES jau teisėtai gyvenančių Jungtinės Karalystės piliečių statusą. Todėl Komisija palankiai įvertino Jungtinės Karalystės patikinimus ir priimtas politikos priemones, kuriomis net išstojimo be susitarimo atveju</w:t>
      </w:r>
      <w:r>
        <w:rPr>
          <w:rStyle w:val="FootnoteReference"/>
          <w:noProof/>
        </w:rPr>
        <w:footnoteReference w:id="16"/>
      </w:r>
      <w:r>
        <w:rPr>
          <w:noProof/>
        </w:rPr>
        <w:t xml:space="preserve"> </w:t>
      </w:r>
      <w:r>
        <w:rPr>
          <w:noProof/>
        </w:rPr>
        <w:lastRenderedPageBreak/>
        <w:t xml:space="preserve">bus užtikrinama, kad </w:t>
      </w:r>
      <w:r>
        <w:rPr>
          <w:noProof/>
        </w:rPr>
        <w:t>ES piliečių teisės Jungtinėje Karalystėje bus saugomos ES piliečiams suteikiant nuolatinio gyventojo statusą</w:t>
      </w:r>
      <w:r>
        <w:rPr>
          <w:rStyle w:val="FootnoteReference"/>
          <w:noProof/>
        </w:rPr>
        <w:footnoteReference w:id="17"/>
      </w:r>
      <w:r>
        <w:rPr>
          <w:noProof/>
        </w:rPr>
        <w:t xml:space="preserve">. </w:t>
      </w:r>
    </w:p>
    <w:p w:rsidR="00327C4A" w:rsidRDefault="005237EE">
      <w:pPr>
        <w:rPr>
          <w:noProof/>
          <w:szCs w:val="24"/>
        </w:rPr>
      </w:pPr>
      <w:r>
        <w:rPr>
          <w:noProof/>
        </w:rPr>
        <w:t>Kad įsitikintų, jog ES piliečių statusas bus tinkamai apsaugotas, Komisijos atstovybės Jungtinėje Karalystėje ir atitinkamos tarnybos Briuselyje</w:t>
      </w:r>
      <w:r>
        <w:rPr>
          <w:noProof/>
        </w:rPr>
        <w:t xml:space="preserve"> atidžiai stebi ir analizuoja parengiamuosius veiksmus, kurių ėmėsi Jungtinė Karalystė, siekdama, kad politiniai pranešimai virstų teisės aktais ir konkrečiais veiksmais. Komisija prašo valstybių narių diplomatinių atstovybių Jungtinėje Karalystėje toliau </w:t>
      </w:r>
      <w:r>
        <w:rPr>
          <w:noProof/>
        </w:rPr>
        <w:t>derinti veiksmus su Komisijos atstovybe Jungtinėje Karalystėje, kad Jungtinėje Karalystėje esantiems ES piliečiams būtų atitinkamai teikiama informacija, ekspertinės žinios ir teisinės konsultacijos</w:t>
      </w:r>
      <w:r>
        <w:rPr>
          <w:rStyle w:val="FootnoteReference"/>
          <w:noProof/>
        </w:rPr>
        <w:footnoteReference w:id="18"/>
      </w:r>
      <w:r>
        <w:rPr>
          <w:noProof/>
        </w:rPr>
        <w:t>.</w:t>
      </w:r>
    </w:p>
    <w:p w:rsidR="00327C4A" w:rsidRDefault="005237EE">
      <w:pPr>
        <w:pStyle w:val="Heading1"/>
        <w:rPr>
          <w:noProof/>
        </w:rPr>
      </w:pPr>
      <w:r>
        <w:rPr>
          <w:noProof/>
        </w:rPr>
        <w:t>Piliečių socialinės apsaugos teisės</w:t>
      </w:r>
    </w:p>
    <w:p w:rsidR="00327C4A" w:rsidRDefault="005237EE">
      <w:pPr>
        <w:pStyle w:val="Text1"/>
        <w:ind w:left="0"/>
        <w:rPr>
          <w:noProof/>
          <w:szCs w:val="24"/>
        </w:rPr>
      </w:pPr>
      <w:r>
        <w:rPr>
          <w:noProof/>
        </w:rPr>
        <w:t>Išstojimo be susita</w:t>
      </w:r>
      <w:r>
        <w:rPr>
          <w:noProof/>
        </w:rPr>
        <w:t>rimo atveju Jungtinėje Karalystėje nebebus taikomos Sąjungos socialinės apsaugos koordinavimo taisyklės. Jei nebus taikoma nenumatytų atvejų priemonių, kiltų rizika su Jungtine Karalyste susijusioms 27 ES valstybių narių piliečių ir Jungtinės Karalystės pi</w:t>
      </w:r>
      <w:r>
        <w:rPr>
          <w:noProof/>
        </w:rPr>
        <w:t>liečių socialinės apsaugos teisėms, grindžiamoms iki išstojimo dienos įvykusiais faktais ir įvykiais ir įgytais draudimo, darbo pagal darbo sutartį, savarankiško darbo arba gyvenimo laikotarpiais.</w:t>
      </w:r>
    </w:p>
    <w:p w:rsidR="00327C4A" w:rsidRDefault="005237EE">
      <w:pPr>
        <w:pStyle w:val="Text1"/>
        <w:ind w:left="0"/>
        <w:rPr>
          <w:noProof/>
          <w:szCs w:val="24"/>
        </w:rPr>
      </w:pPr>
      <w:r>
        <w:rPr>
          <w:noProof/>
        </w:rPr>
        <w:t>Nenumatytų atvejų priemonių imtasi tiek Sąjungos, tiek naci</w:t>
      </w:r>
      <w:r>
        <w:rPr>
          <w:noProof/>
        </w:rPr>
        <w:t>onaliniu lygmeniu.</w:t>
      </w:r>
    </w:p>
    <w:p w:rsidR="00327C4A" w:rsidRDefault="005237EE">
      <w:pPr>
        <w:pStyle w:val="Heading2"/>
        <w:tabs>
          <w:tab w:val="clear" w:pos="1202"/>
          <w:tab w:val="num" w:pos="1077"/>
        </w:tabs>
        <w:ind w:left="1077" w:hanging="601"/>
        <w:rPr>
          <w:rFonts w:eastAsia="Calibri"/>
          <w:noProof/>
        </w:rPr>
      </w:pPr>
      <w:r>
        <w:rPr>
          <w:noProof/>
        </w:rPr>
        <w:t>Nenumatytų atvejų reglamentas dėl socialinės apsaugos koordinavimo</w:t>
      </w:r>
    </w:p>
    <w:p w:rsidR="00327C4A" w:rsidRDefault="005237EE">
      <w:pPr>
        <w:rPr>
          <w:rFonts w:eastAsia="Calibri"/>
          <w:noProof/>
          <w:szCs w:val="24"/>
        </w:rPr>
      </w:pPr>
      <w:r>
        <w:rPr>
          <w:noProof/>
        </w:rPr>
        <w:t xml:space="preserve">2019 m. kovo 25 d. priimtas Europos Parlamento ir Tarybos reglamentas, kuriuo nustatomos socialinės apsaugos koordinavimo srities nenumatytų atvejų priemonės, taikytinos </w:t>
      </w:r>
      <w:r>
        <w:rPr>
          <w:noProof/>
        </w:rPr>
        <w:t>Jungtinei Karalystei išstojus iš Sąjungos</w:t>
      </w:r>
      <w:r>
        <w:rPr>
          <w:noProof/>
          <w:vertAlign w:val="superscript"/>
        </w:rPr>
        <w:footnoteReference w:id="19"/>
      </w:r>
      <w:r>
        <w:rPr>
          <w:noProof/>
        </w:rPr>
        <w:t>.</w:t>
      </w:r>
    </w:p>
    <w:p w:rsidR="00327C4A" w:rsidRDefault="005237EE">
      <w:pPr>
        <w:spacing w:line="256" w:lineRule="auto"/>
        <w:rPr>
          <w:rFonts w:eastAsia="Calibri"/>
          <w:noProof/>
          <w:szCs w:val="24"/>
        </w:rPr>
      </w:pPr>
      <w:r>
        <w:rPr>
          <w:noProof/>
        </w:rPr>
        <w:t>Šis nenumatytų atvejų reglamentas, kuris yra vienašalis teisės aktas, privalomas visas ir tiesiogiai taikomas visose valstybėse narėse, bus taikomas nuo netvarkingo išstojimo dienos. Jis taikomas šiems asmenims:</w:t>
      </w:r>
    </w:p>
    <w:p w:rsidR="00327C4A" w:rsidRDefault="005237EE">
      <w:pPr>
        <w:numPr>
          <w:ilvl w:val="0"/>
          <w:numId w:val="21"/>
        </w:numPr>
        <w:spacing w:after="0" w:line="256" w:lineRule="auto"/>
        <w:contextualSpacing/>
        <w:rPr>
          <w:rFonts w:eastAsia="Calibri"/>
          <w:noProof/>
          <w:szCs w:val="24"/>
        </w:rPr>
      </w:pPr>
      <w:r>
        <w:rPr>
          <w:noProof/>
        </w:rPr>
        <w:t xml:space="preserve">valstybės narės piliečiams, asmenims be pilietybės ir pabėgėliams, kuriems </w:t>
      </w:r>
      <w:r>
        <w:rPr>
          <w:noProof/>
          <w:u w:val="single"/>
        </w:rPr>
        <w:t>iki išstojimo dienos</w:t>
      </w:r>
      <w:r>
        <w:rPr>
          <w:noProof/>
        </w:rPr>
        <w:t xml:space="preserve"> yra ar buvo taikomi vienos ar daugiau valstybių narių teisės aktai ir kurie yra ar buvo situacijose, susijusiose su Jungtine Karalyste, taip pat jų šeimos naria</w:t>
      </w:r>
      <w:r>
        <w:rPr>
          <w:noProof/>
        </w:rPr>
        <w:t>ms ir maitintojo netekusiems asmenims;</w:t>
      </w:r>
    </w:p>
    <w:p w:rsidR="00327C4A" w:rsidRDefault="005237EE">
      <w:pPr>
        <w:numPr>
          <w:ilvl w:val="0"/>
          <w:numId w:val="21"/>
        </w:numPr>
        <w:spacing w:line="257" w:lineRule="auto"/>
        <w:ind w:left="714" w:hanging="357"/>
        <w:rPr>
          <w:rFonts w:eastAsia="Calibri"/>
          <w:noProof/>
          <w:szCs w:val="24"/>
        </w:rPr>
      </w:pPr>
      <w:r>
        <w:rPr>
          <w:noProof/>
        </w:rPr>
        <w:t xml:space="preserve">Jungtinės Karalystės piliečiams, kuriems </w:t>
      </w:r>
      <w:r>
        <w:rPr>
          <w:noProof/>
          <w:u w:val="single"/>
        </w:rPr>
        <w:t>iki išstojimo dienos</w:t>
      </w:r>
      <w:r>
        <w:rPr>
          <w:noProof/>
        </w:rPr>
        <w:t xml:space="preserve"> yra ar buvo taikomi vienos ar daugiau valstybių narių teisės aktai, taip pat jų šeimos nariams ir maitintojo netekusiems asmenims.</w:t>
      </w:r>
    </w:p>
    <w:p w:rsidR="00327C4A" w:rsidRDefault="005237EE">
      <w:pPr>
        <w:rPr>
          <w:rFonts w:eastAsia="Calibri"/>
          <w:noProof/>
          <w:szCs w:val="24"/>
        </w:rPr>
      </w:pPr>
      <w:r>
        <w:rPr>
          <w:noProof/>
        </w:rPr>
        <w:t>Pagal reglamentą valstyb</w:t>
      </w:r>
      <w:r>
        <w:rPr>
          <w:noProof/>
        </w:rPr>
        <w:t>ės narės ir toliau taikys:</w:t>
      </w:r>
    </w:p>
    <w:p w:rsidR="00327C4A" w:rsidRDefault="005237EE">
      <w:pPr>
        <w:numPr>
          <w:ilvl w:val="0"/>
          <w:numId w:val="22"/>
        </w:numPr>
        <w:spacing w:after="0" w:line="256" w:lineRule="auto"/>
        <w:contextualSpacing/>
        <w:rPr>
          <w:rFonts w:eastAsia="Calibri"/>
          <w:noProof/>
          <w:szCs w:val="24"/>
        </w:rPr>
      </w:pPr>
      <w:r>
        <w:rPr>
          <w:noProof/>
        </w:rPr>
        <w:t>sumavimo principą iki išstojimo dienos įgytiems draudimo, darbo pagal darbo sutartį, savarankiško darbo arba gyvenimo Jungtinėje Karalystėje laikotarpiams;</w:t>
      </w:r>
    </w:p>
    <w:p w:rsidR="00327C4A" w:rsidRDefault="005237EE">
      <w:pPr>
        <w:numPr>
          <w:ilvl w:val="0"/>
          <w:numId w:val="22"/>
        </w:numPr>
        <w:spacing w:after="0" w:line="256" w:lineRule="auto"/>
        <w:contextualSpacing/>
        <w:rPr>
          <w:rFonts w:eastAsia="Calibri"/>
          <w:noProof/>
          <w:szCs w:val="24"/>
        </w:rPr>
      </w:pPr>
      <w:r>
        <w:rPr>
          <w:noProof/>
        </w:rPr>
        <w:lastRenderedPageBreak/>
        <w:t>sulyginimo principą iki išstojimo dienos įgytoms išmokoms ar pajamoms bei</w:t>
      </w:r>
      <w:r>
        <w:rPr>
          <w:noProof/>
        </w:rPr>
        <w:t xml:space="preserve"> iki tos dienos Jungtinėje Karalystėje įvykusiems faktams arba įvykiams ir </w:t>
      </w:r>
    </w:p>
    <w:p w:rsidR="00327C4A" w:rsidRDefault="005237EE">
      <w:pPr>
        <w:numPr>
          <w:ilvl w:val="0"/>
          <w:numId w:val="22"/>
        </w:numPr>
        <w:spacing w:line="257" w:lineRule="auto"/>
        <w:ind w:left="714" w:hanging="357"/>
        <w:rPr>
          <w:rFonts w:eastAsia="Calibri"/>
          <w:noProof/>
          <w:szCs w:val="24"/>
        </w:rPr>
      </w:pPr>
      <w:r>
        <w:rPr>
          <w:noProof/>
        </w:rPr>
        <w:t>vienodo požiūrio principą bet kokiai situacijai, susidariusiai iki išstojimo dienos.</w:t>
      </w:r>
    </w:p>
    <w:p w:rsidR="00327C4A" w:rsidRDefault="005237EE">
      <w:pPr>
        <w:spacing w:line="256" w:lineRule="auto"/>
        <w:rPr>
          <w:rFonts w:eastAsia="Calibri"/>
          <w:noProof/>
          <w:szCs w:val="24"/>
        </w:rPr>
      </w:pPr>
      <w:r>
        <w:rPr>
          <w:noProof/>
        </w:rPr>
        <w:t xml:space="preserve">Reglamentas netaikomas po išstojimo įvykusiems faktams ir įgytiems laikotarpiams, taip pat socialinės apsaugos išmokų pinigais perkeliamumo į Jungtinę Karalystę principui. </w:t>
      </w:r>
    </w:p>
    <w:p w:rsidR="00327C4A" w:rsidRDefault="005237EE">
      <w:pPr>
        <w:pStyle w:val="Heading2"/>
        <w:tabs>
          <w:tab w:val="clear" w:pos="1202"/>
          <w:tab w:val="num" w:pos="1077"/>
        </w:tabs>
        <w:ind w:left="1077" w:hanging="601"/>
        <w:rPr>
          <w:rFonts w:eastAsia="Calibri"/>
          <w:noProof/>
        </w:rPr>
      </w:pPr>
      <w:r>
        <w:rPr>
          <w:noProof/>
        </w:rPr>
        <w:t>Vienašalis suderintas nenumatytiems atvejams skirtas požiūris</w:t>
      </w:r>
    </w:p>
    <w:p w:rsidR="00327C4A" w:rsidRDefault="005237EE">
      <w:pPr>
        <w:spacing w:before="120" w:after="120"/>
        <w:rPr>
          <w:rFonts w:eastAsia="Calibri"/>
          <w:noProof/>
          <w:szCs w:val="24"/>
        </w:rPr>
      </w:pPr>
      <w:r>
        <w:rPr>
          <w:noProof/>
        </w:rPr>
        <w:t xml:space="preserve">Visų 27 ES valstybių </w:t>
      </w:r>
      <w:r>
        <w:rPr>
          <w:noProof/>
        </w:rPr>
        <w:t>narių paprašyta</w:t>
      </w:r>
      <w:bookmarkStart w:id="2" w:name="_Ref5702974"/>
      <w:r>
        <w:rPr>
          <w:rStyle w:val="FootnoteReference"/>
          <w:noProof/>
        </w:rPr>
        <w:footnoteReference w:id="20"/>
      </w:r>
      <w:bookmarkEnd w:id="2"/>
      <w:r>
        <w:rPr>
          <w:noProof/>
        </w:rPr>
        <w:t xml:space="preserve"> laikytis vienašalio suderinto nenumatytiems atvejams skirto požiūrio, kuris užtikrintų, kad asmenims, kuriems išstojimas daro poveikį, būtų užtikrinama kuo platesnio masto apsauga, ir taip papildytų reglamentą. </w:t>
      </w:r>
    </w:p>
    <w:p w:rsidR="00327C4A" w:rsidRDefault="005237EE">
      <w:pPr>
        <w:spacing w:before="160" w:after="160" w:line="256" w:lineRule="auto"/>
        <w:rPr>
          <w:rFonts w:eastAsia="Calibri"/>
          <w:noProof/>
          <w:szCs w:val="24"/>
        </w:rPr>
      </w:pPr>
      <w:r>
        <w:rPr>
          <w:noProof/>
        </w:rPr>
        <w:t>Kaip ir reglamentas, suderi</w:t>
      </w:r>
      <w:r>
        <w:rPr>
          <w:noProof/>
        </w:rPr>
        <w:t>ntas požiūris būtų taikomas visiems apdraustiesiems asmenims, iki išstojimo dienos 27 ES valstybėse narėse įgijusiems teisių, susijusių su Jungtine Karalyste, kuriems būtų buvę taikomi atitinkami reglamentai dėl socialinės apsaugos sistemų koordinavimo, je</w:t>
      </w:r>
      <w:r>
        <w:rPr>
          <w:noProof/>
        </w:rPr>
        <w:t xml:space="preserve">i Jungtinė Karalystė nebūtų išstojusi iš ES. </w:t>
      </w:r>
    </w:p>
    <w:p w:rsidR="00327C4A" w:rsidRDefault="005237EE">
      <w:pPr>
        <w:spacing w:before="160" w:after="160" w:line="256" w:lineRule="auto"/>
        <w:rPr>
          <w:rFonts w:eastAsia="Calibri"/>
          <w:noProof/>
          <w:szCs w:val="24"/>
        </w:rPr>
      </w:pPr>
      <w:r>
        <w:rPr>
          <w:noProof/>
        </w:rPr>
        <w:t xml:space="preserve">Jis būtų taikomas 27 ES valstybių narių piliečiams ir Jungtinės Karalystės piliečiams, kurie, iki išstojimo dienos naudodamiesi teise laisvai judėti, ES įgijo arba įgis teises, grindžiamas iki išstojimo dienos </w:t>
      </w:r>
      <w:r>
        <w:rPr>
          <w:noProof/>
        </w:rPr>
        <w:t>įgytais laikotarpiais arba įvykusiais faktais ar įvykiais</w:t>
      </w:r>
      <w:r>
        <w:rPr>
          <w:noProof/>
          <w:vertAlign w:val="superscript"/>
        </w:rPr>
        <w:footnoteReference w:id="21"/>
      </w:r>
      <w:r>
        <w:rPr>
          <w:noProof/>
        </w:rPr>
        <w:t xml:space="preserve">. Suderinto požiūrio taikymo sritis yra platesnė nei reglamento ir apima: </w:t>
      </w:r>
    </w:p>
    <w:p w:rsidR="00327C4A" w:rsidRDefault="005237EE">
      <w:pPr>
        <w:numPr>
          <w:ilvl w:val="0"/>
          <w:numId w:val="23"/>
        </w:numPr>
        <w:spacing w:before="160" w:after="160" w:line="256" w:lineRule="auto"/>
        <w:contextualSpacing/>
        <w:rPr>
          <w:rFonts w:eastAsia="Calibri"/>
          <w:noProof/>
          <w:szCs w:val="24"/>
        </w:rPr>
      </w:pPr>
      <w:r>
        <w:rPr>
          <w:noProof/>
        </w:rPr>
        <w:t>Jungtinėje Karalystėje gyvenantiems asmenims mokamų senatvės pensijų perkėlimą;</w:t>
      </w:r>
    </w:p>
    <w:p w:rsidR="00327C4A" w:rsidRDefault="005237EE">
      <w:pPr>
        <w:numPr>
          <w:ilvl w:val="0"/>
          <w:numId w:val="23"/>
        </w:numPr>
        <w:spacing w:before="160" w:after="160" w:line="256" w:lineRule="auto"/>
        <w:contextualSpacing/>
        <w:rPr>
          <w:rFonts w:eastAsia="Calibri"/>
          <w:noProof/>
          <w:szCs w:val="24"/>
        </w:rPr>
      </w:pPr>
      <w:r>
        <w:rPr>
          <w:noProof/>
        </w:rPr>
        <w:t xml:space="preserve">sveikatos priežiūros išlaidų arba išlaidų, </w:t>
      </w:r>
      <w:r>
        <w:rPr>
          <w:noProof/>
        </w:rPr>
        <w:t xml:space="preserve">susijusių su išstojimo momentu mokamomis pasienio darbuotojų bedarbio išmokomis, kompensavimą; </w:t>
      </w:r>
    </w:p>
    <w:p w:rsidR="00327C4A" w:rsidRDefault="005237EE">
      <w:pPr>
        <w:numPr>
          <w:ilvl w:val="0"/>
          <w:numId w:val="23"/>
        </w:numPr>
        <w:spacing w:before="160" w:after="160" w:line="256" w:lineRule="auto"/>
        <w:contextualSpacing/>
        <w:rPr>
          <w:rFonts w:eastAsia="Calibri"/>
          <w:noProof/>
          <w:szCs w:val="24"/>
        </w:rPr>
      </w:pPr>
      <w:r>
        <w:rPr>
          <w:noProof/>
        </w:rPr>
        <w:t xml:space="preserve">27 ES valstybės narės nagrinėjamus kompensavimo prašymus, susijusius su Jungtine Karalyste, kurie pateikti po išstojimo dienos, bet yra susiję su iki išstojimo </w:t>
      </w:r>
      <w:r>
        <w:rPr>
          <w:noProof/>
        </w:rPr>
        <w:t>dienos gautu gydymu;</w:t>
      </w:r>
    </w:p>
    <w:p w:rsidR="00327C4A" w:rsidRDefault="005237EE">
      <w:pPr>
        <w:numPr>
          <w:ilvl w:val="0"/>
          <w:numId w:val="23"/>
        </w:numPr>
        <w:spacing w:before="160" w:after="160" w:line="256" w:lineRule="auto"/>
        <w:contextualSpacing/>
        <w:rPr>
          <w:rFonts w:eastAsia="Calibri"/>
          <w:noProof/>
          <w:szCs w:val="24"/>
        </w:rPr>
      </w:pPr>
      <w:r>
        <w:rPr>
          <w:noProof/>
        </w:rPr>
        <w:t>Jungtinėje Karalystėje teikiamą planinį būtinąjį medicininį gydymą, kuris išstojimo dieną nėra baigtas;</w:t>
      </w:r>
    </w:p>
    <w:p w:rsidR="00327C4A" w:rsidRDefault="005237EE">
      <w:pPr>
        <w:numPr>
          <w:ilvl w:val="0"/>
          <w:numId w:val="23"/>
        </w:numPr>
        <w:spacing w:before="160" w:after="160" w:line="256" w:lineRule="auto"/>
        <w:contextualSpacing/>
        <w:rPr>
          <w:rFonts w:eastAsia="Calibri"/>
          <w:noProof/>
          <w:szCs w:val="24"/>
        </w:rPr>
      </w:pPr>
      <w:r>
        <w:rPr>
          <w:noProof/>
        </w:rPr>
        <w:t>po išstojimo dienos pateiktus kompensavimo prašymus dėl bedarbio išmokų, kurias Jungtinė Karalystė iki išstojimo dienos mokėjo pasi</w:t>
      </w:r>
      <w:r>
        <w:rPr>
          <w:noProof/>
        </w:rPr>
        <w:t>enio darbuotojams, gyvenantiems Jungtinėje Karalystėje, bet dirbantiems vienoje ir 27 ES valstybių narių.</w:t>
      </w:r>
    </w:p>
    <w:p w:rsidR="00327C4A" w:rsidRDefault="005237EE">
      <w:pPr>
        <w:pStyle w:val="Heading2"/>
        <w:tabs>
          <w:tab w:val="clear" w:pos="1202"/>
          <w:tab w:val="num" w:pos="1077"/>
        </w:tabs>
        <w:ind w:left="1077" w:hanging="601"/>
        <w:rPr>
          <w:rFonts w:eastAsia="Calibri"/>
          <w:noProof/>
        </w:rPr>
      </w:pPr>
      <w:r>
        <w:rPr>
          <w:noProof/>
        </w:rPr>
        <w:t>Nacionalinės vienašalės platesnio masto priemonės</w:t>
      </w:r>
    </w:p>
    <w:p w:rsidR="00327C4A" w:rsidRDefault="005237EE">
      <w:pPr>
        <w:spacing w:before="120" w:after="120"/>
        <w:rPr>
          <w:rFonts w:eastAsia="Calibri"/>
          <w:noProof/>
          <w:szCs w:val="24"/>
        </w:rPr>
      </w:pPr>
      <w:r>
        <w:rPr>
          <w:noProof/>
        </w:rPr>
        <w:t xml:space="preserve">Kai kuriose srityse atskiros valstybės narės galėtų suderintą nenumatytiems atvejams skirtą požiūrį </w:t>
      </w:r>
      <w:r>
        <w:rPr>
          <w:noProof/>
        </w:rPr>
        <w:t>papildyti savo nacionalinėmis vienašalėmis priemonėmis, kuriomis būtų numatyta platesnio masto piliečių apsauga</w:t>
      </w:r>
      <w:r>
        <w:rPr>
          <w:rStyle w:val="FootnoteReference"/>
          <w:noProof/>
        </w:rPr>
        <w:footnoteReference w:id="22"/>
      </w:r>
      <w:r>
        <w:rPr>
          <w:noProof/>
        </w:rPr>
        <w:t>. 27 ES valstybės narės galėtų tai padaryti toliau perkeldamos į Jungtinę Karalystę kitas nei senatvės pensijos išmokas pinigais, pavyzdžiui, be</w:t>
      </w:r>
      <w:r>
        <w:rPr>
          <w:noProof/>
        </w:rPr>
        <w:t xml:space="preserve">darbio išmokas, motinystės ir (arba) tėvystės išmokas, invalidumo pensijas, ligos išmokas, pensijas dėl nelaimingų atsitikimų darbe ir išmokas mirties atveju. </w:t>
      </w:r>
    </w:p>
    <w:p w:rsidR="00327C4A" w:rsidRDefault="005237EE">
      <w:pPr>
        <w:pStyle w:val="Heading2"/>
        <w:tabs>
          <w:tab w:val="clear" w:pos="1202"/>
          <w:tab w:val="num" w:pos="1077"/>
        </w:tabs>
        <w:ind w:left="1077" w:hanging="601"/>
        <w:rPr>
          <w:rFonts w:eastAsia="Calibri"/>
          <w:noProof/>
        </w:rPr>
      </w:pPr>
      <w:r>
        <w:rPr>
          <w:noProof/>
        </w:rPr>
        <w:t>Aplinkybių, susidariusių laikotarpiu nuo išstojimo iki grįžimo į įprastą padėtį, švelninimas</w:t>
      </w:r>
    </w:p>
    <w:p w:rsidR="00327C4A" w:rsidRDefault="005237EE">
      <w:pPr>
        <w:spacing w:after="160"/>
        <w:rPr>
          <w:rFonts w:eastAsia="Calibri"/>
          <w:noProof/>
          <w:szCs w:val="24"/>
        </w:rPr>
      </w:pPr>
      <w:r>
        <w:rPr>
          <w:noProof/>
        </w:rPr>
        <w:t>Pri</w:t>
      </w:r>
      <w:r>
        <w:rPr>
          <w:noProof/>
        </w:rPr>
        <w:t>ešingai nei išstojus su ratifikuotu Susitarimu dėl išstojimo, baigties be susitarimo atveju tam tikru laikotarpiu po išstojimo neišvengiamai susiklostys padėtis, kai Jungtinėje Karalystėje įgytiems piliečių darbo, gyvenimo arba draudimo laikotarpiams nebus</w:t>
      </w:r>
      <w:r>
        <w:rPr>
          <w:noProof/>
        </w:rPr>
        <w:t xml:space="preserve"> taikomos visos Sąjungos nenumatytų atvejų priemonės. Komisija mano, kad šių aplinkybių poveikis piliečiams turi būti kuo labiau sumažintas.</w:t>
      </w:r>
    </w:p>
    <w:p w:rsidR="00327C4A" w:rsidRDefault="005237EE">
      <w:pPr>
        <w:spacing w:after="160"/>
        <w:rPr>
          <w:rFonts w:eastAsia="Calibri"/>
          <w:noProof/>
          <w:szCs w:val="24"/>
        </w:rPr>
      </w:pPr>
      <w:r>
        <w:rPr>
          <w:noProof/>
        </w:rPr>
        <w:t>27 ES valstybės narės imasi priemonių, susijusių su piliečių padėtimi po išstojimo be susitarimo. Šios priemonės, k</w:t>
      </w:r>
      <w:r>
        <w:rPr>
          <w:noProof/>
        </w:rPr>
        <w:t>urių taikymo sritis gali būti platesnė nei visos Sąjungos nenumatytų atvejų priemonės, turėtų būti vienašalės ir ribotos trukmės.</w:t>
      </w:r>
    </w:p>
    <w:p w:rsidR="00327C4A" w:rsidRDefault="005237EE">
      <w:pPr>
        <w:spacing w:after="160"/>
        <w:rPr>
          <w:rFonts w:eastAsia="Calibri"/>
          <w:noProof/>
          <w:szCs w:val="24"/>
          <w:highlight w:val="yellow"/>
        </w:rPr>
      </w:pPr>
      <w:r>
        <w:rPr>
          <w:noProof/>
        </w:rPr>
        <w:t>27 ES valstybės narės galėtų apsvarstyti galimybę, be kita ko, užtikrinti, kad sumavimo principas būtų toliau taikomas ir tų a</w:t>
      </w:r>
      <w:r>
        <w:rPr>
          <w:noProof/>
        </w:rPr>
        <w:t>smenų darbo, draudimo ir gyvenimo Jungtinėje Karalystėje laikotarpiams, įgytiems po išstojimo dienos. Be to, 27 ES valstybės narės taip pat galėtų abipusiškumo pagrindu leisti sveikatos apsaugos paslaugas gauti Jungtinės Karalystės piliečiams, kurie yra ap</w:t>
      </w:r>
      <w:r>
        <w:rPr>
          <w:noProof/>
        </w:rPr>
        <w:t>drausti Jungtinėje Karalystėje, bet gyvena jų teritorijoje.</w:t>
      </w:r>
    </w:p>
    <w:p w:rsidR="00327C4A" w:rsidRDefault="005237EE">
      <w:pPr>
        <w:pStyle w:val="Heading1"/>
        <w:rPr>
          <w:noProof/>
        </w:rPr>
      </w:pPr>
      <w:r>
        <w:rPr>
          <w:noProof/>
        </w:rPr>
        <w:t>Papildoma informacija</w:t>
      </w:r>
    </w:p>
    <w:p w:rsidR="00327C4A" w:rsidRDefault="005237EE">
      <w:pPr>
        <w:pStyle w:val="Text1"/>
        <w:ind w:left="0"/>
        <w:rPr>
          <w:noProof/>
        </w:rPr>
      </w:pPr>
      <w:r>
        <w:rPr>
          <w:noProof/>
        </w:rPr>
        <w:t>Valdžios institucijoms ir suinteresuotiesiems subjektams daugiau informacijos apie netvarkingo Jungtinės Karalystės išstojimo poveikį piliečių teisei gyventi šalyje ir įgytom</w:t>
      </w:r>
      <w:r>
        <w:rPr>
          <w:noProof/>
        </w:rPr>
        <w:t>s socialinės apsaugos teisėms pateikiama šioje Komisijos interneto svetainėje:</w:t>
      </w:r>
    </w:p>
    <w:p w:rsidR="00327C4A" w:rsidRDefault="005237EE">
      <w:pPr>
        <w:pStyle w:val="Text1"/>
        <w:ind w:left="0"/>
        <w:rPr>
          <w:noProof/>
        </w:rPr>
      </w:pPr>
      <w:hyperlink r:id="rId22">
        <w:r>
          <w:rPr>
            <w:rStyle w:val="Hyperlink"/>
            <w:noProof/>
            <w:color w:val="000000"/>
          </w:rPr>
          <w:t>https://ec.europa.eu/info/brexit/brexit-preparedness/preparedness-notices_lt</w:t>
        </w:r>
      </w:hyperlink>
      <w:r>
        <w:rPr>
          <w:noProof/>
        </w:rPr>
        <w:t>.</w:t>
      </w:r>
    </w:p>
    <w:sectPr w:rsidR="00327C4A">
      <w:headerReference w:type="even" r:id="rId23"/>
      <w:headerReference w:type="default" r:id="rId24"/>
      <w:footerReference w:type="even" r:id="rId25"/>
      <w:footerReference w:type="default" r:id="rId26"/>
      <w:headerReference w:type="first" r:id="rId27"/>
      <w:footerReference w:type="first" r:id="rId28"/>
      <w:pgSz w:w="11906" w:h="16838"/>
      <w:pgMar w:top="1020" w:right="1701" w:bottom="1020" w:left="1587" w:header="601" w:footer="10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C4A" w:rsidRDefault="005237EE">
      <w:pPr>
        <w:spacing w:after="0"/>
      </w:pPr>
      <w:r>
        <w:separator/>
      </w:r>
    </w:p>
  </w:endnote>
  <w:endnote w:type="continuationSeparator" w:id="0">
    <w:p w:rsidR="00327C4A" w:rsidRDefault="005237EE">
      <w:pPr>
        <w:spacing w:after="0"/>
      </w:pPr>
      <w:r>
        <w:continuationSeparator/>
      </w:r>
    </w:p>
  </w:endnote>
  <w:endnote w:type="continuationNotice" w:id="1">
    <w:p w:rsidR="00327C4A" w:rsidRDefault="00327C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4A" w:rsidRDefault="00327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4A" w:rsidRDefault="005237EE">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4A" w:rsidRDefault="00327C4A">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4A" w:rsidRDefault="005237EE">
    <w:pPr>
      <w:pStyle w:val="FooterLine"/>
      <w:jc w:val="center"/>
    </w:pPr>
    <w:r>
      <w:fldChar w:fldCharType="begin"/>
    </w:r>
    <w:r>
      <w:instrText>PAGE   \* MERGEFORMAT</w:instrText>
    </w:r>
    <w:r>
      <w:fldChar w:fldCharType="separate"/>
    </w:r>
    <w:r>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4A" w:rsidRDefault="005237EE">
    <w:pPr>
      <w:pStyle w:val="FooterLine"/>
      <w:jc w:val="center"/>
      <w:rPr>
        <w:sz w:val="22"/>
        <w:szCs w:val="22"/>
      </w:rPr>
    </w:pPr>
    <w:r>
      <w:rPr>
        <w:sz w:val="22"/>
        <w:szCs w:val="22"/>
      </w:rPr>
      <w:fldChar w:fldCharType="begin"/>
    </w:r>
    <w:r>
      <w:rPr>
        <w:sz w:val="22"/>
        <w:szCs w:val="22"/>
      </w:rPr>
      <w:instrText>PAGE   \* MERGEFORMAT</w:instrText>
    </w:r>
    <w:r>
      <w:rPr>
        <w:sz w:val="22"/>
        <w:szCs w:val="22"/>
      </w:rPr>
      <w:fldChar w:fldCharType="separate"/>
    </w:r>
    <w:r>
      <w:rPr>
        <w:noProof/>
        <w:sz w:val="22"/>
        <w:szCs w:val="22"/>
      </w:rPr>
      <w:t>1</w:t>
    </w:r>
    <w:r>
      <w:rPr>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4A" w:rsidRDefault="00327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C4A" w:rsidRDefault="005237EE">
      <w:pPr>
        <w:spacing w:after="0"/>
      </w:pPr>
      <w:r>
        <w:separator/>
      </w:r>
    </w:p>
  </w:footnote>
  <w:footnote w:type="continuationSeparator" w:id="0">
    <w:p w:rsidR="00327C4A" w:rsidRDefault="005237EE">
      <w:pPr>
        <w:spacing w:after="0"/>
      </w:pPr>
      <w:r>
        <w:continuationSeparator/>
      </w:r>
    </w:p>
  </w:footnote>
  <w:footnote w:type="continuationNotice" w:id="1">
    <w:p w:rsidR="00327C4A" w:rsidRDefault="00327C4A">
      <w:pPr>
        <w:spacing w:after="0"/>
      </w:pPr>
    </w:p>
  </w:footnote>
  <w:footnote w:id="2">
    <w:p w:rsidR="00327C4A" w:rsidRDefault="005237EE">
      <w:pPr>
        <w:pStyle w:val="FootnoteText"/>
      </w:pPr>
      <w:r>
        <w:rPr>
          <w:vertAlign w:val="superscript"/>
        </w:rPr>
        <w:footnoteRef/>
      </w:r>
      <w:r>
        <w:t xml:space="preserve"> </w:t>
      </w:r>
      <w:r>
        <w:tab/>
        <w:t xml:space="preserve">2019 m. kovo 22 d. Europos Vadovų Tarybos sprendimas (ES) 2019/476, priimtas susitarus su Jungtine Karalyste, kuriuo pratęsiamas terminas pagal ES sutarties 50 </w:t>
      </w:r>
      <w:r>
        <w:t>straipsnio 3 dalį (OL L 80I, 2019 3 22, p. 1).</w:t>
      </w:r>
    </w:p>
  </w:footnote>
  <w:footnote w:id="3">
    <w:p w:rsidR="00327C4A" w:rsidRDefault="005237EE">
      <w:pPr>
        <w:pStyle w:val="FootnoteText"/>
      </w:pPr>
      <w:r>
        <w:rPr>
          <w:rStyle w:val="FootnoteReference"/>
        </w:rPr>
        <w:footnoteRef/>
      </w:r>
      <w:r>
        <w:t xml:space="preserve"> </w:t>
      </w:r>
      <w:r>
        <w:tab/>
        <w:t>Turėtų būti laikoma, kad terminas „Jungtinės Karalystės pilietis“ apima ir trečiųjų šalių piliečiais esančius šeimos narius, kurie išstojimo momentu jau gyvena atitinkamoje priimančiojoje valstybėje.</w:t>
      </w:r>
    </w:p>
  </w:footnote>
  <w:footnote w:id="4">
    <w:p w:rsidR="00327C4A" w:rsidRDefault="005237EE">
      <w:pPr>
        <w:pStyle w:val="FootnoteText"/>
      </w:pPr>
      <w:r>
        <w:rPr>
          <w:rStyle w:val="FootnoteReference"/>
        </w:rPr>
        <w:footnoteRef/>
      </w:r>
      <w:r>
        <w:t xml:space="preserve"> </w:t>
      </w:r>
      <w:r>
        <w:tab/>
        <w:t>Jun</w:t>
      </w:r>
      <w:r>
        <w:t>gtinės Karalystės piliečiai, kurie taip pat turi ES valstybės narės pilietybę, išlieka ES piliečiai ir visiškai išsaugo teisę laisvai judėti.</w:t>
      </w:r>
    </w:p>
  </w:footnote>
  <w:footnote w:id="5">
    <w:p w:rsidR="00327C4A" w:rsidRDefault="005237EE">
      <w:pPr>
        <w:pStyle w:val="FootnoteText"/>
      </w:pPr>
      <w:r>
        <w:rPr>
          <w:rStyle w:val="FootnoteReference"/>
        </w:rPr>
        <w:footnoteRef/>
      </w:r>
      <w:r>
        <w:t xml:space="preserve"> </w:t>
      </w:r>
      <w:r>
        <w:tab/>
        <w:t>https://ec.europa.eu/info/brexit/brexit-preparedness/residence-rights-uk-nationals-eu-member-states_en</w:t>
      </w:r>
    </w:p>
  </w:footnote>
  <w:footnote w:id="6">
    <w:p w:rsidR="00327C4A" w:rsidRDefault="005237EE">
      <w:pPr>
        <w:pStyle w:val="FootnoteText"/>
      </w:pPr>
      <w:r>
        <w:rPr>
          <w:rStyle w:val="FootnoteReference"/>
        </w:rPr>
        <w:footnoteRef/>
      </w:r>
      <w:r>
        <w:t xml:space="preserve"> </w:t>
      </w:r>
      <w:r>
        <w:tab/>
        <w:t>Bevei</w:t>
      </w:r>
      <w:r>
        <w:t>k visos valstybės narės palaiko ryšius su Jungtinės Karalystės ambasadomis ir konsulatais. Kai kurios iš jų taip pat bendrauja per specialias svetaines gyvenimo šalyje klausimais ir per socialines medijas. Kitos leidžia informacinius lapelius, steigia „Bre</w:t>
      </w:r>
      <w:r>
        <w:t>xit’o“ skambučių linijas, palaiko ryšius su NVO ir darbdavių organizacijomis. Kai kurios valstybės narės taip pat individualiai susisiekia su kiekvienu jos teritorijoje gyvenančiu Jungtinės Karalystės piliečiu.</w:t>
      </w:r>
    </w:p>
  </w:footnote>
  <w:footnote w:id="7">
    <w:p w:rsidR="00327C4A" w:rsidRDefault="005237EE">
      <w:pPr>
        <w:pStyle w:val="FootnoteText"/>
        <w:rPr>
          <w:i/>
        </w:rPr>
      </w:pPr>
      <w:r>
        <w:rPr>
          <w:rStyle w:val="FootnoteReference"/>
        </w:rPr>
        <w:footnoteRef/>
      </w:r>
      <w:r>
        <w:t xml:space="preserve"> </w:t>
      </w:r>
      <w:r>
        <w:tab/>
        <w:t>2004 m. balandžio 29 d. Europos Parlamento</w:t>
      </w:r>
      <w:r>
        <w:t xml:space="preserve"> ir Tarybos direktyva 2004/38/EB dėl Sąjungos piliečių ir jų šeimos narių teisės laisvai judėti ir gyventi valstybių narių teritorijoje, iš dalies keičianti Reglamentą (EEB) Nr. 1612/68 ir panaikinanti Direktyvas 64/221/EEB, 68/360/EEB, 72/194/EEB, 73/148/</w:t>
      </w:r>
      <w:r>
        <w:t>EEB, 75/34/EEB, 75/35/EEB, 90/364/EEB, 90/365/EEB ir 93/96/EEB (OL L 158, 2004 4 30, p. 77).</w:t>
      </w:r>
    </w:p>
  </w:footnote>
  <w:footnote w:id="8">
    <w:p w:rsidR="00327C4A" w:rsidRDefault="005237EE">
      <w:pPr>
        <w:pStyle w:val="FootnoteText"/>
      </w:pPr>
      <w:r>
        <w:rPr>
          <w:rStyle w:val="FootnoteReference"/>
        </w:rPr>
        <w:footnoteRef/>
      </w:r>
      <w:r>
        <w:t xml:space="preserve"> </w:t>
      </w:r>
      <w:r>
        <w:tab/>
        <w:t>2003 m. lapkričio 25 d. Tarybos direktyva 2003/109/EB dėl trečiųjų valstybių piliečių, kurie yra ilgalaikiai gyventojai, statuso (OL L 16, 2004 1 23, p. 44). Ši</w:t>
      </w:r>
      <w:r>
        <w:t xml:space="preserve"> direktyva netaikoma Airijoje ir Danijoje. </w:t>
      </w:r>
    </w:p>
  </w:footnote>
  <w:footnote w:id="9">
    <w:p w:rsidR="00327C4A" w:rsidRDefault="005237EE">
      <w:pPr>
        <w:pStyle w:val="FootnoteText"/>
      </w:pPr>
      <w:r>
        <w:rPr>
          <w:rStyle w:val="FootnoteReference"/>
        </w:rPr>
        <w:footnoteRef/>
      </w:r>
      <w:r>
        <w:t xml:space="preserve"> </w:t>
      </w:r>
      <w:r>
        <w:tab/>
        <w:t>Naujausia įgyvendinimo valstybėse narėse apžvalga pateikta 2019 m. kovo 29 d. Komisijos ataskaitoje Europos Parlamentui ir Tarybai dėl Direktyvos 2003/109/EB dėl trečiųjų valstybių piliečių, kurie yra ilgalaik</w:t>
      </w:r>
      <w:r>
        <w:t xml:space="preserve">iai gyventojai, statuso įgyvendinimo (COM(2019) 161 </w:t>
      </w:r>
      <w:r>
        <w:rPr>
          <w:i/>
        </w:rPr>
        <w:t>final</w:t>
      </w:r>
      <w:r>
        <w:t>).</w:t>
      </w:r>
    </w:p>
  </w:footnote>
  <w:footnote w:id="10">
    <w:p w:rsidR="00327C4A" w:rsidRDefault="005237EE">
      <w:pPr>
        <w:pStyle w:val="FootnoteText"/>
      </w:pPr>
      <w:r>
        <w:rPr>
          <w:rStyle w:val="FootnoteReference"/>
        </w:rPr>
        <w:footnoteRef/>
      </w:r>
      <w:r>
        <w:t xml:space="preserve"> </w:t>
      </w:r>
      <w:r>
        <w:tab/>
        <w:t>Žr. Direktyvos 2003/109/EB III skyrių (14–23 straipsnius).</w:t>
      </w:r>
    </w:p>
  </w:footnote>
  <w:footnote w:id="11">
    <w:p w:rsidR="00327C4A" w:rsidRDefault="005237EE">
      <w:pPr>
        <w:pStyle w:val="FootnoteText"/>
      </w:pPr>
      <w:r>
        <w:rPr>
          <w:rStyle w:val="FootnoteReference"/>
        </w:rPr>
        <w:footnoteRef/>
      </w:r>
      <w:r>
        <w:t xml:space="preserve"> </w:t>
      </w:r>
      <w:r>
        <w:tab/>
        <w:t xml:space="preserve">2018 m. lapkričio 13 d. Komisijos komunikatas „Pasirengimas Jungtinės Karalystės išstojimui iš Europos Sąjungos 2019 m. kovo 30 d. </w:t>
      </w:r>
      <w:r>
        <w:t>Veiksmų planas nenumatytiems atvejams“ (COM(2018) 880 </w:t>
      </w:r>
      <w:r>
        <w:rPr>
          <w:i/>
        </w:rPr>
        <w:t>final</w:t>
      </w:r>
      <w:r>
        <w:t>).</w:t>
      </w:r>
    </w:p>
  </w:footnote>
  <w:footnote w:id="12">
    <w:p w:rsidR="00327C4A" w:rsidRDefault="005237EE">
      <w:pPr>
        <w:pStyle w:val="FootnoteText"/>
      </w:pPr>
      <w:r>
        <w:rPr>
          <w:rStyle w:val="FootnoteReference"/>
        </w:rPr>
        <w:footnoteRef/>
      </w:r>
      <w:r>
        <w:t xml:space="preserve"> </w:t>
      </w:r>
      <w:r>
        <w:tab/>
        <w:t>Atkreiptinas dėmesys, kad reikalavimas turėti vizą jau netaikomas Jungtinės Karalystės piliečiams, kurie neturėjo teisės laisvai judėti pagal ES teisę.</w:t>
      </w:r>
    </w:p>
  </w:footnote>
  <w:footnote w:id="13">
    <w:p w:rsidR="00327C4A" w:rsidRDefault="005237EE">
      <w:pPr>
        <w:pStyle w:val="FootnoteText"/>
      </w:pPr>
      <w:r>
        <w:rPr>
          <w:rStyle w:val="FootnoteReference"/>
        </w:rPr>
        <w:footnoteRef/>
      </w:r>
      <w:r>
        <w:t xml:space="preserve"> </w:t>
      </w:r>
      <w:r>
        <w:tab/>
        <w:t>2018 m. lapkričio 14 d. Europos Parl</w:t>
      </w:r>
      <w:r>
        <w:t>amento ir Tarybos reglamento (ES) 2018/1806, nustatančio trečiųjų šalių, kurių piliečiai, kirsdami išorines sienas, privalo turėti vizas, ir trečiųjų šalių, kurių piliečiams tas reikalavimas netaikomas, sąrašus, dalinis pakeitimas. Jis bus oficialiai priim</w:t>
      </w:r>
      <w:r>
        <w:t>tas artimiausiomis dienomis.</w:t>
      </w:r>
    </w:p>
  </w:footnote>
  <w:footnote w:id="14">
    <w:p w:rsidR="00327C4A" w:rsidRDefault="005237EE">
      <w:pPr>
        <w:pStyle w:val="FootnoteText"/>
      </w:pPr>
      <w:r>
        <w:rPr>
          <w:rStyle w:val="FootnoteReference"/>
        </w:rPr>
        <w:footnoteRef/>
      </w:r>
      <w:r>
        <w:t xml:space="preserve"> </w:t>
      </w:r>
      <w:r>
        <w:tab/>
        <w:t xml:space="preserve">ES imigracijos portalas – </w:t>
      </w:r>
      <w:hyperlink r:id="rId1">
        <w:r>
          <w:rPr>
            <w:rStyle w:val="Hyperlink"/>
          </w:rPr>
          <w:t>https://ec.europa.eu/immigration/</w:t>
        </w:r>
      </w:hyperlink>
      <w:r>
        <w:t xml:space="preserve"> </w:t>
      </w:r>
    </w:p>
  </w:footnote>
  <w:footnote w:id="15">
    <w:p w:rsidR="00327C4A" w:rsidRDefault="005237EE">
      <w:pPr>
        <w:pStyle w:val="FootnoteText"/>
      </w:pPr>
      <w:r>
        <w:rPr>
          <w:rStyle w:val="FootnoteReference"/>
        </w:rPr>
        <w:footnoteRef/>
      </w:r>
      <w:r>
        <w:t xml:space="preserve"> </w:t>
      </w:r>
      <w:r>
        <w:tab/>
        <w:t>Esama įvairių darbo migracijos rūšių ir joms kaskart taikomos skirtingos taisyklės.</w:t>
      </w:r>
    </w:p>
  </w:footnote>
  <w:footnote w:id="16">
    <w:p w:rsidR="00327C4A" w:rsidRDefault="005237EE">
      <w:pPr>
        <w:pStyle w:val="FootnoteText"/>
      </w:pPr>
      <w:r>
        <w:rPr>
          <w:rStyle w:val="FootnoteReference"/>
        </w:rPr>
        <w:footnoteRef/>
      </w:r>
      <w:r>
        <w:t xml:space="preserve"> </w:t>
      </w:r>
      <w:r>
        <w:tab/>
        <w:t>Politikos dokumentas</w:t>
      </w:r>
      <w:r>
        <w:t xml:space="preserve"> dėl piliečių teisių „Brexit’o“ be susitarimo atveju (paskelbtas 2018 m. gruodžio 6 d., paskutinį kartą atnaujintas 2019 m. kovo 28 d.), žr. </w:t>
      </w:r>
      <w:hyperlink r:id="rId2">
        <w:r>
          <w:rPr>
            <w:rStyle w:val="Hyperlink"/>
          </w:rPr>
          <w:t>https://www.gov.uk/government/publications/policy-paper-on-citizens-rights-in-the-event-of-a-no-deal-brexit</w:t>
        </w:r>
      </w:hyperlink>
      <w:r>
        <w:t xml:space="preserve">; 2019 m. balandžio 12 d. Politikos dokumentas dėl imigracijos „Brexit’o“ be susitarimo atveju (paskelbtas 2019 m. sausio 28 d.), žr. </w:t>
      </w:r>
      <w:hyperlink r:id="rId3">
        <w:r>
          <w:rPr>
            <w:rStyle w:val="Hyperlink"/>
          </w:rPr>
          <w:t>https://www.gov.uk/government/publications/eu-immigration-after-free-movement-ends-if-th</w:t>
        </w:r>
        <w:r>
          <w:rPr>
            <w:rStyle w:val="Hyperlink"/>
          </w:rPr>
          <w:t>eres-no-deal/immigration-from-30-march-2019-if-there-is-no-deal</w:t>
        </w:r>
      </w:hyperlink>
      <w:r>
        <w:t xml:space="preserve">. </w:t>
      </w:r>
    </w:p>
  </w:footnote>
  <w:footnote w:id="17">
    <w:p w:rsidR="00327C4A" w:rsidRDefault="005237EE">
      <w:pPr>
        <w:pStyle w:val="FootnoteText"/>
      </w:pPr>
      <w:r>
        <w:rPr>
          <w:rStyle w:val="FootnoteReference"/>
        </w:rPr>
        <w:footnoteRef/>
      </w:r>
      <w:r>
        <w:t xml:space="preserve"> </w:t>
      </w:r>
      <w:r>
        <w:tab/>
      </w:r>
      <w:hyperlink r:id="rId4">
        <w:r>
          <w:rPr>
            <w:rStyle w:val="Hyperlink"/>
          </w:rPr>
          <w:t>https://www.gov.uk/eusettledstatus</w:t>
        </w:r>
      </w:hyperlink>
      <w:r>
        <w:t xml:space="preserve"> </w:t>
      </w:r>
    </w:p>
  </w:footnote>
  <w:footnote w:id="18">
    <w:p w:rsidR="00327C4A" w:rsidRDefault="005237EE">
      <w:pPr>
        <w:pStyle w:val="FootnoteText"/>
      </w:pPr>
      <w:r>
        <w:rPr>
          <w:rStyle w:val="FootnoteReference"/>
        </w:rPr>
        <w:footnoteRef/>
      </w:r>
      <w:r>
        <w:t xml:space="preserve"> </w:t>
      </w:r>
      <w:r>
        <w:tab/>
        <w:t xml:space="preserve">Žr. </w:t>
      </w:r>
      <w:hyperlink r:id="rId5">
        <w:r>
          <w:rPr>
            <w:rStyle w:val="Hyperlink"/>
          </w:rPr>
          <w:t>www.eurights.uk</w:t>
        </w:r>
      </w:hyperlink>
      <w:r>
        <w:t xml:space="preserve">.  </w:t>
      </w:r>
    </w:p>
  </w:footnote>
  <w:footnote w:id="19">
    <w:p w:rsidR="00327C4A" w:rsidRDefault="005237EE">
      <w:pPr>
        <w:pStyle w:val="FootnoteText"/>
      </w:pPr>
      <w:r>
        <w:rPr>
          <w:rStyle w:val="FootnoteReference"/>
        </w:rPr>
        <w:footnoteRef/>
      </w:r>
      <w:r>
        <w:t xml:space="preserve"> </w:t>
      </w:r>
      <w:r>
        <w:tab/>
        <w:t xml:space="preserve">2019 m. kovo 25 d. </w:t>
      </w:r>
      <w:r>
        <w:t>Europos Parlamento ir Tarybos reglamentas (ES) 2019/500, kuriuo nustatomos socialinės apsaugos koordinavimo srities nenumatytų atvejų priemonės, taikytinos Jungtinei Karalystei išstojus iš Sąjungos (OL L 85I, 2019 3 27, p. 35).</w:t>
      </w:r>
    </w:p>
  </w:footnote>
  <w:footnote w:id="20">
    <w:p w:rsidR="00327C4A" w:rsidRDefault="005237EE">
      <w:pPr>
        <w:pStyle w:val="FootnoteText"/>
      </w:pPr>
      <w:r>
        <w:rPr>
          <w:rStyle w:val="FootnoteReference"/>
        </w:rPr>
        <w:footnoteRef/>
      </w:r>
      <w:r>
        <w:t xml:space="preserve"> </w:t>
      </w:r>
      <w:r>
        <w:tab/>
        <w:t>Žr. Komisijos tarnybų gai</w:t>
      </w:r>
      <w:r>
        <w:t>rių dėl ES 27 lygmens nenumatytiems atvejams skirto bendro požiūrio į „Brexit’ą“ išstojimo be susitarimo atveju (vienašalio suderinto nenumatytiems atvejams skirto požiūrio) projektą, dėl kurio diskutuota 2018 m. gruodžio 20 d. techninių ekspertų seminare.</w:t>
      </w:r>
    </w:p>
  </w:footnote>
  <w:footnote w:id="21">
    <w:p w:rsidR="00327C4A" w:rsidRDefault="005237EE">
      <w:pPr>
        <w:pStyle w:val="FootnoteText"/>
      </w:pPr>
      <w:r>
        <w:rPr>
          <w:rStyle w:val="FootnoteReference"/>
        </w:rPr>
        <w:footnoteRef/>
      </w:r>
      <w:r>
        <w:t xml:space="preserve"> </w:t>
      </w:r>
      <w:r>
        <w:tab/>
        <w:t xml:space="preserve">Analogiškais atvejais šis požiūris taip pat taikomas asmenims be pilietybės ir pabėgėliams, taip pat šių kategorijų asmenų šeimos nariams ir maitintojo netekusiems asmenims. </w:t>
      </w:r>
    </w:p>
    <w:p w:rsidR="00327C4A" w:rsidRDefault="005237EE">
      <w:pPr>
        <w:pStyle w:val="FootnoteText"/>
        <w:ind w:firstLine="0"/>
        <w:rPr>
          <w:rFonts w:ascii="Calibri" w:hAnsi="Calibri"/>
        </w:rPr>
      </w:pPr>
      <w:r>
        <w:t>Be to, šis požiūris taikomas trečiųjų šalių piliečiams, kuriems iki išstojimo</w:t>
      </w:r>
      <w:r>
        <w:t xml:space="preserve"> dienos yra arba buvo taikomas Reglamentas (ES) Nr. 1231/2010 arba Reglamentas (EB) Nr. 859/2003, taip pat jų šeimos nariams ir maitintojo netekusiems asmenims, kiek tai susiję su iki išstojimo dienos įgytomis arba įgysimomis jų teisėmis situacijų, susijus</w:t>
      </w:r>
      <w:r>
        <w:t>ių su Jungtine Karalyste, atžvilgiu. Tai reiškia, kad trečiosios šalies piliečiai, kurių atžvilgiu iki išstojimo dienos susiklosčiusi tarpvalstybinio pobūdžio situacija Europos Sąjungoje buvo susijusi su Jungtine Karalyste, taip pat jų šeimos nariai ir mai</w:t>
      </w:r>
      <w:r>
        <w:t>tintojo netekę asmenys, 27 ES valstybėse narėse išlaikytų įgytas teises, grindžiamas iki išstojimo dienos įgytais laikotarpiais arba įvykusiais faktais ar įvykiais. Reglamentas (ES) Nr. 1231/2010 netaikomas Danijai.</w:t>
      </w:r>
    </w:p>
  </w:footnote>
  <w:footnote w:id="22">
    <w:p w:rsidR="00327C4A" w:rsidRDefault="005237EE">
      <w:pPr>
        <w:pStyle w:val="FootnoteText"/>
      </w:pPr>
      <w:r>
        <w:rPr>
          <w:rStyle w:val="FootnoteReference"/>
        </w:rPr>
        <w:footnoteRef/>
      </w:r>
      <w:r>
        <w:t xml:space="preserve"> </w:t>
      </w:r>
      <w:r>
        <w:tab/>
        <w:t xml:space="preserve">Kaip išdėstyta gairių projekte (žr. </w:t>
      </w:r>
      <w:r>
        <w:fldChar w:fldCharType="begin"/>
      </w:r>
      <w:r>
        <w:instrText xml:space="preserve"> </w:instrText>
      </w:r>
      <w:r>
        <w:instrText xml:space="preserve">NOTEREF _Ref5702974 \h </w:instrText>
      </w:r>
      <w:r>
        <w:fldChar w:fldCharType="separate"/>
      </w:r>
      <w:r>
        <w:t>19</w:t>
      </w:r>
      <w:r>
        <w:fldChar w:fldCharType="end"/>
      </w:r>
      <w:r>
        <w:t xml:space="preserve"> išnašą).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4A" w:rsidRDefault="00327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4A" w:rsidRDefault="00327C4A">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4A" w:rsidRDefault="00327C4A">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4A" w:rsidRDefault="00327C4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4A" w:rsidRDefault="00327C4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839657"/>
      <w:docPartObj>
        <w:docPartGallery w:val="Page Numbers (Top of Page)"/>
        <w:docPartUnique/>
      </w:docPartObj>
    </w:sdtPr>
    <w:sdtEndPr>
      <w:rPr>
        <w:noProof/>
      </w:rPr>
    </w:sdtEndPr>
    <w:sdtContent>
      <w:p w:rsidR="00327C4A" w:rsidRDefault="005237EE">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327C4A" w:rsidRDefault="00327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AA6A57F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A24EFF48"/>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47DE5BAC"/>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62685D"/>
    <w:multiLevelType w:val="multilevel"/>
    <w:tmpl w:val="943EA59E"/>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3D0A16"/>
    <w:multiLevelType w:val="multilevel"/>
    <w:tmpl w:val="4DBCAA4C"/>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72F0AC5"/>
    <w:multiLevelType w:val="multilevel"/>
    <w:tmpl w:val="A96C1276"/>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C7B624F"/>
    <w:multiLevelType w:val="multilevel"/>
    <w:tmpl w:val="92D2269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F953E62"/>
    <w:multiLevelType w:val="hybridMultilevel"/>
    <w:tmpl w:val="D6FE6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20564E"/>
    <w:multiLevelType w:val="hybridMultilevel"/>
    <w:tmpl w:val="5C689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C8DFDF8"/>
    <w:multiLevelType w:val="multilevel"/>
    <w:tmpl w:val="40686314"/>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E3"/>
    <w:multiLevelType w:val="multilevel"/>
    <w:tmpl w:val="BB2C0B9C"/>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34A4EF2A"/>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448653B4"/>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0D189DC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2FC8873C"/>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3B708D7"/>
    <w:multiLevelType w:val="multilevel"/>
    <w:tmpl w:val="14D69CFA"/>
    <w:styleLink w:val="ImportedStyle1"/>
    <w:lvl w:ilvl="0">
      <w:start w:val="1"/>
      <w:numFmt w:val="decimal"/>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77" w:hanging="60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2" w:hanging="839"/>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880"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6D225CF"/>
    <w:multiLevelType w:val="hybridMultilevel"/>
    <w:tmpl w:val="4678B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C477C97"/>
    <w:multiLevelType w:val="multilevel"/>
    <w:tmpl w:val="14D69CFA"/>
    <w:numStyleLink w:val="ImportedStyle1"/>
  </w:abstractNum>
  <w:abstractNum w:abstractNumId="18" w15:restartNumberingAfterBreak="0">
    <w:nsid w:val="4E1A982C"/>
    <w:multiLevelType w:val="multilevel"/>
    <w:tmpl w:val="625CE4A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619B"/>
    <w:multiLevelType w:val="multilevel"/>
    <w:tmpl w:val="99A4CB2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977472E"/>
    <w:multiLevelType w:val="multilevel"/>
    <w:tmpl w:val="F47CD8F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7C65145E"/>
    <w:multiLevelType w:val="multilevel"/>
    <w:tmpl w:val="B2AE485C"/>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2" w15:restartNumberingAfterBreak="0">
    <w:nsid w:val="7C651460"/>
    <w:multiLevelType w:val="multilevel"/>
    <w:tmpl w:val="DCAA060D"/>
    <w:name w:val="AnnexHeading"/>
    <w:lvl w:ilvl="0">
      <w:start w:val="1"/>
      <w:numFmt w:val="decimal"/>
      <w:lvlText w:val="%1."/>
      <w:lvlJc w:val="left"/>
      <w:pPr>
        <w:tabs>
          <w:tab w:val="num" w:pos="397"/>
        </w:tabs>
        <w:ind w:left="397" w:hanging="397"/>
      </w:pPr>
      <w:rPr>
        <w:rFonts w:hint="default"/>
      </w:rPr>
    </w:lvl>
    <w:lvl w:ilvl="1">
      <w:start w:val="1"/>
      <w:numFmt w:val="decimal"/>
      <w:lvlText w:val="%1."/>
      <w:lvlJc w:val="left"/>
      <w:pPr>
        <w:tabs>
          <w:tab w:val="num" w:pos="397"/>
        </w:tabs>
        <w:ind w:left="397" w:hanging="397"/>
      </w:pPr>
      <w:rPr>
        <w:rFonts w:hint="default"/>
      </w:rPr>
    </w:lvl>
    <w:lvl w:ilvl="2">
      <w:start w:val="1"/>
      <w:numFmt w:val="decimal"/>
      <w:lvlText w:val="%1."/>
      <w:lvlJc w:val="left"/>
      <w:pPr>
        <w:tabs>
          <w:tab w:val="num" w:pos="397"/>
        </w:tabs>
        <w:ind w:left="397" w:hanging="397"/>
      </w:pPr>
      <w:rPr>
        <w:rFonts w:hint="default"/>
      </w:rPr>
    </w:lvl>
    <w:lvl w:ilvl="3">
      <w:start w:val="1"/>
      <w:numFmt w:val="decimal"/>
      <w:lvlText w:val="%1."/>
      <w:lvlJc w:val="left"/>
      <w:pPr>
        <w:tabs>
          <w:tab w:val="num" w:pos="397"/>
        </w:tabs>
        <w:ind w:left="397" w:hanging="397"/>
      </w:pPr>
      <w:rPr>
        <w:rFonts w:hint="default"/>
      </w:rPr>
    </w:lvl>
    <w:lvl w:ilvl="4">
      <w:start w:val="1"/>
      <w:numFmt w:val="decimal"/>
      <w:lvlText w:val="%1."/>
      <w:lvlJc w:val="left"/>
      <w:pPr>
        <w:tabs>
          <w:tab w:val="num" w:pos="397"/>
        </w:tabs>
        <w:ind w:left="397" w:hanging="397"/>
      </w:pPr>
      <w:rPr>
        <w:rFonts w:hint="default"/>
      </w:rPr>
    </w:lvl>
    <w:lvl w:ilvl="5">
      <w:start w:val="1"/>
      <w:numFmt w:val="decimal"/>
      <w:lvlText w:val="%1."/>
      <w:lvlJc w:val="left"/>
      <w:pPr>
        <w:tabs>
          <w:tab w:val="num" w:pos="397"/>
        </w:tabs>
        <w:ind w:left="397" w:hanging="397"/>
      </w:pPr>
      <w:rPr>
        <w:rFonts w:hint="default"/>
      </w:rPr>
    </w:lvl>
    <w:lvl w:ilvl="6">
      <w:start w:val="1"/>
      <w:numFmt w:val="decimal"/>
      <w:lvlText w:val="%1."/>
      <w:lvlJc w:val="left"/>
      <w:pPr>
        <w:tabs>
          <w:tab w:val="num" w:pos="397"/>
        </w:tabs>
        <w:ind w:left="397" w:hanging="397"/>
      </w:pPr>
      <w:rPr>
        <w:rFonts w:hint="default"/>
      </w:rPr>
    </w:lvl>
    <w:lvl w:ilvl="7">
      <w:start w:val="1"/>
      <w:numFmt w:val="decimal"/>
      <w:lvlText w:val="%1."/>
      <w:lvlJc w:val="left"/>
      <w:pPr>
        <w:tabs>
          <w:tab w:val="num" w:pos="397"/>
        </w:tabs>
        <w:ind w:left="397" w:hanging="397"/>
      </w:pPr>
      <w:rPr>
        <w:rFonts w:hint="default"/>
      </w:rPr>
    </w:lvl>
    <w:lvl w:ilvl="8">
      <w:start w:val="1"/>
      <w:numFmt w:val="decimal"/>
      <w:lvlText w:val="%1."/>
      <w:lvlJc w:val="left"/>
      <w:pPr>
        <w:tabs>
          <w:tab w:val="num" w:pos="397"/>
        </w:tabs>
        <w:ind w:left="397" w:hanging="397"/>
      </w:pPr>
      <w:rPr>
        <w:rFonts w:hint="default"/>
      </w:rPr>
    </w:lvl>
  </w:abstractNum>
  <w:num w:numId="1">
    <w:abstractNumId w:val="10"/>
  </w:num>
  <w:num w:numId="2">
    <w:abstractNumId w:val="21"/>
  </w:num>
  <w:num w:numId="3">
    <w:abstractNumId w:val="18"/>
  </w:num>
  <w:num w:numId="4">
    <w:abstractNumId w:val="13"/>
  </w:num>
  <w:num w:numId="5">
    <w:abstractNumId w:val="9"/>
  </w:num>
  <w:num w:numId="6">
    <w:abstractNumId w:val="4"/>
  </w:num>
  <w:num w:numId="7">
    <w:abstractNumId w:val="3"/>
  </w:num>
  <w:num w:numId="8">
    <w:abstractNumId w:val="2"/>
  </w:num>
  <w:num w:numId="9">
    <w:abstractNumId w:val="14"/>
  </w:num>
  <w:num w:numId="10">
    <w:abstractNumId w:val="5"/>
  </w:num>
  <w:num w:numId="11">
    <w:abstractNumId w:val="1"/>
  </w:num>
  <w:num w:numId="12">
    <w:abstractNumId w:val="20"/>
  </w:num>
  <w:num w:numId="13">
    <w:abstractNumId w:val="19"/>
  </w:num>
  <w:num w:numId="14">
    <w:abstractNumId w:val="12"/>
  </w:num>
  <w:num w:numId="15">
    <w:abstractNumId w:val="6"/>
  </w:num>
  <w:num w:numId="16">
    <w:abstractNumId w:val="11"/>
  </w:num>
  <w:num w:numId="17">
    <w:abstractNumId w:val="0"/>
  </w:num>
  <w:num w:numId="18">
    <w:abstractNumId w:val="22"/>
  </w:num>
  <w:num w:numId="19">
    <w:abstractNumId w:val="15"/>
  </w:num>
  <w:num w:numId="20">
    <w:abstractNumId w:val="17"/>
  </w:num>
  <w:num w:numId="21">
    <w:abstractNumId w:val="16"/>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prie"/>
    <w:docVar w:name="LW_ANNEX_NBR_FIRST" w:val="2"/>
    <w:docVar w:name="LW_ANNEX_NBR_LAST" w:val="2"/>
    <w:docVar w:name="LW_ANNEX_UNIQUE" w:val="0"/>
    <w:docVar w:name="LW_CORRIGENDUM" w:val="&lt;UNUSED&gt;"/>
    <w:docVar w:name="LW_COVERPAGE_EXISTS" w:val="True"/>
    <w:docVar w:name="LW_COVERPAGE_GUID" w:val="78740B48-006C-461E-BD14-7ADA00AC0972"/>
    <w:docVar w:name="LW_COVERPAGE_TYPE" w:val="1"/>
    <w:docVar w:name="LW_CROSSREFERENCE" w:val="&lt;UNUSED&gt;"/>
    <w:docVar w:name="LW_DocType" w:val="EUROLOOK"/>
    <w:docVar w:name="LW_EMISSION" w:val="2019 04 10"/>
    <w:docVar w:name="LW_EMISSION_ISODATE" w:val="2019-04-10"/>
    <w:docVar w:name="LW_EMISSION_LOCATION" w:val="BRX"/>
    <w:docVar w:name="LW_EMISSION_PREFIX" w:val="Briuselis, "/>
    <w:docVar w:name="LW_EMISSION_SUFFIX" w:val=" "/>
    <w:docVar w:name="LW_ID_DOCTYPE_NONLW" w:val="CP-039"/>
    <w:docVar w:name="LW_LANGUE" w:val="LT"/>
    <w:docVar w:name="LW_LEVEL_OF_SENSITIVITY" w:val="Standard treatment"/>
    <w:docVar w:name="LW_NOM.INST" w:val="EUROPOS KOMISIJA"/>
    <w:docVar w:name="LW_NOM.INST_JOINTDOC" w:val="&lt;EMPTY&gt;"/>
    <w:docVar w:name="LW_OBJETACTEPRINCIPAL.CP" w:val="Jungtin\u279?s Karalyst\u279?s i\u353?stojimo i\u353? S\u261?jungos be susitarimo poveikio ma\u382?inimas: suderintas S\u261?jungos po\u382?i\u363?ris_x000b__x000b_Pilie\u269?i\u371? teis\u279? gyventi \u353?alyje ir socialin\u279?s apsaugos teis\u279?s. Suderintas po\u382?i\u363?ris Jungtin\u279?s Karalyst\u279?s i\u353?stojimo i\u353? S\u261?jungos be susitarimo atveju"/>
    <w:docVar w:name="LW_PART_NBR" w:val="1"/>
    <w:docVar w:name="LW_PART_NBR_TOTAL" w:val="1"/>
    <w:docVar w:name="LW_REF.INST.NEW" w:val="COM"/>
    <w:docVar w:name="LW_REF.INST.NEW_ADOPTED" w:val="final"/>
    <w:docVar w:name="LW_REF.INST.NEW_TEXT" w:val="(2019) 1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PRIEDAS_x000b_"/>
    <w:docVar w:name="LW_TYPEACTEPRINCIPAL.CP" w:val="KOMISIJOS KOMUNIKATO EUROPOS PARLAMENTUI, EUROPOS VADOV\u370? TARYBAI, TARYBAI, EUROPOS CENTRINIAM BANKUI, EUROPOS EKONOMIKOS IR SOCIALINI\u370? REIKAL\u370? KOMITETUI, REGION\u370? KOMITETUI IR EUROPOS INVESTICIJ\u370? BANKUI"/>
  </w:docVars>
  <w:rsids>
    <w:rsidRoot w:val="00327C4A"/>
    <w:rsid w:val="00327C4A"/>
    <w:rsid w:val="005237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34773340-01DF-4D3E-8792-6998D3CC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lt-LT" w:bidi="lt-LT"/>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0" w:unhideWhenUsed="1" w:qFormat="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uiPriority w:val="90"/>
    <w:qFormat/>
    <w:pPr>
      <w:keepNext/>
      <w:numPr>
        <w:ilvl w:val="1"/>
        <w:numId w:val="2"/>
      </w:numPr>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contextualSpacing/>
      <w:jc w:val="right"/>
    </w:pPr>
    <w:rPr>
      <w:sz w:val="28"/>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s>
    </w:pPr>
  </w:style>
  <w:style w:type="paragraph" w:styleId="TOC5">
    <w:name w:val="toc 5"/>
    <w:basedOn w:val="Normal"/>
    <w:next w:val="Normal"/>
    <w:semiHidden/>
    <w:pPr>
      <w:tabs>
        <w:tab w:val="right" w:leader="dot" w:pos="8640"/>
      </w:tabs>
      <w:spacing w:before="120" w:after="60"/>
      <w:ind w:right="720"/>
    </w:pPr>
    <w:rPr>
      <w: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sz w:val="20"/>
    </w:rPr>
  </w:style>
  <w:style w:type="paragraph" w:styleId="TOC3">
    <w:name w:val="toc 3"/>
    <w:basedOn w:val="Normal"/>
    <w:next w:val="Normal"/>
    <w:uiPriority w:val="99"/>
    <w:semiHidden/>
    <w:pPr>
      <w:tabs>
        <w:tab w:val="left" w:pos="595"/>
        <w:tab w:val="right" w:leader="dot" w:pos="8640"/>
      </w:tabs>
      <w:spacing w:after="60"/>
      <w:ind w:left="1190" w:right="720" w:hanging="595"/>
    </w:pPr>
    <w:rPr>
      <w:sz w:val="20"/>
    </w:rPr>
  </w:style>
  <w:style w:type="paragraph" w:styleId="TOC2">
    <w:name w:val="toc 2"/>
    <w:basedOn w:val="Normal"/>
    <w:next w:val="Normal"/>
    <w:uiPriority w:val="39"/>
    <w:semiHidden/>
    <w:pPr>
      <w:tabs>
        <w:tab w:val="left" w:pos="595"/>
        <w:tab w:val="right" w:leader="dot" w:pos="8640"/>
      </w:tabs>
      <w:spacing w:after="60"/>
      <w:ind w:left="595" w:right="720" w:hanging="595"/>
    </w:pPr>
    <w:rPr>
      <w:noProof/>
      <w:sz w:val="20"/>
    </w:rPr>
  </w:style>
  <w:style w:type="paragraph" w:styleId="TOC1">
    <w:name w:val="toc 1"/>
    <w:basedOn w:val="Normal"/>
    <w:next w:val="Normal"/>
    <w:uiPriority w:val="39"/>
    <w:semiHidden/>
    <w:pPr>
      <w:tabs>
        <w:tab w:val="left" w:pos="595"/>
        <w:tab w:val="right" w:leader="dot" w:pos="8640"/>
      </w:tabs>
      <w:spacing w:after="60"/>
      <w:ind w:left="595" w:right="720" w:hanging="595"/>
    </w:pPr>
    <w:rPr>
      <w:b/>
      <w:caps/>
      <w:sz w:val="20"/>
    </w:rPr>
  </w:style>
  <w:style w:type="paragraph" w:styleId="TOCHeading">
    <w:name w:val="TOC Heading"/>
    <w:basedOn w:val="Normal"/>
    <w:next w:val="Normal"/>
    <w:semiHidden/>
    <w:pPr>
      <w:spacing w:after="120"/>
      <w:jc w:val="center"/>
    </w:pPr>
    <w:rPr>
      <w:rFonts w:ascii="Times New Roman Bold" w:hAnsi="Times New Roman Bold"/>
      <w:b/>
      <w:sz w:val="32"/>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pPr>
      <w:spacing w:after="120"/>
      <w:ind w:left="357" w:hanging="357"/>
    </w:pPr>
    <w:rPr>
      <w:sz w:val="20"/>
    </w:rPr>
  </w:style>
  <w:style w:type="paragraph" w:styleId="Footer">
    <w:name w:val="footer"/>
    <w:basedOn w:val="Normal"/>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HistoryTable"/>
    <w:pPr>
      <w:spacing w:after="120"/>
      <w:jc w:val="center"/>
    </w:pPr>
    <w:rPr>
      <w:rFonts w:ascii="Times New Roman Bold" w:hAnsi="Times New Roman Bold"/>
      <w:b/>
      <w:sz w:val="32"/>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customStyle="1" w:styleId="AnnexHeading1">
    <w:name w:val="Annex Heading 1"/>
    <w:basedOn w:val="Normal"/>
    <w:next w:val="Normal"/>
    <w:pPr>
      <w:pageBreakBefore/>
      <w:spacing w:before="240"/>
      <w:outlineLvl w:val="0"/>
    </w:pPr>
    <w:rPr>
      <w:b/>
      <w:smallCaps/>
      <w:sz w:val="36"/>
    </w:r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numbering" w:customStyle="1" w:styleId="ImportedStyle1">
    <w:name w:val="Imported Style 1"/>
    <w:pPr>
      <w:numPr>
        <w:numId w:val="19"/>
      </w:numPr>
    </w:pPr>
  </w:style>
  <w:style w:type="character" w:customStyle="1" w:styleId="FootnoteTextChar">
    <w:name w:val="Footnote Text Char"/>
    <w:basedOn w:val="DefaultParagraphFont"/>
    <w:link w:val="FootnoteText"/>
    <w:rPr>
      <w:sz w:val="20"/>
    </w:rPr>
  </w:style>
  <w:style w:type="character" w:styleId="FootnoteReference">
    <w:name w:val="footnote reference"/>
    <w:basedOn w:val="DefaultParagraphFont"/>
    <w:uiPriority w:val="99"/>
    <w:semiHidden/>
    <w:locked/>
    <w:rPr>
      <w:vertAlign w:val="superscript"/>
    </w:rPr>
  </w:style>
  <w:style w:type="character" w:styleId="Hyperlink">
    <w:name w:val="Hyperlink"/>
    <w:basedOn w:val="DefaultParagraphFont"/>
    <w:semiHidden/>
    <w:locked/>
    <w:rPr>
      <w:color w:val="0563C1" w:themeColor="hyperlink"/>
      <w:u w:val="single"/>
    </w:rPr>
  </w:style>
  <w:style w:type="paragraph" w:customStyle="1" w:styleId="Typedudocument">
    <w:name w:val="Type du document"/>
    <w:basedOn w:val="Normal"/>
    <w:next w:val="Normal"/>
    <w:pPr>
      <w:spacing w:before="360" w:after="0"/>
      <w:jc w:val="center"/>
    </w:pPr>
    <w:rPr>
      <w:rFonts w:eastAsiaTheme="minorHAnsi"/>
      <w:b/>
      <w:szCs w:val="22"/>
    </w:rPr>
  </w:style>
  <w:style w:type="paragraph" w:customStyle="1" w:styleId="Accompagnant">
    <w:name w:val="Accompagnant"/>
    <w:basedOn w:val="Normal"/>
    <w:next w:val="Normal"/>
    <w:pPr>
      <w:jc w:val="center"/>
    </w:pPr>
    <w:rPr>
      <w:rFonts w:eastAsiaTheme="minorHAnsi"/>
      <w:b/>
      <w:i/>
      <w:szCs w:val="22"/>
    </w:rPr>
  </w:style>
  <w:style w:type="paragraph" w:customStyle="1" w:styleId="Typeacteprincipal">
    <w:name w:val="Type acte principal"/>
    <w:basedOn w:val="Normal"/>
    <w:next w:val="Normal"/>
    <w:pPr>
      <w:jc w:val="center"/>
    </w:pPr>
    <w:rPr>
      <w:rFonts w:eastAsiaTheme="minorHAnsi"/>
      <w:b/>
      <w:szCs w:val="22"/>
    </w:rPr>
  </w:style>
  <w:style w:type="paragraph" w:customStyle="1" w:styleId="Objetacteprincipal">
    <w:name w:val="Objet acte principal"/>
    <w:basedOn w:val="Normal"/>
    <w:next w:val="Normal"/>
    <w:pPr>
      <w:spacing w:after="360"/>
      <w:jc w:val="center"/>
    </w:pPr>
    <w:rPr>
      <w:rFonts w:eastAsiaTheme="minorHAnsi"/>
      <w:b/>
      <w:szCs w:val="22"/>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ec.europa.eu/info/brexit/brexit-preparedness/preparedness-notices_lt" TargetMode="External"/><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eu-immigration-after-free-movement-ends-if-theres-no-deal/immigration-from-30-march-2019-if-there-is-no-deal" TargetMode="External"/><Relationship Id="rId2" Type="http://schemas.openxmlformats.org/officeDocument/2006/relationships/hyperlink" Target="https://www.gov.uk/government/publications/policy-paper-on-citizens-rights-in-the-event-of-a-no-deal-brexit" TargetMode="External"/><Relationship Id="rId1" Type="http://schemas.openxmlformats.org/officeDocument/2006/relationships/hyperlink" Target="https://ec.europa.eu/immigration/" TargetMode="External"/><Relationship Id="rId5" Type="http://schemas.openxmlformats.org/officeDocument/2006/relationships/hyperlink" Target="http://www.eurights.uk/" TargetMode="External"/><Relationship Id="rId4" Type="http://schemas.openxmlformats.org/officeDocument/2006/relationships/hyperlink" Target="https://www.gov.uk/eusettledstat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SG.A.1-Policy Priorities &amp; Work Programme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05/096</Office>
  </MainWorkplace>
  <Workplaces>
    <Workplace IsMain="false">
      <AddressId>1264fb81-f6bb-475e-9f9d-a937d3be6ee2</AddressId>
      <Fax/>
      <Phone/>
      <Office/>
    </Workplace>
    <Workplace IsMain="true">
      <AddressId>f03b5801-04c9-4931-aa17-c6d6c70bc579</AddressId>
      <Fax/>
      <Phone>+32 229 84108</Phone>
      <Office>BERL 05/096</Office>
    </Workplace>
  </Workplaces>
</Author>
</file>

<file path=customXml/item2.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3.xml><?xml version="1.0" encoding="utf-8"?>
<EurolookProperties>
  <ProductCustomizationId>EC</ProductCustomizationId>
  <Created>
    <Version>10.0.38495.0</Version>
    <Date>2019-04-05T17:56:24</Date>
    <Language>EN</Language>
  </Created>
  <Edited>
    <Version>10.0.38495.0</Version>
    <Date>2019-04-10T12:10:45</Date>
  </Edited>
  <DocumentModel>
    <Id>6cbda13a-4db2-46c6-876a-ef72275827ef</Id>
    <Name>Report</Name>
  </DocumentModel>
  <DocumentDate>2019-04-05T17:56:24</DocumentDate>
  <DocumentVersion>0.1</DocumentVersion>
  <CompatibilityMode>Eurolook10</CompatibilityMode>
  <Address/>
</EurolookProperties>
</file>

<file path=customXml/item4.xml><?xml version="1.0" encoding="utf-8"?>
<Texts>
  <SecurityPersonalData>Personal data</SecurityPersonalData>
  <SecurityPharma>Pharma investigations</SecurityPharma>
  <MarkingUntilText>UNTIL</MarkingUntilText>
  <LabelPictureSeq>Picture {SEQ Picture \* ARABIC } – </LabelPictureSeq>
  <SecurityMediationServiceMatter>Mediation service</SecurityMediationServiceMatter>
  <SecurityDeadline>Deadline</SecurityDeadline>
  <SecurityEconomyAndFinance>Economy and finance</SecurityEconomyAndFinance>
  <FooterFax>Fax</FooterFax>
  <FooterOffice>Office:</FooterOffice>
  <SecurityOlafInvestigations>OLAF investigations</SecurityOlafInvestigations>
  <TechHistory>Document History</TechHistory>
  <SensitiveHandling>Handling instructions for SENSITIVE information are given at https://europa.eu/!db43PX</SensitiveHandling>
  <SecurityOlafSpecialHandling>OLAF investigations</SecurityOlafSpecialHandling>
  <SecurityPersonal>Personal</SecurityPersonal>
  <CourtProceduralDocuments>Court procedural documents</CourtProceduralDocuments>
  <OrgaRoot>EUROPEAN COMMISSION</OrgaRoot>
  <TechHistoryComment>Comment</TechHistoryComment>
  <Contact>Contact:</Contact>
  <SensitiveLabel>Sensitive</SensitiveLabel>
  <SpecialHandlingLabel>Special Handling</SpecialHandlingLabel>
  <SecurityInvestigationsDisciplinary>Investigations and disciplinary matters</SecurityInvestigationsDisciplinary>
  <SecurityCompOperations>COMP Operations</SecurityCompOperations>
  <SecurityEuSatellite>EU satellite navigation matters</SecurityEuSatellit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echHistoryVersion>Version</TechHistoryVersion>
  <TLPAmber>TLP: Amber</TLPAmber>
  <SecurityMedicalSecret>Medical secret</SecurityMedicalSecret>
  <Contacts>Contacts:</Contacts>
  <SecurityEmbargo>Embargo until</SecurityEmbargo>
  <DateFormatShort>dd/MM/yyyy</DateFormatShort>
  <DateFormatLong>d MMMM yyyy</DateFormatLong>
</Tex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7.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E044946-5330-43F7-8D16-AA78684F2938}">
  <ds:schemaRefs/>
</ds:datastoreItem>
</file>

<file path=customXml/itemProps2.xml><?xml version="1.0" encoding="utf-8"?>
<ds:datastoreItem xmlns:ds="http://schemas.openxmlformats.org/officeDocument/2006/customXml" ds:itemID="{FBCFAAEA-81AD-468F-A583-5AE21EF3F154}">
  <ds:schemaRefs>
    <ds:schemaRef ds:uri="http://schemas.microsoft.com/office/2006/documentManagement/types"/>
    <ds:schemaRef ds:uri="http://purl.org/dc/terms/"/>
    <ds:schemaRef ds:uri="http://www.w3.org/XML/1998/namespace"/>
    <ds:schemaRef ds:uri="http://schemas.microsoft.com/sharepoint/v3"/>
    <ds:schemaRef ds:uri="http://schemas.microsoft.com/office/infopath/2007/PartnerControls"/>
    <ds:schemaRef ds:uri="http://purl.org/dc/elements/1.1/"/>
    <ds:schemaRef ds:uri="http://schemas.microsoft.com/sharepoint/v3/fields"/>
    <ds:schemaRef ds:uri="http://purl.org/dc/dcmitype/"/>
    <ds:schemaRef ds:uri="http://schemas.microsoft.com/office/2006/metadata/properties"/>
    <ds:schemaRef ds:uri="http://schemas.openxmlformats.org/package/2006/metadata/core-properties"/>
    <ds:schemaRef ds:uri="25173920-bf43-43cc-9123-1897e847dfc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E280DB8B-C9E0-4982-BDBC-267BAC521D2E}">
  <ds:schemaRefs>
    <ds:schemaRef ds:uri="http://schemas.microsoft.com/sharepoint/v3/contenttype/forms"/>
  </ds:schemaRefs>
</ds:datastoreItem>
</file>

<file path=customXml/itemProps6.xml><?xml version="1.0" encoding="utf-8"?>
<ds:datastoreItem xmlns:ds="http://schemas.openxmlformats.org/officeDocument/2006/customXml" ds:itemID="{E9A7D715-C5E7-4B53-9BC2-31D92A324287}">
  <ds:schemaRefs>
    <ds:schemaRef ds:uri="office.server.policy"/>
  </ds:schemaRefs>
</ds:datastoreItem>
</file>

<file path=customXml/itemProps7.xml><?xml version="1.0" encoding="utf-8"?>
<ds:datastoreItem xmlns:ds="http://schemas.openxmlformats.org/officeDocument/2006/customXml" ds:itemID="{497E752A-C6CC-44BC-A4A0-D4334C76E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5F6A14E9-21F0-48B0-82F0-8FD1217BA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6</TotalTime>
  <Pages>7</Pages>
  <Words>2004</Words>
  <Characters>11487</Characters>
  <Application>Microsoft Office Word</Application>
  <DocSecurity>0</DocSecurity>
  <PresentationFormat>Microsoft Word 14.0</PresentationFormat>
  <Lines>174</Lines>
  <Paragraphs>37</Paragraphs>
  <ScaleCrop>true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THERACE Christine (SG)</dc:creator>
  <cp:lastModifiedBy>HEILEMANN Stefanie (SG)</cp:lastModifiedBy>
  <cp:revision>12</cp:revision>
  <cp:lastPrinted>2019-04-08T15:40:00Z</cp:lastPrinted>
  <dcterms:created xsi:type="dcterms:W3CDTF">2019-04-10T08:35:00Z</dcterms:created>
  <dcterms:modified xsi:type="dcterms:W3CDTF">2019-04-10T10:10:00Z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Level of sensitivity">
    <vt:lpwstr>Standard treatment</vt:lpwstr>
  </property>
  <property fmtid="{D5CDD505-2E9C-101B-9397-08002B2CF9AE}" pid="5" name="First annex">
    <vt:lpwstr>2</vt:lpwstr>
  </property>
  <property fmtid="{D5CDD505-2E9C-101B-9397-08002B2CF9AE}" pid="6" name="Last annex">
    <vt:lpwstr>2</vt:lpwstr>
  </property>
  <property fmtid="{D5CDD505-2E9C-101B-9397-08002B2CF9AE}" pid="7" name="Unique annex">
    <vt:lpwstr>0</vt:lpwstr>
  </property>
  <property fmtid="{D5CDD505-2E9C-101B-9397-08002B2CF9AE}" pid="8" name="Part">
    <vt:lpwstr>1</vt:lpwstr>
  </property>
  <property fmtid="{D5CDD505-2E9C-101B-9397-08002B2CF9AE}" pid="9" name="Total parts">
    <vt:lpwstr>1</vt:lpwstr>
  </property>
  <property fmtid="{D5CDD505-2E9C-101B-9397-08002B2CF9AE}" pid="10" name="DocStatus">
    <vt:lpwstr>Green</vt:lpwstr>
  </property>
  <property fmtid="{D5CDD505-2E9C-101B-9397-08002B2CF9AE}" pid="11" name="Created using">
    <vt:lpwstr>LW 6.0.1, Build 20180503</vt:lpwstr>
  </property>
  <property fmtid="{D5CDD505-2E9C-101B-9397-08002B2CF9AE}" pid="12" name="Last edited using">
    <vt:lpwstr>LW 6.0.1, Build 20180503</vt:lpwstr>
  </property>
  <property fmtid="{D5CDD505-2E9C-101B-9397-08002B2CF9AE}" pid="13" name="ContentTypeId">
    <vt:lpwstr>0x010100258AA79CEB83498886A3A0868112325000D33D44CF0C8FEB45875F235DEEF2E1B9</vt:lpwstr>
  </property>
  <property fmtid="{D5CDD505-2E9C-101B-9397-08002B2CF9AE}" pid="14" name="Formatting">
    <vt:lpwstr>4.1</vt:lpwstr>
  </property>
</Properties>
</file>