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77C5B213-62BB-4F06-981F-01E7D7EB1E36" style="width:450.8pt;height:460.9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1"/>
          <w:cols w:space="720"/>
          <w:docGrid w:linePitch="360"/>
        </w:sectPr>
      </w:pPr>
    </w:p>
    <w:p>
      <w:pPr>
        <w:pStyle w:val="Heading1"/>
        <w:rPr>
          <w:noProof/>
        </w:rPr>
      </w:pPr>
      <w:bookmarkStart w:id="1" w:name="_GoBack"/>
      <w:bookmarkEnd w:id="1"/>
      <w:r>
        <w:rPr>
          <w:noProof/>
        </w:rPr>
        <w:lastRenderedPageBreak/>
        <w:t>Въведение</w:t>
      </w:r>
    </w:p>
    <w:p>
      <w:pPr>
        <w:pStyle w:val="Text1"/>
        <w:ind w:left="0"/>
        <w:rPr>
          <w:noProof/>
        </w:rPr>
      </w:pPr>
      <w:r>
        <w:rPr>
          <w:noProof/>
        </w:rPr>
        <w:t xml:space="preserve">На 29 март 2017 г. Обединеното кралство уведоми за намерението си да се оттегли от Съюза. </w:t>
      </w:r>
      <w:r>
        <w:rPr>
          <w:noProof/>
          <w:color w:val="000000"/>
          <w:u w:color="000000"/>
          <w:bdr w:val="nil"/>
        </w:rPr>
        <w:t>Комисията продължава да смята, че организираното оттегляне на Обединеното кралство от Европейския съюз въз основа на Споразумението за оттегляне, което беше договорено от правителството на Обединеното кралство и което беше одобрено от Европейския съвет (член 50) на 25 ноември 2018 г., е най-добрият вариант. Комисията продължава да съсредоточава усилията си за постигането на тази цел. Два дни преди изтичането на срока, удължен от Европейския съвет</w:t>
      </w:r>
      <w:r>
        <w:rPr>
          <w:noProof/>
          <w:color w:val="000000"/>
          <w:u w:color="000000"/>
          <w:bdr w:val="nil"/>
          <w:vertAlign w:val="superscript"/>
        </w:rPr>
        <w:footnoteReference w:id="2"/>
      </w:r>
      <w:r>
        <w:rPr>
          <w:noProof/>
          <w:color w:val="000000"/>
          <w:u w:color="000000"/>
          <w:bdr w:val="nil"/>
        </w:rPr>
        <w:t xml:space="preserve"> на 12 април 2019 г., вероятността от неорганизирано оттегляне на Обединеното кралство от Съюза обаче значително се увеличи.</w:t>
      </w:r>
    </w:p>
    <w:p>
      <w:pPr>
        <w:pStyle w:val="Heading1"/>
        <w:rPr>
          <w:noProof/>
        </w:rPr>
      </w:pPr>
      <w:r>
        <w:rPr>
          <w:noProof/>
        </w:rPr>
        <w:t>Подготовка за извънредната ситуация в сектора на рибарството</w:t>
      </w:r>
    </w:p>
    <w:p>
      <w:pPr>
        <w:pStyle w:val="Text1"/>
        <w:ind w:left="0"/>
        <w:rPr>
          <w:noProof/>
        </w:rPr>
      </w:pPr>
      <w:r>
        <w:rPr>
          <w:noProof/>
        </w:rPr>
        <w:t>След оттеглянето без споразумение достъпът до водите на Обединеното кралство ще се урежда от законодателството на Обединеното кралство, в съответствие с международното право.</w:t>
      </w:r>
    </w:p>
    <w:p>
      <w:pPr>
        <w:pStyle w:val="Text1"/>
        <w:ind w:left="0"/>
        <w:rPr>
          <w:noProof/>
        </w:rPr>
      </w:pPr>
      <w:r>
        <w:rPr>
          <w:noProof/>
        </w:rPr>
        <w:t>Европейският съюз е готов да продължи да предоставя достъп на плавателните съдове от Обединеното кралство до края на 2019 г., при условие че Обединеното кралство продължи да предоставя достъп на плавателните съдове от ЕС. Като мярка за извънредната ситуация Европейският съюз прие правното основание, необходимо за разрешаване на плавателните съдове от ЕС и Обединеното кралство да продължат да ловят риба във водите на другата страна до 31 декември 2019 г., като същевременно спазват договорените условия на регламентите от 2019 г. относно възможностите за риболов</w:t>
      </w:r>
      <w:r>
        <w:rPr>
          <w:rStyle w:val="FootnoteReference"/>
          <w:noProof/>
        </w:rPr>
        <w:footnoteReference w:id="3"/>
      </w:r>
      <w:r>
        <w:rPr>
          <w:noProof/>
        </w:rPr>
        <w:t>, договорени, когато Обединеното кралство все още беше държава членка.</w:t>
      </w:r>
    </w:p>
    <w:p>
      <w:pPr>
        <w:pStyle w:val="Text1"/>
        <w:ind w:left="0"/>
        <w:rPr>
          <w:noProof/>
        </w:rPr>
      </w:pPr>
      <w:r>
        <w:rPr>
          <w:noProof/>
        </w:rPr>
        <w:t>Ако Обединеното кралство продължи да предоставя достъп на плавателните съдове от ЕС, Комисията работи в тясно сътрудничество с държавите членки, за да сведе до минимум всяко евентуално прекъсване, наложило се поради необходимостта от получаване на разрешения за риболовни дейности от плавателните съдове от ЕС във водите на Обединеното кралство. За изпълнението на тази мярка за извънредната ситуация Комисията и държавите членки са предприели необходимите стъпки, за да бъдат в състояние да изпратят списъците с плавателните съдове, които искат разрешение за риболов във водите на Обединеното кралство, веднага след като Обединеното кралство стане трета държава.</w:t>
      </w:r>
    </w:p>
    <w:p>
      <w:pPr>
        <w:pStyle w:val="Text1"/>
        <w:ind w:left="0"/>
        <w:rPr>
          <w:noProof/>
        </w:rPr>
      </w:pPr>
      <w:r>
        <w:rPr>
          <w:noProof/>
        </w:rPr>
        <w:t>Цялостната цел продължава да бъде запазване на риболовните дейности във възможно най-голяма степен. Съюзът все пак предприе действия да се подготви, ако Обединеното кралство реши да откаже достъп на плавателните съдове от ЕС до водите на Обединеното кралство. Съюзът адаптира съществуващия правен инструмент, за да могат държавите членки да предоставят финансови обезщетения на рибарите, които са силно зависими от водите на Обединеното кралство и които трябва временно да преустановят тези дейности поради липсата на достъп до водите на Обединеното кралство</w:t>
      </w:r>
      <w:r>
        <w:rPr>
          <w:rStyle w:val="FootnoteReference"/>
          <w:noProof/>
        </w:rPr>
        <w:footnoteReference w:id="4"/>
      </w:r>
      <w:r>
        <w:rPr>
          <w:noProof/>
        </w:rPr>
        <w:t>. Това обезщетение за временно преустановяване допълва другите мерки, налични по линия на Европейския фонд за морско дело и рибарство (ЕФМДР), които могат да се използват за смекчаване на отрицателните икономически последици в резултат на оттеглянето на Обединеното кралство от Съюза.</w:t>
      </w:r>
    </w:p>
    <w:p>
      <w:pPr>
        <w:pStyle w:val="Heading1"/>
        <w:rPr>
          <w:noProof/>
        </w:rPr>
      </w:pPr>
      <w:r>
        <w:rPr>
          <w:noProof/>
        </w:rPr>
        <w:t>Нерешени въпроси, свързани с риболовните дейности</w:t>
      </w:r>
    </w:p>
    <w:p>
      <w:pPr>
        <w:pStyle w:val="Text1"/>
        <w:ind w:left="0"/>
        <w:rPr>
          <w:noProof/>
        </w:rPr>
      </w:pPr>
      <w:r>
        <w:rPr>
          <w:noProof/>
        </w:rPr>
        <w:t>Оттеглянето на Обединеното кралство без споразумение може да има неблагоприятно въздействие върху сектора на рибарството, ако на плавателните съдове от ЕС повече не се предоставя достъп до водите на Обединеното кралство. Последиците от неорганизиран Брексит трябва бъдат предмет на непрекъснат, подробен и системен анализ, извършван от Комисията, държавите членки и Европейската агенция за контрол на рибарството (EFCA), за да може да се предприемат бързи, съгласувани мерки.</w:t>
      </w:r>
    </w:p>
    <w:p>
      <w:pPr>
        <w:pStyle w:val="Text1"/>
        <w:ind w:left="0"/>
        <w:rPr>
          <w:noProof/>
        </w:rPr>
      </w:pPr>
      <w:r>
        <w:rPr>
          <w:noProof/>
        </w:rPr>
        <w:t>Загубата на достъпа до водите на Обединеното кралство може да засили натиска върху запасите във водите на ЕС и може да има сериозни социално-икономически последици за тези плавателни съдове от ЕС, които са силно зависими от достъпа до водите на Обединеното кралство, както и за онези, в чиито традиционни риболовни полета на ЕС активността може да се засили поради изместване на риболовното усилие. Като се признава принципът за равен достъп, координирането на действията на 27-те държави — членки на ЕС, и техните флоти е от съществено значение.</w:t>
      </w:r>
    </w:p>
    <w:p>
      <w:pPr>
        <w:pStyle w:val="Text1"/>
        <w:ind w:left="0"/>
        <w:rPr>
          <w:noProof/>
        </w:rPr>
      </w:pPr>
      <w:r>
        <w:rPr>
          <w:noProof/>
        </w:rPr>
        <w:t>Пълното или частично изместване в рамките на водите на ЕС на риболовните дейности, които понастоящем се извършват от плавателните съдове от 27-те държави — членки на ЕС, във водите на Обединеното кралство може да доведе до сериозни проблеми: i) съществува риск в резултат на този засилен риболовен натиск във водите на ЕС да настъпи необратимо обедняване на морските ресурси, като рибните запаси бъдат изчерпани и екосистемата бъде разрушена; и ii) съществува риск от възникване на спорове между различните флоти и плавателни съдове в риболовните полета във водите на ЕС поради „пренаселване“.</w:t>
      </w:r>
    </w:p>
    <w:p>
      <w:pPr>
        <w:pStyle w:val="ListBullet1"/>
        <w:numPr>
          <w:ilvl w:val="0"/>
          <w:numId w:val="0"/>
        </w:numPr>
        <w:rPr>
          <w:noProof/>
        </w:rPr>
      </w:pPr>
      <w:r>
        <w:rPr>
          <w:noProof/>
        </w:rPr>
        <w:t>Ако държавите членки подходят некоординирано, това би породило риск от разстройване на общата политика в областта на рибарството и на равнопоставеността между рибарите от ЕС.</w:t>
      </w:r>
    </w:p>
    <w:p>
      <w:pPr>
        <w:pStyle w:val="Heading1"/>
        <w:rPr>
          <w:noProof/>
        </w:rPr>
      </w:pPr>
      <w:r>
        <w:rPr>
          <w:noProof/>
        </w:rPr>
        <w:t>Координирани действия</w:t>
      </w:r>
    </w:p>
    <w:p>
      <w:pPr>
        <w:pStyle w:val="Text1"/>
        <w:ind w:left="0"/>
        <w:rPr>
          <w:noProof/>
        </w:rPr>
      </w:pPr>
      <w:r>
        <w:rPr>
          <w:noProof/>
        </w:rPr>
        <w:t>Последиците от оттегляне без споразумение трябва да бъдат управлявани както на национално, така и на европейско равнище. Съгласно съответните правомощия по Договорите Комисията има готовност да играе координираща роля.</w:t>
      </w:r>
    </w:p>
    <w:p>
      <w:pPr>
        <w:pStyle w:val="Text1"/>
        <w:ind w:left="0"/>
        <w:rPr>
          <w:noProof/>
        </w:rPr>
      </w:pPr>
      <w:r>
        <w:rPr>
          <w:noProof/>
        </w:rPr>
        <w:t>Принципите и действията, предложени по-долу, имат за цел да спомогнат за организираното и координирано управление от страна на 27-те държави — членки на ЕС, на използваните от тях мерки за смекчаване на последиците в подкрепа на рибарите, ако след датата на оттегляне плавателните съдове от ЕС повече нямат достъп до водите на Обединеното кралство.</w:t>
      </w:r>
    </w:p>
    <w:p>
      <w:pPr>
        <w:pStyle w:val="Text1"/>
        <w:ind w:left="0"/>
        <w:rPr>
          <w:noProof/>
        </w:rPr>
      </w:pPr>
      <w:r>
        <w:rPr>
          <w:noProof/>
        </w:rPr>
        <w:t>Основните цели на координацията са:</w:t>
      </w:r>
    </w:p>
    <w:p>
      <w:pPr>
        <w:pStyle w:val="ListBullet1"/>
        <w:rPr>
          <w:noProof/>
        </w:rPr>
      </w:pPr>
      <w:r>
        <w:rPr>
          <w:noProof/>
        </w:rPr>
        <w:t>свеждане до минимум на прекъсването и поддържане на риболовните дейности на флотите от ЕС във възможно най-голяма степен, като се вземат предвид кумулативните последици от такова изместване на риболовната дейност; и</w:t>
      </w:r>
    </w:p>
    <w:p>
      <w:pPr>
        <w:pStyle w:val="ListBullet1"/>
        <w:rPr>
          <w:noProof/>
        </w:rPr>
      </w:pPr>
      <w:r>
        <w:rPr>
          <w:noProof/>
        </w:rPr>
        <w:t>осигуряване на пропорционално и равнопоставено координирано използване на мерките за смекчаване на последиците в случаите, когато изместването не е възможно или не е желателно.</w:t>
      </w:r>
    </w:p>
    <w:p>
      <w:pPr>
        <w:pStyle w:val="ListBullet1"/>
        <w:numPr>
          <w:ilvl w:val="0"/>
          <w:numId w:val="0"/>
        </w:numPr>
        <w:rPr>
          <w:noProof/>
        </w:rPr>
      </w:pPr>
      <w:r>
        <w:rPr>
          <w:noProof/>
        </w:rPr>
        <w:t>Основни ръководни принципи:</w:t>
      </w:r>
    </w:p>
    <w:p>
      <w:pPr>
        <w:pStyle w:val="ListBullet1"/>
        <w:numPr>
          <w:ilvl w:val="0"/>
          <w:numId w:val="0"/>
        </w:numPr>
        <w:rPr>
          <w:noProof/>
        </w:rPr>
      </w:pPr>
      <w:r>
        <w:rPr>
          <w:noProof/>
        </w:rPr>
        <w:t>Комисията има готовност да работи със засегнатите държави членки въз основа на следните ръководни принципи:</w:t>
      </w:r>
    </w:p>
    <w:p>
      <w:pPr>
        <w:pStyle w:val="ListBullet1"/>
        <w:rPr>
          <w:noProof/>
        </w:rPr>
      </w:pPr>
      <w:r>
        <w:rPr>
          <w:noProof/>
        </w:rPr>
        <w:t>кумулативните последици следва да бъдат взети предвид при оценката на изместването на риболовните дейности;</w:t>
      </w:r>
    </w:p>
    <w:p>
      <w:pPr>
        <w:pStyle w:val="ListBullet1"/>
        <w:rPr>
          <w:noProof/>
        </w:rPr>
      </w:pPr>
      <w:r>
        <w:rPr>
          <w:noProof/>
        </w:rPr>
        <w:t>мерките за смекчаване на последиците следва да бъдат насочени към флотите и запасите, засегнати от последиците от загубата на достъп до водите на Обединеното кралство; и</w:t>
      </w:r>
    </w:p>
    <w:p>
      <w:pPr>
        <w:pStyle w:val="ListBullet1"/>
        <w:rPr>
          <w:noProof/>
        </w:rPr>
      </w:pPr>
      <w:r>
        <w:rPr>
          <w:noProof/>
        </w:rPr>
        <w:t>координираният подход няма в никакъв момент да предопредели преговорната позиция на ЕС по бъдещите отношения с Обединеното кралство.</w:t>
      </w:r>
    </w:p>
    <w:p>
      <w:pPr>
        <w:pStyle w:val="Heading2"/>
        <w:rPr>
          <w:noProof/>
        </w:rPr>
      </w:pPr>
      <w:r>
        <w:rPr>
          <w:noProof/>
        </w:rPr>
        <w:t>Препоръчани действия</w:t>
      </w:r>
    </w:p>
    <w:p>
      <w:pPr>
        <w:pStyle w:val="Heading3"/>
        <w:rPr>
          <w:noProof/>
        </w:rPr>
      </w:pPr>
      <w:r>
        <w:rPr>
          <w:noProof/>
        </w:rPr>
        <w:t>Установяване и управление на изместването</w:t>
      </w:r>
    </w:p>
    <w:p>
      <w:pPr>
        <w:pStyle w:val="Text1"/>
        <w:ind w:left="0"/>
        <w:rPr>
          <w:noProof/>
        </w:rPr>
      </w:pPr>
      <w:r>
        <w:rPr>
          <w:noProof/>
        </w:rPr>
        <w:t>В допълнение към мерките, предвидени в Регламента за контрола</w:t>
      </w:r>
      <w:r>
        <w:rPr>
          <w:rStyle w:val="FootnoteReference"/>
          <w:noProof/>
        </w:rPr>
        <w:footnoteReference w:id="5"/>
      </w:r>
      <w:r>
        <w:rPr>
          <w:noProof/>
        </w:rPr>
        <w:t xml:space="preserve"> и в Регламента на Съвета за Европейската агенция за контрол на рибарството (ЕАКР)</w:t>
      </w:r>
      <w:r>
        <w:rPr>
          <w:rStyle w:val="FootnoteReference"/>
          <w:noProof/>
        </w:rPr>
        <w:footnoteReference w:id="6"/>
      </w:r>
      <w:r>
        <w:rPr>
          <w:noProof/>
        </w:rPr>
        <w:t>, Комисията ще работи със засегнатите държави членки, за да договори доброволна рамка за интензивен мониторинг на промените в риболовните дейности във водите на ЕС.</w:t>
      </w:r>
    </w:p>
    <w:p>
      <w:pPr>
        <w:pStyle w:val="Text1"/>
        <w:ind w:left="0"/>
        <w:rPr>
          <w:noProof/>
        </w:rPr>
      </w:pPr>
      <w:r>
        <w:rPr>
          <w:noProof/>
        </w:rPr>
        <w:t>Въз основа на задълбочен анализ на настоящите риболовни модели, предприет от Комисията и засегнатите държави членки и доразвит с данни, предоставени от държавите членки, Комисията има готовност да работи със засегнатите държави членки за установяване на релевантните критерии в рамките на съществуващата уредба, за да прецени жизнеспособността, устойчивостта и мащаба на потенциалните измествания.</w:t>
      </w:r>
    </w:p>
    <w:p>
      <w:pPr>
        <w:pStyle w:val="Text1"/>
        <w:ind w:left="0"/>
        <w:rPr>
          <w:noProof/>
        </w:rPr>
      </w:pPr>
      <w:r>
        <w:rPr>
          <w:noProof/>
        </w:rPr>
        <w:t>Тези критерии биха могли да включват евентуалното използване на настоящия улов на Обединеното кралство от водите на 27-те държави — членки на ЕС, биологичния капацитет на запасите с цел справяне със засиления риболовен натиск във водите на 27-те държави — членки на ЕС, потенциалните алтернативи за разпределяне на риболовния натиск, използване на квотите и икономическото въздействие върху засегнатите плавателни съдове.</w:t>
      </w:r>
    </w:p>
    <w:p>
      <w:pPr>
        <w:pStyle w:val="Heading3"/>
        <w:rPr>
          <w:noProof/>
        </w:rPr>
      </w:pPr>
      <w:r>
        <w:rPr>
          <w:noProof/>
        </w:rPr>
        <w:t>Координирано използване на мерките за смекчаване на последиците, включително на обезщетението за временно преустановяване</w:t>
      </w:r>
    </w:p>
    <w:p>
      <w:pPr>
        <w:pStyle w:val="Text1"/>
        <w:ind w:left="0"/>
        <w:rPr>
          <w:noProof/>
        </w:rPr>
      </w:pPr>
      <w:r>
        <w:rPr>
          <w:noProof/>
        </w:rPr>
        <w:t>В случаите, когато изместването на риболовната дейност не е възможно или не е желателно, след извършване на посочения по-горе анализ следва да се изберат подходящият инструмент или инструменти за смекчаване на последиците. Смекчаването на последиците може да бъде по няколко начина. Съгласно съответните институционални правомощия Комисията има готовност да координира заедно със засегнатите държави членки определянето на релевантните инструменти, както и на условията за използване на тези инструменти, ако е приложимо.</w:t>
      </w:r>
    </w:p>
    <w:p>
      <w:pPr>
        <w:pStyle w:val="Text1"/>
        <w:ind w:left="0"/>
        <w:rPr>
          <w:noProof/>
        </w:rPr>
      </w:pPr>
      <w:r>
        <w:rPr>
          <w:noProof/>
        </w:rPr>
        <w:t>Възможните инструменти за смекчаване на последиците включват мерки в рамките на общата политика в областта на рибарството (наред с другото, по членове 9 и 10 от Регламент (ЕС) № 1380/2013 за многогодишните планове, по член 12 за мерките на Комисията в случай на сериозна заплаха за морските биологични ресурси, по член 13 за спешните мерки на държавите членки, по член 16 за определяне на възможностите за риболов и за обмена на възможности за риболов) и по Регламент 508/2014 за Европейския фонд за морско дело и рибарство.</w:t>
      </w:r>
    </w:p>
    <w:p>
      <w:pPr>
        <w:pStyle w:val="Text1"/>
        <w:ind w:left="0"/>
        <w:rPr>
          <w:noProof/>
        </w:rPr>
      </w:pPr>
      <w:r>
        <w:rPr>
          <w:noProof/>
        </w:rPr>
        <w:t>Ако това бъде сметнато за необходимо, инструментите могат да бъдат комбинирани.</w:t>
      </w:r>
    </w:p>
    <w:p>
      <w:pPr>
        <w:pStyle w:val="Text1"/>
        <w:ind w:left="0"/>
        <w:rPr>
          <w:noProof/>
        </w:rPr>
      </w:pPr>
      <w:r>
        <w:rPr>
          <w:noProof/>
        </w:rPr>
        <w:t>Комисията ще работи със засегнатите държави членки за разработването на общ подход за управление на риболовните дейности, включително на евентуалното използване на обезщетение за временно преустановяване на риболовните дейности като инструмент за подкрепа на рибарите за пропуснатите от тях ползи.</w:t>
      </w:r>
    </w:p>
    <w:p>
      <w:pPr>
        <w:pStyle w:val="Text1"/>
        <w:ind w:left="0"/>
        <w:rPr>
          <w:noProof/>
        </w:rPr>
      </w:pPr>
      <w:r>
        <w:rPr>
          <w:noProof/>
        </w:rPr>
        <w:t>Регламент (ЕС) 2019/497 позволява използването на временното преустановяване за обезщетяване за загубите поради загуба на достъпа до водите на Обединеното кралство. Като се използват възможностите, предвидени в Регламента за ЕАКР, държавите членки се насърчават да представят на Комисията подробни планове за (възможността за) използване на временното преустановяване в периода до 31 декември 2019 г. Въз основа на това Комисията ще работи с държавите членки във връзка с използването на този инструмент, за да гарантира справедливост и пропорционалност между всички флоти и за целия идентифициран съответен риболов.</w:t>
      </w:r>
    </w:p>
    <w:p>
      <w:pPr>
        <w:pStyle w:val="Heading1"/>
        <w:rPr>
          <w:noProof/>
        </w:rPr>
      </w:pPr>
      <w:r>
        <w:rPr>
          <w:noProof/>
        </w:rPr>
        <w:t>Засилено сътрудничество с всички участващи заинтересовани страни</w:t>
      </w:r>
    </w:p>
    <w:p>
      <w:pPr>
        <w:pStyle w:val="Text1"/>
        <w:ind w:left="0"/>
        <w:rPr>
          <w:noProof/>
        </w:rPr>
      </w:pPr>
      <w:r>
        <w:rPr>
          <w:noProof/>
        </w:rPr>
        <w:t>За улесняване на споменатата по-горе координация, държавите членки се приканват да посочат звено за контакт за пряка комуникация с Комисията и другите държави членки. Освен това следва да се създаде оперативна мрежа от кореспонденти за решаването на конкретни оперативни проблеми, които могат да възникнат в резултат на неорганизирано оттегляне.</w:t>
      </w:r>
    </w:p>
    <w:p>
      <w:pPr>
        <w:pStyle w:val="Text1"/>
        <w:ind w:left="0"/>
        <w:rPr>
          <w:noProof/>
        </w:rPr>
      </w:pPr>
      <w:r>
        <w:rPr>
          <w:noProof/>
        </w:rPr>
        <w:t>За да бъдат успешни усилията за координация, трябва всички засегнати страни да участват и да играят своята роля в необходимите действия. Засилената координация между представителните организации, свързани с рибарството, е от съществено значение и може да има основен принос за предотвратяване на потенциални конфликти между рибарите. Комисията ще работи с държавите членки, за да продължат консултациите с представителните организации, свързани с рибарството, и ще продължи да насърчава консултациите между тези организации.</w:t>
      </w:r>
    </w:p>
    <w:p>
      <w:pPr>
        <w:pStyle w:val="Heading1"/>
        <w:rPr>
          <w:noProof/>
        </w:rPr>
      </w:pPr>
      <w:r>
        <w:rPr>
          <w:noProof/>
        </w:rPr>
        <w:t>Допълнителна информация</w:t>
      </w:r>
    </w:p>
    <w:p>
      <w:pPr>
        <w:pStyle w:val="Text1"/>
        <w:ind w:left="0"/>
        <w:rPr>
          <w:noProof/>
        </w:rPr>
      </w:pPr>
      <w:r>
        <w:rPr>
          <w:noProof/>
        </w:rPr>
        <w:t>Публичните органи и заинтересованите страни могат да намерят допълнителна информация за въздействието на неорганизираното оттегляне на Обединеното кралство върху риболовните дейности на следния уебсайт на Комисията:</w:t>
      </w:r>
    </w:p>
    <w:p>
      <w:pPr>
        <w:pStyle w:val="Text1"/>
        <w:ind w:left="0"/>
        <w:rPr>
          <w:noProof/>
        </w:rPr>
      </w:pPr>
      <w:hyperlink r:id="rId20">
        <w:r>
          <w:rPr>
            <w:rStyle w:val="Hyperlink"/>
            <w:noProof/>
          </w:rPr>
          <w:t>https://ec.europa.eu/info/brexit/brexit-preparedness/preparedness-notices_bg</w:t>
        </w:r>
      </w:hyperlink>
    </w:p>
    <w:sectPr>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38578"/>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5</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940758"/>
      <w:docPartObj>
        <w:docPartGallery w:val="Page Numbers (Bottom of Page)"/>
        <w:docPartUnique/>
      </w:docPartObj>
    </w:sdtPr>
    <w:sdtEndPr>
      <w:rPr>
        <w:rFonts w:ascii="Times New Roman" w:hAnsi="Times New Roman" w:cs="Times New Roman"/>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vertAlign w:val="superscript"/>
        </w:rPr>
        <w:footnoteRef/>
      </w:r>
      <w:r>
        <w:tab/>
        <w:t>Решение (EС) 2019/476 на Европейския съвет, взето в съгласие с Обединеното кралство, от 22 март 2019 г. за продължаване на срока по член 50, параграф 3 от ДЕС (ОВ L 80, 22.3.2019 г., стр. 1).</w:t>
      </w:r>
    </w:p>
  </w:footnote>
  <w:footnote w:id="3">
    <w:p>
      <w:pPr>
        <w:pStyle w:val="FootnoteText"/>
        <w:tabs>
          <w:tab w:val="left" w:pos="360"/>
        </w:tabs>
        <w:ind w:left="360" w:hanging="360"/>
      </w:pPr>
      <w:r>
        <w:rPr>
          <w:rStyle w:val="FootnoteReference"/>
        </w:rPr>
        <w:footnoteRef/>
      </w:r>
      <w:r>
        <w:tab/>
        <w:t>Регламент (EС) 2019/124 на Съвета от 30 януари 2019 г. за определяне за 2019 година на възможностите за риболов на определени рибни запаси и групи от рибни запаси (ОВ L 29, 31.1.2019 г., стр. 1) и Регламент (EС) 2018/2025 на Съвета от 17 декември 2018 г. за определяне на възможностите за риболов за 2019 и 2020 г. по отношение на някои дълбоководни рибни запаси за риболовните кораби на Съюза (ОВ L 325, 20.12.2018 г., стр. 7).</w:t>
      </w:r>
    </w:p>
  </w:footnote>
  <w:footnote w:id="4">
    <w:p>
      <w:pPr>
        <w:pStyle w:val="FootnoteText"/>
      </w:pPr>
      <w:r>
        <w:rPr>
          <w:rStyle w:val="FootnoteReference"/>
        </w:rPr>
        <w:footnoteRef/>
      </w:r>
      <w:r>
        <w:tab/>
        <w:t>Регламент (ЕС) 2019/497 на Европейския парламент и на Съвета от 25 март 2019 г. за изменение на Регламент (ЕС) № 508/2014 по отношение на някои правила, свързани с Европейския фонд за морско дело и рибарство във връзка с оттеглянето на Обединеното кралство от Съюза (ОВ L 85, 27.3.2019 г., стр. 22).</w:t>
      </w:r>
    </w:p>
  </w:footnote>
  <w:footnote w:id="5">
    <w:p>
      <w:pPr>
        <w:pStyle w:val="FootnoteText"/>
      </w:pPr>
      <w:r>
        <w:rPr>
          <w:rStyle w:val="FootnoteReference"/>
        </w:rPr>
        <w:footnoteRef/>
      </w:r>
      <w:r>
        <w:tab/>
        <w:t>Регламент (ЕО) № 1224/2009 на Съвета от 20 ноември 2009 г. за създаване на система за контрол на Съюза за гарантиране на спазването на правилата на общата политика в областта на рибарството (ОВ L 343, 22.12.2009 г., стр. 1).</w:t>
      </w:r>
    </w:p>
  </w:footnote>
  <w:footnote w:id="6">
    <w:p>
      <w:pPr>
        <w:pStyle w:val="FootnoteText"/>
      </w:pPr>
      <w:r>
        <w:rPr>
          <w:rStyle w:val="FootnoteReference"/>
        </w:rPr>
        <w:footnoteRef/>
      </w:r>
      <w:r>
        <w:tab/>
        <w:t>Регламент (ЕО) № 768/2005 на Съвета от 26 април 2005 г. за създаване на Европейска агенция за контрол на рибарството (ОВ L 128, 21.5.2005 г., стр.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39CE"/>
    <w:multiLevelType w:val="hybridMultilevel"/>
    <w:tmpl w:val="EA044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A7730C4"/>
    <w:multiLevelType w:val="multilevel"/>
    <w:tmpl w:val="FF8C2938"/>
    <w:lvl w:ilvl="0">
      <w:start w:val="1"/>
      <w:numFmt w:val="bullet"/>
      <w:pStyle w:val="ListBullet1"/>
      <w:lvlText w:val=""/>
      <w:lvlJc w:val="left"/>
      <w:pPr>
        <w:tabs>
          <w:tab w:val="num" w:pos="283"/>
        </w:tabs>
        <w:ind w:left="283" w:hanging="283"/>
      </w:pPr>
      <w:rPr>
        <w:rFonts w:ascii="Symbol" w:hAnsi="Symbol"/>
      </w:rPr>
    </w:lvl>
    <w:lvl w:ilvl="1">
      <w:start w:val="1"/>
      <w:numFmt w:val="bullet"/>
      <w:pStyle w:val="ListBullet1Level2"/>
      <w:lvlText w:val=""/>
      <w:lvlJc w:val="left"/>
      <w:pPr>
        <w:tabs>
          <w:tab w:val="num" w:pos="567"/>
        </w:tabs>
        <w:ind w:left="567" w:hanging="284"/>
      </w:pPr>
      <w:rPr>
        <w:rFonts w:ascii="Symbol" w:hAnsi="Symbol"/>
      </w:rPr>
    </w:lvl>
    <w:lvl w:ilvl="2">
      <w:start w:val="1"/>
      <w:numFmt w:val="bullet"/>
      <w:pStyle w:val="ListBullet1Level3"/>
      <w:lvlText w:val=""/>
      <w:lvlJc w:val="left"/>
      <w:pPr>
        <w:tabs>
          <w:tab w:val="num" w:pos="850"/>
        </w:tabs>
        <w:ind w:left="850" w:hanging="283"/>
      </w:pPr>
      <w:rPr>
        <w:rFonts w:ascii="Symbol" w:hAnsi="Symbol"/>
      </w:rPr>
    </w:lvl>
    <w:lvl w:ilvl="3">
      <w:start w:val="1"/>
      <w:numFmt w:val="bullet"/>
      <w:pStyle w:val="ListBullet1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4C477C97"/>
    <w:multiLevelType w:val="multilevel"/>
    <w:tmpl w:val="14D69CFA"/>
    <w:numStyleLink w:val="ImportedStyle1"/>
  </w:abstractNum>
  <w:abstractNum w:abstractNumId="4">
    <w:nsid w:val="7C65145E"/>
    <w:multiLevelType w:val="multilevel"/>
    <w:tmpl w:val="35D4705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2"/>
  </w:num>
  <w:num w:numId="2">
    <w:abstractNumId w:val="3"/>
  </w:num>
  <w:num w:numId="3">
    <w:abstractNumId w:val="1"/>
  </w:num>
  <w:num w:numId="4">
    <w:abstractNumId w:val="4"/>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hideSpellingErrors/>
  <w:hideGrammaticalErrors/>
  <w:revisionView w:markup="0"/>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1082?\u1098?\u1084?"/>
    <w:docVar w:name="LW_ANNEX_NBR_FIRST" w:val="5"/>
    <w:docVar w:name="LW_ANNEX_NBR_LAST" w:val="5"/>
    <w:docVar w:name="LW_ANNEX_UNIQUE" w:val="0"/>
    <w:docVar w:name="LW_CORRIGENDUM" w:val="&lt;UNUSED&gt;"/>
    <w:docVar w:name="LW_COVERPAGE_EXISTS" w:val="True"/>
    <w:docVar w:name="LW_COVERPAGE_GUID" w:val="77C5B213-62BB-4F06-981F-01E7D7EB1E36"/>
    <w:docVar w:name="LW_COVERPAGE_TYPE" w:val="1"/>
    <w:docVar w:name="LW_CROSSREFERENCE" w:val="&lt;UNUSED&gt;"/>
    <w:docVar w:name="LW_DocType" w:val="NORMAL"/>
    <w:docVar w:name="LW_EMISSION" w:val="10.4.2019"/>
    <w:docVar w:name="LW_EMISSION_ISODATE" w:val="2019-04-10"/>
    <w:docVar w:name="LW_EMISSION_LOCATION" w:val="BRX"/>
    <w:docVar w:name="LW_EMISSION_PREFIX" w:val="Брюксел, "/>
    <w:docVar w:name="LW_EMISSION_SUFFIX" w:val=" \u1075?."/>
    <w:docVar w:name="LW_ID_DOCTYPE_NONLW" w:val="CP-039"/>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CP" w:val="\u1052?\u1077?\u1088?\u1082?\u1080? \u1074? \u1086?\u1090?\u1075?\u1086?\u1074?\u1086?\u1088? \u1085?\u1072? \u1074?\u1098?\u1079?\u1076?\u1077?\u1081?\u1089?\u1090?\u1074?\u1080?\u1077?\u1090?\u1086? \u1085?\u1072? \u1086?\u1090?\u1090?\u1077?\u1075?\u1083?\u1103?\u1085?\u1077? \u1085?\u1072? \u1054?\u1073?\u1077?\u1076?\u1080?\u1085?\u1077?\u1085?\u1086?\u1090?\u1086? \u1082?\u1088?\u1072?\u1083?\u1089?\u1090?\u1074?\u1086? \u1086?\u1090? \u1057?\u1098?\u1102?\u1079?\u1072? \u1073?\u1077?\u1079? \u1089?\u1087?\u1086?\u1088?\u1072?\u1079?\u1091?\u1084?\u1077?\u1085?\u1080?\u1077?: \u1082?\u1086?\u1086?\u1088?\u1076?\u1080?\u1085?\u1080?\u1088?\u1072?\u1085? \u1087?\u1086?\u1076?\u1093?\u1086?\u1076? \u1085?\u1072? \u1057?\u1098?\u1102?\u1079?\u1072?_x000b__x000b_\u1056?\u1080?\u1073?\u1086?\u1083?\u1086?\u1074?\u1085?\u1080? \u1076?\u1077?\u1081?\u1085?\u1086?\u1089?\u1090?\u1080?: \u1082?\u1086?\u1086?\u1088?\u1076?\u1080?\u1085?\u1080?\u1088?\u1072?\u1085? \u1087?\u1086?\u1076?\u1093?\u1086?\u1076? \u1074? \u1089?\u1083?\u1091?\u1095?\u1072?\u1081? \u1085?\u1072? \u1086?\u1090?\u1090?\u1077?\u1075?\u1083?\u1103?\u1085?\u1077? \u1085?\u1072? \u1054?\u1073?\u1077?\u1076?\u1080?\u1085?\u1077?\u1085?\u1086?\u1090?\u1086? \u1082?\u1088?\u1072?\u1083?\u1089?\u1090?\u1074?\u1086? \u1086?\u1090? \u1057?\u1098?\u1102?\u1079?\u1072? \u1073?\u1077?\u1079? \u1089?\u1087?\u1086?\u1088?\u1072?\u1079?\u1091?\u1084?\u1077?\u1085?\u1080?\u1077? "/>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u1055?\u1056?\u1048?\u1051?\u1054?\u1046?\u1045?\u1053?\u1048?\u1045?_x000b_"/>
    <w:docVar w:name="LW_TYPEACTEPRINCIPAL.CP" w:val="\u1057?\u1066?\u1054?\u1041?\u1065?\u1045?\u1053?\u1048?\u1045? \u1053?\u1040? \u1050?\u1054?\u1052?\u1048?\u1057?\u1048?\u1071?\u1058?\u1040? \u1044?\u1054? \u1045?\u1042?\u1056?\u1054?\u1055?\u1045?\u1049?\u1057?\u1050?\u1048?\u1071? \u1055?\u1040?\u1056?\u1051?\u1040?\u1052?\u1045?\u1053?\u1058?, \u1045?\u1042?\u1056?\u1054?\u1055?\u1045?\u1049?\u1057?\u1050?\u1048?\u1071? \u1057?\u1066?\u1042?\u1045?\u1058?, \u1057?\u1066?\u1042?\u1045?\u1058?\u1040?, \u1045?\u1042?\u1056?\u1054?\u1055?\u1045?\u1049?\u1057?\u1050?\u1040?\u1058?\u1040? \u1062?\u1045?\u1053?\u1058?\u1056?\u1040?\u1051?\u1053?\u1040? \u1041?\u1040?\u1053?\u1050?\u1040?, \u1045?\u1042?\u1056?\u1054?\u1055?\u1045?\u1049?\u1057?\u1050?\u1048?\u1071? \u1048?\u1050?\u1054?\u1053?\u1054?\u1052?\u1048?\u1063?\u1045?\u1057?\u1050?\u1048? \u1048? \u1057?\u1054?\u1062?\u1048?\u1040?\u1051?\u1045?\u1053? \u1050?\u1054?\u1052?\u1048?\u1058?\u1045?\u1058?, \u1050?\u1054?\u1052?\u1048?\u1058?\u1045?\u1058?\u1040? \u1053?\u1040? \u1056?\u1045?\u1043?\u1048?\u1054?\u1053?\u1048?\u1058?\u1045? \u1048? \u1045?\u1042?\u1056?\u1054?\u1055?\u1045?\u1049?\u1057?\u1050?\u1040?\u1058?\u1040? \u1048?\u1053?\u1042?\u1045?\u1057?\u1058?\u1062?\u1048?\u1054?\u1053?\u1053?\u1040? \u1041?\u1040?\u1053?\u1050?\u1040?"/>
  </w:docVar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4"/>
      </w:numPr>
      <w:spacing w:before="240" w:after="240" w:line="240" w:lineRule="auto"/>
      <w:jc w:val="both"/>
      <w:outlineLvl w:val="0"/>
    </w:pPr>
    <w:rPr>
      <w:rFonts w:ascii="Times New Roman" w:eastAsia="Times New Roman" w:hAnsi="Times New Roman" w:cs="Times New Roman"/>
      <w:b/>
      <w:smallCaps/>
      <w:sz w:val="24"/>
    </w:rPr>
  </w:style>
  <w:style w:type="paragraph" w:styleId="Heading2">
    <w:name w:val="heading 2"/>
    <w:basedOn w:val="Normal"/>
    <w:next w:val="Normal"/>
    <w:link w:val="Heading2Char"/>
    <w:uiPriority w:val="90"/>
    <w:qFormat/>
    <w:pPr>
      <w:keepNext/>
      <w:numPr>
        <w:ilvl w:val="1"/>
        <w:numId w:val="4"/>
      </w:numPr>
      <w:spacing w:after="240" w:line="240" w:lineRule="auto"/>
      <w:jc w:val="both"/>
      <w:outlineLvl w:val="1"/>
    </w:pPr>
    <w:rPr>
      <w:rFonts w:ascii="Times New Roman" w:eastAsia="Times New Roman" w:hAnsi="Times New Roman" w:cs="Times New Roman"/>
      <w:b/>
      <w:sz w:val="24"/>
    </w:rPr>
  </w:style>
  <w:style w:type="paragraph" w:styleId="Heading3">
    <w:name w:val="heading 3"/>
    <w:basedOn w:val="Normal"/>
    <w:next w:val="Normal"/>
    <w:link w:val="Heading3Char"/>
    <w:uiPriority w:val="90"/>
    <w:qFormat/>
    <w:pPr>
      <w:keepNext/>
      <w:numPr>
        <w:ilvl w:val="2"/>
        <w:numId w:val="4"/>
      </w:numPr>
      <w:spacing w:after="240" w:line="240" w:lineRule="auto"/>
      <w:jc w:val="both"/>
      <w:outlineLvl w:val="2"/>
    </w:pPr>
    <w:rPr>
      <w:rFonts w:ascii="Times New Roman" w:eastAsia="Times New Roman" w:hAnsi="Times New Roman" w:cs="Times New Roman"/>
      <w:i/>
      <w:sz w:val="24"/>
    </w:rPr>
  </w:style>
  <w:style w:type="paragraph" w:styleId="Heading4">
    <w:name w:val="heading 4"/>
    <w:basedOn w:val="Normal"/>
    <w:next w:val="Normal"/>
    <w:link w:val="Heading4Char"/>
    <w:uiPriority w:val="90"/>
    <w:qFormat/>
    <w:pPr>
      <w:keepNext/>
      <w:numPr>
        <w:ilvl w:val="3"/>
        <w:numId w:val="4"/>
      </w:numPr>
      <w:spacing w:after="240" w:line="240" w:lineRule="auto"/>
      <w:jc w:val="both"/>
      <w:outlineLvl w:val="3"/>
    </w:pPr>
    <w:rPr>
      <w:rFonts w:ascii="Times New Roman" w:eastAsia="Times New Roman" w:hAnsi="Times New Roman" w:cs="Times New Roman"/>
      <w:sz w:val="24"/>
    </w:rPr>
  </w:style>
  <w:style w:type="paragraph" w:styleId="Heading5">
    <w:name w:val="heading 5"/>
    <w:basedOn w:val="Normal"/>
    <w:next w:val="Normal"/>
    <w:link w:val="Heading5Char"/>
    <w:semiHidden/>
    <w:pPr>
      <w:keepNext/>
      <w:numPr>
        <w:ilvl w:val="4"/>
        <w:numId w:val="4"/>
      </w:numPr>
      <w:spacing w:after="240" w:line="240" w:lineRule="auto"/>
      <w:jc w:val="both"/>
      <w:outlineLvl w:val="4"/>
    </w:pPr>
    <w:rPr>
      <w:rFonts w:ascii="Times New Roman" w:eastAsia="Times New Roman" w:hAnsi="Times New Roman" w:cs="Times New Roman"/>
      <w:sz w:val="24"/>
    </w:rPr>
  </w:style>
  <w:style w:type="paragraph" w:styleId="Heading6">
    <w:name w:val="heading 6"/>
    <w:basedOn w:val="Normal"/>
    <w:next w:val="Normal"/>
    <w:link w:val="Heading6Char"/>
    <w:semiHidden/>
    <w:pPr>
      <w:keepNext/>
      <w:numPr>
        <w:ilvl w:val="5"/>
        <w:numId w:val="4"/>
      </w:numPr>
      <w:spacing w:after="240" w:line="240" w:lineRule="auto"/>
      <w:jc w:val="both"/>
      <w:outlineLvl w:val="5"/>
    </w:pPr>
    <w:rPr>
      <w:rFonts w:ascii="Times New Roman" w:eastAsia="Times New Roman" w:hAnsi="Times New Roman" w:cs="Times New Roman"/>
      <w:sz w:val="24"/>
    </w:rPr>
  </w:style>
  <w:style w:type="paragraph" w:styleId="Heading7">
    <w:name w:val="heading 7"/>
    <w:basedOn w:val="Normal"/>
    <w:next w:val="Normal"/>
    <w:link w:val="Heading7Char"/>
    <w:semiHidden/>
    <w:pPr>
      <w:keepNext/>
      <w:numPr>
        <w:ilvl w:val="6"/>
        <w:numId w:val="4"/>
      </w:numPr>
      <w:spacing w:after="240" w:line="240" w:lineRule="auto"/>
      <w:jc w:val="both"/>
      <w:outlineLvl w:val="6"/>
    </w:pPr>
    <w:rPr>
      <w:rFonts w:ascii="Times New Roman" w:eastAsia="Times New Roman" w:hAnsi="Times New Roman" w:cs="Times New Roman"/>
      <w:sz w:val="24"/>
    </w:rPr>
  </w:style>
  <w:style w:type="paragraph" w:styleId="Heading8">
    <w:name w:val="heading 8"/>
    <w:basedOn w:val="Normal"/>
    <w:next w:val="Normal"/>
    <w:link w:val="Heading8Char"/>
    <w:semiHidden/>
    <w:pPr>
      <w:keepNext/>
      <w:numPr>
        <w:ilvl w:val="7"/>
        <w:numId w:val="4"/>
      </w:numPr>
      <w:spacing w:after="240" w:line="240" w:lineRule="auto"/>
      <w:jc w:val="both"/>
      <w:outlineLvl w:val="7"/>
    </w:pPr>
    <w:rPr>
      <w:rFonts w:ascii="Times New Roman" w:eastAsia="Times New Roman" w:hAnsi="Times New Roman" w:cs="Times New Roman"/>
      <w:sz w:val="24"/>
    </w:rPr>
  </w:style>
  <w:style w:type="paragraph" w:styleId="Heading9">
    <w:name w:val="heading 9"/>
    <w:basedOn w:val="Normal"/>
    <w:next w:val="Normal"/>
    <w:link w:val="Heading9Char"/>
    <w:semiHidden/>
    <w:pPr>
      <w:keepNext/>
      <w:numPr>
        <w:ilvl w:val="8"/>
        <w:numId w:val="4"/>
      </w:numPr>
      <w:spacing w:after="240" w:line="240" w:lineRule="auto"/>
      <w:jc w:val="both"/>
      <w:outlineLvl w:val="8"/>
    </w:pPr>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lang w:eastAsia="bg-BG" w:bidi="bg-BG"/>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lang w:eastAsia="bg-BG" w:bidi="bg-BG"/>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lang w:eastAsia="bg-BG" w:bidi="bg-BG"/>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lang w:eastAsia="bg-BG" w:bidi="bg-BG"/>
    </w:rPr>
  </w:style>
  <w:style w:type="character" w:customStyle="1" w:styleId="Heading5Char">
    <w:name w:val="Heading 5 Char"/>
    <w:basedOn w:val="DefaultParagraphFont"/>
    <w:link w:val="Heading5"/>
    <w:semiHidden/>
    <w:rPr>
      <w:rFonts w:ascii="Times New Roman" w:eastAsia="Times New Roman" w:hAnsi="Times New Roman" w:cs="Times New Roman"/>
      <w:sz w:val="24"/>
      <w:lang w:eastAsia="bg-BG" w:bidi="bg-BG"/>
    </w:rPr>
  </w:style>
  <w:style w:type="character" w:customStyle="1" w:styleId="Heading6Char">
    <w:name w:val="Heading 6 Char"/>
    <w:basedOn w:val="DefaultParagraphFont"/>
    <w:link w:val="Heading6"/>
    <w:semiHidden/>
    <w:rPr>
      <w:rFonts w:ascii="Times New Roman" w:eastAsia="Times New Roman" w:hAnsi="Times New Roman" w:cs="Times New Roman"/>
      <w:sz w:val="24"/>
      <w:lang w:eastAsia="bg-BG" w:bidi="bg-BG"/>
    </w:rPr>
  </w:style>
  <w:style w:type="character" w:customStyle="1" w:styleId="Heading7Char">
    <w:name w:val="Heading 7 Char"/>
    <w:basedOn w:val="DefaultParagraphFont"/>
    <w:link w:val="Heading7"/>
    <w:semiHidden/>
    <w:rPr>
      <w:rFonts w:ascii="Times New Roman" w:eastAsia="Times New Roman" w:hAnsi="Times New Roman" w:cs="Times New Roman"/>
      <w:sz w:val="24"/>
      <w:lang w:eastAsia="bg-BG" w:bidi="bg-BG"/>
    </w:rPr>
  </w:style>
  <w:style w:type="character" w:customStyle="1" w:styleId="Heading8Char">
    <w:name w:val="Heading 8 Char"/>
    <w:basedOn w:val="DefaultParagraphFont"/>
    <w:link w:val="Heading8"/>
    <w:semiHidden/>
    <w:rPr>
      <w:rFonts w:ascii="Times New Roman" w:eastAsia="Times New Roman" w:hAnsi="Times New Roman" w:cs="Times New Roman"/>
      <w:sz w:val="24"/>
      <w:lang w:eastAsia="bg-BG" w:bidi="bg-BG"/>
    </w:rPr>
  </w:style>
  <w:style w:type="character" w:customStyle="1" w:styleId="Heading9Char">
    <w:name w:val="Heading 9 Char"/>
    <w:basedOn w:val="DefaultParagraphFont"/>
    <w:link w:val="Heading9"/>
    <w:semiHidden/>
    <w:rPr>
      <w:rFonts w:ascii="Times New Roman" w:eastAsia="Times New Roman" w:hAnsi="Times New Roman" w:cs="Times New Roman"/>
      <w:sz w:val="24"/>
      <w:lang w:eastAsia="bg-BG" w:bidi="bg-BG"/>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itreobjet">
    <w:name w:val="Titre objet"/>
    <w:next w:val="Normal"/>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rPr>
  </w:style>
  <w:style w:type="paragraph" w:customStyle="1" w:styleId="Heading">
    <w:name w:val="Heading"/>
    <w:next w:val="Normal"/>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bg-BG" w:eastAsia="bg-BG" w:bidi="bg-BG"/>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rPr>
  </w:style>
  <w:style w:type="paragraph" w:customStyle="1" w:styleId="ListBullet1">
    <w:name w:val="List Bullet 1"/>
    <w:basedOn w:val="Text1"/>
    <w:pPr>
      <w:numPr>
        <w:numId w:val="3"/>
      </w:numPr>
    </w:pPr>
  </w:style>
  <w:style w:type="paragraph" w:customStyle="1" w:styleId="ListBullet1Level2">
    <w:name w:val="List Bullet 1 (Level 2)"/>
    <w:basedOn w:val="Text1"/>
    <w:pPr>
      <w:numPr>
        <w:ilvl w:val="1"/>
        <w:numId w:val="3"/>
      </w:numPr>
    </w:pPr>
  </w:style>
  <w:style w:type="paragraph" w:customStyle="1" w:styleId="ListBullet1Level3">
    <w:name w:val="List Bullet 1 (Level 3)"/>
    <w:basedOn w:val="Text1"/>
    <w:semiHidden/>
    <w:unhideWhenUsed/>
    <w:pPr>
      <w:numPr>
        <w:ilvl w:val="2"/>
        <w:numId w:val="3"/>
      </w:numPr>
    </w:pPr>
  </w:style>
  <w:style w:type="paragraph" w:customStyle="1" w:styleId="ListBullet1Level4">
    <w:name w:val="List Bullet 1 (Level 4)"/>
    <w:basedOn w:val="Text1"/>
    <w:semiHidden/>
    <w:unhideWhenUsed/>
    <w:pPr>
      <w:numPr>
        <w:ilvl w:val="3"/>
        <w:numId w:val="3"/>
      </w:numPr>
    </w:p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18"/>
    </w:rPr>
  </w:style>
  <w:style w:type="character" w:customStyle="1" w:styleId="CommentTextChar">
    <w:name w:val="Comment Text Char"/>
    <w:basedOn w:val="DefaultParagraphFont"/>
    <w:link w:val="CommentText"/>
    <w:uiPriority w:val="99"/>
    <w:rPr>
      <w:sz w:val="20"/>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18"/>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spacing w:after="0" w:line="240" w:lineRule="auto"/>
      <w:ind w:left="720"/>
    </w:pPr>
    <w:rPr>
      <w:rFonts w:ascii="Calibri" w:hAnsi="Calibri" w:cs="Calibri"/>
      <w:szCs w:val="22"/>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0"/>
    <w:qFormat/>
    <w:pPr>
      <w:keepNext/>
      <w:numPr>
        <w:numId w:val="4"/>
      </w:numPr>
      <w:spacing w:before="240" w:after="240" w:line="240" w:lineRule="auto"/>
      <w:jc w:val="both"/>
      <w:outlineLvl w:val="0"/>
    </w:pPr>
    <w:rPr>
      <w:rFonts w:ascii="Times New Roman" w:eastAsia="Times New Roman" w:hAnsi="Times New Roman" w:cs="Times New Roman"/>
      <w:b/>
      <w:smallCaps/>
      <w:sz w:val="24"/>
    </w:rPr>
  </w:style>
  <w:style w:type="paragraph" w:styleId="Heading2">
    <w:name w:val="heading 2"/>
    <w:basedOn w:val="Normal"/>
    <w:next w:val="Normal"/>
    <w:link w:val="Heading2Char"/>
    <w:uiPriority w:val="90"/>
    <w:qFormat/>
    <w:pPr>
      <w:keepNext/>
      <w:numPr>
        <w:ilvl w:val="1"/>
        <w:numId w:val="4"/>
      </w:numPr>
      <w:spacing w:after="240" w:line="240" w:lineRule="auto"/>
      <w:jc w:val="both"/>
      <w:outlineLvl w:val="1"/>
    </w:pPr>
    <w:rPr>
      <w:rFonts w:ascii="Times New Roman" w:eastAsia="Times New Roman" w:hAnsi="Times New Roman" w:cs="Times New Roman"/>
      <w:b/>
      <w:sz w:val="24"/>
    </w:rPr>
  </w:style>
  <w:style w:type="paragraph" w:styleId="Heading3">
    <w:name w:val="heading 3"/>
    <w:basedOn w:val="Normal"/>
    <w:next w:val="Normal"/>
    <w:link w:val="Heading3Char"/>
    <w:uiPriority w:val="90"/>
    <w:qFormat/>
    <w:pPr>
      <w:keepNext/>
      <w:numPr>
        <w:ilvl w:val="2"/>
        <w:numId w:val="4"/>
      </w:numPr>
      <w:spacing w:after="240" w:line="240" w:lineRule="auto"/>
      <w:jc w:val="both"/>
      <w:outlineLvl w:val="2"/>
    </w:pPr>
    <w:rPr>
      <w:rFonts w:ascii="Times New Roman" w:eastAsia="Times New Roman" w:hAnsi="Times New Roman" w:cs="Times New Roman"/>
      <w:i/>
      <w:sz w:val="24"/>
    </w:rPr>
  </w:style>
  <w:style w:type="paragraph" w:styleId="Heading4">
    <w:name w:val="heading 4"/>
    <w:basedOn w:val="Normal"/>
    <w:next w:val="Normal"/>
    <w:link w:val="Heading4Char"/>
    <w:uiPriority w:val="90"/>
    <w:qFormat/>
    <w:pPr>
      <w:keepNext/>
      <w:numPr>
        <w:ilvl w:val="3"/>
        <w:numId w:val="4"/>
      </w:numPr>
      <w:spacing w:after="240" w:line="240" w:lineRule="auto"/>
      <w:jc w:val="both"/>
      <w:outlineLvl w:val="3"/>
    </w:pPr>
    <w:rPr>
      <w:rFonts w:ascii="Times New Roman" w:eastAsia="Times New Roman" w:hAnsi="Times New Roman" w:cs="Times New Roman"/>
      <w:sz w:val="24"/>
    </w:rPr>
  </w:style>
  <w:style w:type="paragraph" w:styleId="Heading5">
    <w:name w:val="heading 5"/>
    <w:basedOn w:val="Normal"/>
    <w:next w:val="Normal"/>
    <w:link w:val="Heading5Char"/>
    <w:semiHidden/>
    <w:pPr>
      <w:keepNext/>
      <w:numPr>
        <w:ilvl w:val="4"/>
        <w:numId w:val="4"/>
      </w:numPr>
      <w:spacing w:after="240" w:line="240" w:lineRule="auto"/>
      <w:jc w:val="both"/>
      <w:outlineLvl w:val="4"/>
    </w:pPr>
    <w:rPr>
      <w:rFonts w:ascii="Times New Roman" w:eastAsia="Times New Roman" w:hAnsi="Times New Roman" w:cs="Times New Roman"/>
      <w:sz w:val="24"/>
    </w:rPr>
  </w:style>
  <w:style w:type="paragraph" w:styleId="Heading6">
    <w:name w:val="heading 6"/>
    <w:basedOn w:val="Normal"/>
    <w:next w:val="Normal"/>
    <w:link w:val="Heading6Char"/>
    <w:semiHidden/>
    <w:pPr>
      <w:keepNext/>
      <w:numPr>
        <w:ilvl w:val="5"/>
        <w:numId w:val="4"/>
      </w:numPr>
      <w:spacing w:after="240" w:line="240" w:lineRule="auto"/>
      <w:jc w:val="both"/>
      <w:outlineLvl w:val="5"/>
    </w:pPr>
    <w:rPr>
      <w:rFonts w:ascii="Times New Roman" w:eastAsia="Times New Roman" w:hAnsi="Times New Roman" w:cs="Times New Roman"/>
      <w:sz w:val="24"/>
    </w:rPr>
  </w:style>
  <w:style w:type="paragraph" w:styleId="Heading7">
    <w:name w:val="heading 7"/>
    <w:basedOn w:val="Normal"/>
    <w:next w:val="Normal"/>
    <w:link w:val="Heading7Char"/>
    <w:semiHidden/>
    <w:pPr>
      <w:keepNext/>
      <w:numPr>
        <w:ilvl w:val="6"/>
        <w:numId w:val="4"/>
      </w:numPr>
      <w:spacing w:after="240" w:line="240" w:lineRule="auto"/>
      <w:jc w:val="both"/>
      <w:outlineLvl w:val="6"/>
    </w:pPr>
    <w:rPr>
      <w:rFonts w:ascii="Times New Roman" w:eastAsia="Times New Roman" w:hAnsi="Times New Roman" w:cs="Times New Roman"/>
      <w:sz w:val="24"/>
    </w:rPr>
  </w:style>
  <w:style w:type="paragraph" w:styleId="Heading8">
    <w:name w:val="heading 8"/>
    <w:basedOn w:val="Normal"/>
    <w:next w:val="Normal"/>
    <w:link w:val="Heading8Char"/>
    <w:semiHidden/>
    <w:pPr>
      <w:keepNext/>
      <w:numPr>
        <w:ilvl w:val="7"/>
        <w:numId w:val="4"/>
      </w:numPr>
      <w:spacing w:after="240" w:line="240" w:lineRule="auto"/>
      <w:jc w:val="both"/>
      <w:outlineLvl w:val="7"/>
    </w:pPr>
    <w:rPr>
      <w:rFonts w:ascii="Times New Roman" w:eastAsia="Times New Roman" w:hAnsi="Times New Roman" w:cs="Times New Roman"/>
      <w:sz w:val="24"/>
    </w:rPr>
  </w:style>
  <w:style w:type="paragraph" w:styleId="Heading9">
    <w:name w:val="heading 9"/>
    <w:basedOn w:val="Normal"/>
    <w:next w:val="Normal"/>
    <w:link w:val="Heading9Char"/>
    <w:semiHidden/>
    <w:pPr>
      <w:keepNext/>
      <w:numPr>
        <w:ilvl w:val="8"/>
        <w:numId w:val="4"/>
      </w:numPr>
      <w:spacing w:after="240" w:line="240" w:lineRule="auto"/>
      <w:jc w:val="both"/>
      <w:outlineLvl w:val="8"/>
    </w:pPr>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lang w:eastAsia="bg-BG" w:bidi="bg-BG"/>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4"/>
      <w:lang w:eastAsia="bg-BG" w:bidi="bg-BG"/>
    </w:rPr>
  </w:style>
  <w:style w:type="character" w:customStyle="1" w:styleId="Heading3Char">
    <w:name w:val="Heading 3 Char"/>
    <w:basedOn w:val="DefaultParagraphFont"/>
    <w:link w:val="Heading3"/>
    <w:uiPriority w:val="90"/>
    <w:rPr>
      <w:rFonts w:ascii="Times New Roman" w:eastAsia="Times New Roman" w:hAnsi="Times New Roman" w:cs="Times New Roman"/>
      <w:i/>
      <w:sz w:val="24"/>
      <w:lang w:eastAsia="bg-BG" w:bidi="bg-BG"/>
    </w:rPr>
  </w:style>
  <w:style w:type="character" w:customStyle="1" w:styleId="Heading4Char">
    <w:name w:val="Heading 4 Char"/>
    <w:basedOn w:val="DefaultParagraphFont"/>
    <w:link w:val="Heading4"/>
    <w:uiPriority w:val="90"/>
    <w:rPr>
      <w:rFonts w:ascii="Times New Roman" w:eastAsia="Times New Roman" w:hAnsi="Times New Roman" w:cs="Times New Roman"/>
      <w:sz w:val="24"/>
      <w:lang w:eastAsia="bg-BG" w:bidi="bg-BG"/>
    </w:rPr>
  </w:style>
  <w:style w:type="character" w:customStyle="1" w:styleId="Heading5Char">
    <w:name w:val="Heading 5 Char"/>
    <w:basedOn w:val="DefaultParagraphFont"/>
    <w:link w:val="Heading5"/>
    <w:semiHidden/>
    <w:rPr>
      <w:rFonts w:ascii="Times New Roman" w:eastAsia="Times New Roman" w:hAnsi="Times New Roman" w:cs="Times New Roman"/>
      <w:sz w:val="24"/>
      <w:lang w:eastAsia="bg-BG" w:bidi="bg-BG"/>
    </w:rPr>
  </w:style>
  <w:style w:type="character" w:customStyle="1" w:styleId="Heading6Char">
    <w:name w:val="Heading 6 Char"/>
    <w:basedOn w:val="DefaultParagraphFont"/>
    <w:link w:val="Heading6"/>
    <w:semiHidden/>
    <w:rPr>
      <w:rFonts w:ascii="Times New Roman" w:eastAsia="Times New Roman" w:hAnsi="Times New Roman" w:cs="Times New Roman"/>
      <w:sz w:val="24"/>
      <w:lang w:eastAsia="bg-BG" w:bidi="bg-BG"/>
    </w:rPr>
  </w:style>
  <w:style w:type="character" w:customStyle="1" w:styleId="Heading7Char">
    <w:name w:val="Heading 7 Char"/>
    <w:basedOn w:val="DefaultParagraphFont"/>
    <w:link w:val="Heading7"/>
    <w:semiHidden/>
    <w:rPr>
      <w:rFonts w:ascii="Times New Roman" w:eastAsia="Times New Roman" w:hAnsi="Times New Roman" w:cs="Times New Roman"/>
      <w:sz w:val="24"/>
      <w:lang w:eastAsia="bg-BG" w:bidi="bg-BG"/>
    </w:rPr>
  </w:style>
  <w:style w:type="character" w:customStyle="1" w:styleId="Heading8Char">
    <w:name w:val="Heading 8 Char"/>
    <w:basedOn w:val="DefaultParagraphFont"/>
    <w:link w:val="Heading8"/>
    <w:semiHidden/>
    <w:rPr>
      <w:rFonts w:ascii="Times New Roman" w:eastAsia="Times New Roman" w:hAnsi="Times New Roman" w:cs="Times New Roman"/>
      <w:sz w:val="24"/>
      <w:lang w:eastAsia="bg-BG" w:bidi="bg-BG"/>
    </w:rPr>
  </w:style>
  <w:style w:type="character" w:customStyle="1" w:styleId="Heading9Char">
    <w:name w:val="Heading 9 Char"/>
    <w:basedOn w:val="DefaultParagraphFont"/>
    <w:link w:val="Heading9"/>
    <w:semiHidden/>
    <w:rPr>
      <w:rFonts w:ascii="Times New Roman" w:eastAsia="Times New Roman" w:hAnsi="Times New Roman" w:cs="Times New Roman"/>
      <w:sz w:val="24"/>
      <w:lang w:eastAsia="bg-BG" w:bidi="bg-BG"/>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itreobjet">
    <w:name w:val="Titre objet"/>
    <w:next w:val="Normal"/>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rPr>
  </w:style>
  <w:style w:type="paragraph" w:customStyle="1" w:styleId="Heading">
    <w:name w:val="Heading"/>
    <w:next w:val="Normal"/>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bg-BG" w:eastAsia="bg-BG" w:bidi="bg-BG"/>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rPr>
  </w:style>
  <w:style w:type="paragraph" w:customStyle="1" w:styleId="ListBullet1">
    <w:name w:val="List Bullet 1"/>
    <w:basedOn w:val="Text1"/>
    <w:pPr>
      <w:numPr>
        <w:numId w:val="3"/>
      </w:numPr>
    </w:pPr>
  </w:style>
  <w:style w:type="paragraph" w:customStyle="1" w:styleId="ListBullet1Level2">
    <w:name w:val="List Bullet 1 (Level 2)"/>
    <w:basedOn w:val="Text1"/>
    <w:pPr>
      <w:numPr>
        <w:ilvl w:val="1"/>
        <w:numId w:val="3"/>
      </w:numPr>
    </w:pPr>
  </w:style>
  <w:style w:type="paragraph" w:customStyle="1" w:styleId="ListBullet1Level3">
    <w:name w:val="List Bullet 1 (Level 3)"/>
    <w:basedOn w:val="Text1"/>
    <w:semiHidden/>
    <w:unhideWhenUsed/>
    <w:pPr>
      <w:numPr>
        <w:ilvl w:val="2"/>
        <w:numId w:val="3"/>
      </w:numPr>
    </w:pPr>
  </w:style>
  <w:style w:type="paragraph" w:customStyle="1" w:styleId="ListBullet1Level4">
    <w:name w:val="List Bullet 1 (Level 4)"/>
    <w:basedOn w:val="Text1"/>
    <w:semiHidden/>
    <w:unhideWhenUsed/>
    <w:pPr>
      <w:numPr>
        <w:ilvl w:val="3"/>
        <w:numId w:val="3"/>
      </w:numPr>
    </w:p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18"/>
    </w:rPr>
  </w:style>
  <w:style w:type="character" w:customStyle="1" w:styleId="CommentTextChar">
    <w:name w:val="Comment Text Char"/>
    <w:basedOn w:val="DefaultParagraphFont"/>
    <w:link w:val="CommentText"/>
    <w:uiPriority w:val="99"/>
    <w:rPr>
      <w:sz w:val="20"/>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18"/>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spacing w:after="0" w:line="240" w:lineRule="auto"/>
      <w:ind w:left="720"/>
    </w:pPr>
    <w:rPr>
      <w:rFonts w:ascii="Calibri" w:hAnsi="Calibri" w:cs="Calibri"/>
      <w:szCs w:val="22"/>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3579">
      <w:bodyDiv w:val="1"/>
      <w:marLeft w:val="0"/>
      <w:marRight w:val="0"/>
      <w:marTop w:val="0"/>
      <w:marBottom w:val="0"/>
      <w:divBdr>
        <w:top w:val="none" w:sz="0" w:space="0" w:color="auto"/>
        <w:left w:val="none" w:sz="0" w:space="0" w:color="auto"/>
        <w:bottom w:val="none" w:sz="0" w:space="0" w:color="auto"/>
        <w:right w:val="none" w:sz="0" w:space="0" w:color="auto"/>
      </w:divBdr>
    </w:div>
    <w:div w:id="11617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info/brexit/brexit-preparedness/preparedness-notices_b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85BA-AE0D-40B5-B676-93CB79D50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617F5-2D5D-4867-87CB-E70F2B547B57}">
  <ds:schemaRefs>
    <ds:schemaRef ds:uri="25173920-bf43-43cc-9123-1897e847dfc2"/>
    <ds:schemaRef ds:uri="http://schemas.microsoft.com/office/2006/documentManagement/types"/>
    <ds:schemaRef ds:uri="http://schemas.microsoft.com/office/2006/metadata/properties"/>
    <ds:schemaRef ds:uri="http://purl.org/dc/terms/"/>
    <ds:schemaRef ds:uri="http://purl.org/dc/elements/1.1/"/>
    <ds:schemaRef ds:uri="http://schemas.microsoft.com/sharepoint/v3"/>
    <ds:schemaRef ds:uri="http://www.w3.org/XML/1998/namespace"/>
    <ds:schemaRef ds:uri="http://schemas.microsoft.com/office/infopath/2007/PartnerControls"/>
    <ds:schemaRef ds:uri="http://schemas.openxmlformats.org/package/2006/metadata/core-properties"/>
    <ds:schemaRef ds:uri="http://schemas.microsoft.com/sharepoint/v3/fields"/>
    <ds:schemaRef ds:uri="http://purl.org/dc/dcmitype/"/>
  </ds:schemaRefs>
</ds:datastoreItem>
</file>

<file path=customXml/itemProps3.xml><?xml version="1.0" encoding="utf-8"?>
<ds:datastoreItem xmlns:ds="http://schemas.openxmlformats.org/officeDocument/2006/customXml" ds:itemID="{35434AD6-ED23-41BF-97A1-2D6BFBBB8623}">
  <ds:schemaRefs>
    <ds:schemaRef ds:uri="http://schemas.microsoft.com/sharepoint/v3/contenttype/forms"/>
  </ds:schemaRefs>
</ds:datastoreItem>
</file>

<file path=customXml/itemProps4.xml><?xml version="1.0" encoding="utf-8"?>
<ds:datastoreItem xmlns:ds="http://schemas.openxmlformats.org/officeDocument/2006/customXml" ds:itemID="{53429D2E-25AD-447D-A764-1F4169D824BD}">
  <ds:schemaRefs>
    <ds:schemaRef ds:uri="office.server.policy"/>
  </ds:schemaRefs>
</ds:datastoreItem>
</file>

<file path=customXml/itemProps5.xml><?xml version="1.0" encoding="utf-8"?>
<ds:datastoreItem xmlns:ds="http://schemas.openxmlformats.org/officeDocument/2006/customXml" ds:itemID="{AA28D250-5BD6-4E80-98D1-646ABFC8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1580</Words>
  <Characters>9594</Characters>
  <Application>Microsoft Office Word</Application>
  <DocSecurity>0</DocSecurity>
  <Lines>159</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2019-04-10T08:23:00Z</dcterms:created>
  <dcterms:modified xsi:type="dcterms:W3CDTF">2019-04-10T09:39:00Z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ontentTypeId">
    <vt:lpwstr>0x010100258AA79CEB83498886A3A0868112325000D33D44CF0C8FEB45875F235DEEF2E1B9</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First annex">
    <vt:lpwstr>5</vt:lpwstr>
  </property>
  <property fmtid="{D5CDD505-2E9C-101B-9397-08002B2CF9AE}" pid="7" name="Last annex">
    <vt:lpwstr>5</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Created using">
    <vt:lpwstr>LW 6.0.1, Build 20180503</vt:lpwstr>
  </property>
</Properties>
</file>