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F54DCB0-42C5-4C53-B6FE-6FC0ADDB00D9" style="width:450.8pt;height:488.3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1"/>
          <w:cols w:space="720"/>
          <w:docGrid w:linePitch="360"/>
        </w:sectPr>
      </w:pPr>
    </w:p>
    <w:p>
      <w:pPr>
        <w:pStyle w:val="Heading1"/>
        <w:rPr>
          <w:noProof/>
        </w:rPr>
      </w:pPr>
      <w:bookmarkStart w:id="1" w:name="_GoBack"/>
      <w:bookmarkEnd w:id="1"/>
      <w:r>
        <w:rPr>
          <w:noProof/>
        </w:rPr>
        <w:lastRenderedPageBreak/>
        <w:t>Inledning</w:t>
      </w:r>
    </w:p>
    <w:p>
      <w:pPr>
        <w:pStyle w:val="Text1"/>
        <w:ind w:left="0"/>
        <w:rPr>
          <w:noProof/>
        </w:rPr>
      </w:pPr>
      <w:r>
        <w:rPr>
          <w:noProof/>
        </w:rPr>
        <w:t xml:space="preserve">Den 29 mars 2017 anmälde Förenade kungariket sin avsikt att utträda ur unionen. </w:t>
      </w:r>
      <w:r>
        <w:rPr>
          <w:noProof/>
          <w:color w:val="000000"/>
          <w:u w:color="000000"/>
          <w:bdr w:val="nil"/>
        </w:rPr>
        <w:t>Kommissionen anser fortfarande att den bästa utgången vore att Förenade kungariket utträder ur unionen på ett ordnat sätt på grundval av det utträdesavtal som har överenskommits med den brittiska regeringen och som godkändes av Europeiska rådet (artikel 50) den 25 november 2018. Kommissionen fortsätter att inrikta sina ansträngningar på det målet. Två dagar före den 12 april</w:t>
      </w:r>
      <w:r>
        <w:rPr>
          <w:noProof/>
        </w:rPr>
        <w:t xml:space="preserve"> 2019, den förlängda tidsfrist som fastställts </w:t>
      </w:r>
      <w:r>
        <w:rPr>
          <w:noProof/>
          <w:color w:val="000000"/>
          <w:u w:color="000000"/>
          <w:bdr w:val="nil"/>
        </w:rPr>
        <w:t>av Europeiska rådet</w:t>
      </w:r>
      <w:r>
        <w:rPr>
          <w:noProof/>
          <w:color w:val="000000"/>
          <w:u w:color="000000"/>
          <w:bdr w:val="nil"/>
          <w:vertAlign w:val="superscript"/>
        </w:rPr>
        <w:footnoteReference w:id="2"/>
      </w:r>
      <w:r>
        <w:rPr>
          <w:noProof/>
          <w:color w:val="000000"/>
          <w:u w:color="000000"/>
          <w:bdr w:val="nil"/>
        </w:rPr>
        <w:t>, har dock sannolikheten för ett oordnat brittiskt utträde ur unionen emellertid ökat betydligt.</w:t>
      </w:r>
      <w:r>
        <w:rPr>
          <w:noProof/>
        </w:rPr>
        <w:t xml:space="preserve"> </w:t>
      </w:r>
    </w:p>
    <w:p>
      <w:pPr>
        <w:pStyle w:val="Heading1"/>
        <w:rPr>
          <w:noProof/>
        </w:rPr>
      </w:pPr>
      <w:r>
        <w:rPr>
          <w:noProof/>
        </w:rPr>
        <w:t xml:space="preserve">Beredskapsplanering inom fiskerisektorn </w:t>
      </w:r>
    </w:p>
    <w:p>
      <w:pPr>
        <w:pStyle w:val="Text1"/>
        <w:ind w:left="0"/>
        <w:rPr>
          <w:noProof/>
        </w:rPr>
      </w:pPr>
      <w:r>
        <w:rPr>
          <w:noProof/>
        </w:rPr>
        <w:t xml:space="preserve">Efter ett utträde utan avtal kommer tillträdet till Förenade kungarikets vatten att regleras av brittisk lagstiftning i enlighet med internationell rätt. </w:t>
      </w:r>
    </w:p>
    <w:p>
      <w:pPr>
        <w:pStyle w:val="Text1"/>
        <w:ind w:left="0"/>
        <w:rPr>
          <w:noProof/>
        </w:rPr>
      </w:pPr>
      <w:r>
        <w:rPr>
          <w:noProof/>
        </w:rPr>
        <w:t>Europeiska unionen är beredd att fortsätta att ge Förenade kungarikets fartyg tillträde fram till slutet av 2019 under förutsättning att Förenade kungariket fortsätter att bevilja EU-fartygen tillträde. Som en beredskapsåtgärd har Europeiska unionen antagit den nödvändiga rättsliga grunden för att ge EU:s och Förenade kungarikets fartyg tillstånd att fortsätta att fiska i varandras vatten till och med den 31 december 2019, under iakttagande av de överenskomna villkoren i 2019 års förordningar om fiskemöjligheter</w:t>
      </w:r>
      <w:r>
        <w:rPr>
          <w:rStyle w:val="FootnoteReference"/>
          <w:noProof/>
        </w:rPr>
        <w:footnoteReference w:id="3"/>
      </w:r>
      <w:r>
        <w:rPr>
          <w:noProof/>
        </w:rPr>
        <w:t xml:space="preserve"> som antogs när Förenade kungariket fortfarande var en medlemsstat. </w:t>
      </w:r>
    </w:p>
    <w:p>
      <w:pPr>
        <w:pStyle w:val="Text1"/>
        <w:ind w:left="0"/>
        <w:rPr>
          <w:noProof/>
        </w:rPr>
      </w:pPr>
      <w:r>
        <w:rPr>
          <w:noProof/>
        </w:rPr>
        <w:t>För den händelse att Förenade kungariket skulle fortsätta att bevilja tillträde för EU-fartygen, samarbetar kommissionen nära med medlemsstaterna för att minimera alla eventuella avbrott i samband med erhållandet av tillstånd för EU-fartygens fiskeverksamhet i Förenade kungarikets vatten. För genomförandet av denna beredskapsåtgärd har kommissionen och medlemsstaterna vidtagit alla åtgärder som krävs för att kunna översända förteckningen över de fartyg som ansöker om tillstånd att fiska i Förenade kungarikets vatten så snart Förenade kungariket blir ett tredjeland.</w:t>
      </w:r>
    </w:p>
    <w:p>
      <w:pPr>
        <w:pStyle w:val="Text1"/>
        <w:ind w:left="0"/>
        <w:rPr>
          <w:noProof/>
        </w:rPr>
      </w:pPr>
      <w:r>
        <w:rPr>
          <w:noProof/>
        </w:rPr>
        <w:t>Det övergripande målet förblir att upprätthålla fiskeverksamheten i den utsträckning det är möjligt. Unionen har dock vidtagit åtgärder för att stå beredd om Förenade kungariket skulle besluta att neka EU-fartygen tillträde till Förenade kungarikets vatten. Unionen har anpassat det befintliga rättsliga instrumentet så att medlemsstaterna kan bevilja ekonomisk ersättning till de fiskare som har ett avsevärt beroende av tillträdet till Förenade kungarikets vatten och som tillfälligt måste upphöra med denna verksamhet om de inte längre har tillträde till Förenade kungarikets vatten</w:t>
      </w:r>
      <w:r>
        <w:rPr>
          <w:rStyle w:val="FootnoteReference"/>
          <w:noProof/>
        </w:rPr>
        <w:footnoteReference w:id="4"/>
      </w:r>
      <w:r>
        <w:rPr>
          <w:noProof/>
        </w:rPr>
        <w:t xml:space="preserve">. Sådan ersättning för tillfälligt upphörande kompletterar andra åtgärder som redan finns att tillgå inom ramen för Europeiska havs- och fiskerifonden, vilka kan användas för att begränsa de negativa ekonomiska konsekvenserna av Förenade kungarikets utträde ur unionen. </w:t>
      </w:r>
    </w:p>
    <w:p>
      <w:pPr>
        <w:pStyle w:val="Heading1"/>
        <w:rPr>
          <w:noProof/>
        </w:rPr>
      </w:pPr>
      <w:r>
        <w:rPr>
          <w:noProof/>
        </w:rPr>
        <w:t>Återstående frågor rörande fiskeverksamhet</w:t>
      </w:r>
    </w:p>
    <w:p>
      <w:pPr>
        <w:pStyle w:val="Text1"/>
        <w:ind w:left="0"/>
        <w:rPr>
          <w:noProof/>
        </w:rPr>
      </w:pPr>
      <w:r>
        <w:rPr>
          <w:noProof/>
        </w:rPr>
        <w:t>Förenade kungarikets utträde utan ett avtal riskerar att få negativa effekter för fiskerisektorn om EU-fartygen inte längre beviljas tillträde till Förenade kungarikets vatten. Konsekvenserna av ett oordnat Brexit måste bli föremål för en kontinuerlig, detaljerad och systematisk analys från kommissionens, medlemsstaternas och Europeiska fiskerikontrollbyråns (EFCA) sida för att få till stånd snabba och samordnade insatser.</w:t>
      </w:r>
    </w:p>
    <w:p>
      <w:pPr>
        <w:pStyle w:val="Text1"/>
        <w:ind w:left="0"/>
        <w:rPr>
          <w:noProof/>
        </w:rPr>
      </w:pPr>
      <w:r>
        <w:rPr>
          <w:noProof/>
        </w:rPr>
        <w:t>Förlusten av tillträdet till Förenade kungarikets vatten kan komma att öka trycket på bestånden i EU:s vatten och få allvarliga socio-ekonomiska konsekvenser för de EU-fartyg som är starkt beroende av tillträdet till Förenade kungarikets vatten och för dem vars traditionella EU-fiskevatten kan komma att utsättas för ökad verksamhet när fiskeverksamhet förflyttas. Mot bakgrund av principen om lika tillträde är samordning av EU-27-medlemsstaternas och deras flottors insatser nödvändig.</w:t>
      </w:r>
    </w:p>
    <w:p>
      <w:pPr>
        <w:pStyle w:val="Text1"/>
        <w:ind w:left="0"/>
        <w:rPr>
          <w:noProof/>
        </w:rPr>
      </w:pPr>
      <w:r>
        <w:rPr>
          <w:noProof/>
        </w:rPr>
        <w:t>En fullständig eller partiell förflyttning inom EU:s vatten av den fiskeverksamhet som för närvarande bedrivs av EU-27-fartyg i Förenade kungarikets vatten kan komma att medföra allvarliga problem: i) Det finns en risk för att det ökade fisketrycket i EU:s vatten kommer att utarma havets resurser på ett oåterkalleligt sätt, genom att slå ut bestånd och skada ekosystemet. ii) Det finns en risk för att det uppstår tvister mellan olika flottor och fartyg om fiskevattnen i EU:s vatten till följd av ”överbeläggning”.</w:t>
      </w:r>
    </w:p>
    <w:p>
      <w:pPr>
        <w:pStyle w:val="ListBullet1"/>
        <w:numPr>
          <w:ilvl w:val="0"/>
          <w:numId w:val="0"/>
        </w:numPr>
        <w:rPr>
          <w:noProof/>
        </w:rPr>
      </w:pPr>
      <w:r>
        <w:rPr>
          <w:noProof/>
        </w:rPr>
        <w:t xml:space="preserve">En strategi som inte samordnas mellan medlemsstaterna riskerar att äventyra den gemensamma fiskeripolitiken och tillämpningen av lika villkor mellan yrkesfiskare. </w:t>
      </w:r>
    </w:p>
    <w:p>
      <w:pPr>
        <w:pStyle w:val="Heading1"/>
        <w:rPr>
          <w:noProof/>
        </w:rPr>
      </w:pPr>
      <w:r>
        <w:rPr>
          <w:noProof/>
        </w:rPr>
        <w:t xml:space="preserve">Samordnade insatser </w:t>
      </w:r>
    </w:p>
    <w:p>
      <w:pPr>
        <w:pStyle w:val="Text1"/>
        <w:ind w:left="0"/>
        <w:rPr>
          <w:noProof/>
        </w:rPr>
      </w:pPr>
      <w:r>
        <w:rPr>
          <w:noProof/>
        </w:rPr>
        <w:t>Konsekvenserna av ett utträde utan avtal måste hanteras, både nationellt och på EU-nivå. I enlighet med sina befogenheter enligt fördraget är kommissionen redo att spela en samordnande roll.</w:t>
      </w:r>
    </w:p>
    <w:p>
      <w:pPr>
        <w:pStyle w:val="Text1"/>
        <w:ind w:left="0"/>
        <w:rPr>
          <w:noProof/>
        </w:rPr>
      </w:pPr>
      <w:r>
        <w:rPr>
          <w:noProof/>
        </w:rPr>
        <w:t>De principer och åtgärder som föreslås nedan är avsedda att stödja organiserad och samordnad förvaltning av EU-27-medlemsstaternas användning av begränsningsåtgärder till stöd för fiskare i en situation där EU-fartygen, efter utträdesdagen, inte längre skulle ha tillträde till Förenade kungarikets vatten.</w:t>
      </w:r>
    </w:p>
    <w:p>
      <w:pPr>
        <w:pStyle w:val="Text1"/>
        <w:ind w:left="0"/>
        <w:rPr>
          <w:noProof/>
        </w:rPr>
      </w:pPr>
      <w:r>
        <w:rPr>
          <w:noProof/>
        </w:rPr>
        <w:t>De viktigaste samordningsmålen är att</w:t>
      </w:r>
    </w:p>
    <w:p>
      <w:pPr>
        <w:pStyle w:val="ListBullet1"/>
        <w:rPr>
          <w:noProof/>
        </w:rPr>
      </w:pPr>
      <w:r>
        <w:rPr>
          <w:noProof/>
        </w:rPr>
        <w:t>minska avbrott i och upprätthålla EU-flottornas fiskeverksamhet i den utsträckning det är möjligt, med beaktande av de kumulativa effekterna av en sådan förflyttning av fiskeverksamheten, och</w:t>
      </w:r>
    </w:p>
    <w:p>
      <w:pPr>
        <w:pStyle w:val="ListBullet1"/>
        <w:rPr>
          <w:noProof/>
        </w:rPr>
      </w:pPr>
      <w:r>
        <w:rPr>
          <w:noProof/>
        </w:rPr>
        <w:t xml:space="preserve">säkerställa en proportionell och rättvis samordnad användning av begränsningsåtgärderna i fall där förflyttning inte är möjlig eller önskvärd. </w:t>
      </w:r>
    </w:p>
    <w:p>
      <w:pPr>
        <w:pStyle w:val="ListBullet1"/>
        <w:numPr>
          <w:ilvl w:val="0"/>
          <w:numId w:val="0"/>
        </w:numPr>
        <w:rPr>
          <w:noProof/>
        </w:rPr>
      </w:pPr>
      <w:r>
        <w:rPr>
          <w:noProof/>
        </w:rPr>
        <w:t>Huvudriktlinjer:</w:t>
      </w:r>
    </w:p>
    <w:p>
      <w:pPr>
        <w:pStyle w:val="ListBullet1"/>
        <w:numPr>
          <w:ilvl w:val="0"/>
          <w:numId w:val="0"/>
        </w:numPr>
        <w:rPr>
          <w:noProof/>
        </w:rPr>
      </w:pPr>
      <w:r>
        <w:rPr>
          <w:noProof/>
        </w:rPr>
        <w:t xml:space="preserve">Kommissionen står redo att arbeta med de berörda medlemsstaterna på grundval av följande riktlinjer: </w:t>
      </w:r>
    </w:p>
    <w:p>
      <w:pPr>
        <w:pStyle w:val="ListBullet1"/>
        <w:rPr>
          <w:noProof/>
        </w:rPr>
      </w:pPr>
      <w:r>
        <w:rPr>
          <w:noProof/>
        </w:rPr>
        <w:t>Den kumulativa effekten bör beaktas vid bedömning av förflyttning av fiskeverksamhet.</w:t>
      </w:r>
    </w:p>
    <w:p>
      <w:pPr>
        <w:pStyle w:val="ListBullet1"/>
        <w:rPr>
          <w:noProof/>
        </w:rPr>
      </w:pPr>
      <w:r>
        <w:rPr>
          <w:noProof/>
        </w:rPr>
        <w:t>Begränsningsåtgärder bör inriktas på flottor och bestånd som drabbas av konsekvenserna av förlorat tillträde till Förenade kungarikets vatten. XXX</w:t>
      </w:r>
    </w:p>
    <w:p>
      <w:pPr>
        <w:pStyle w:val="ListBullet1"/>
        <w:rPr>
          <w:noProof/>
        </w:rPr>
      </w:pPr>
      <w:r>
        <w:rPr>
          <w:noProof/>
        </w:rPr>
        <w:t>Den samordnade strategin kommer inte vid någon tidpunkt att påverka EU:s förhandlingsposition avseende de framtida förbindelserna med Förenade kungariket. XX</w:t>
      </w:r>
    </w:p>
    <w:p>
      <w:pPr>
        <w:pStyle w:val="Heading2"/>
        <w:rPr>
          <w:noProof/>
        </w:rPr>
      </w:pPr>
      <w:r>
        <w:rPr>
          <w:noProof/>
        </w:rPr>
        <w:t>Rekommenderade åtgärder</w:t>
      </w:r>
    </w:p>
    <w:p>
      <w:pPr>
        <w:pStyle w:val="Heading3"/>
        <w:rPr>
          <w:noProof/>
        </w:rPr>
      </w:pPr>
      <w:r>
        <w:rPr>
          <w:noProof/>
        </w:rPr>
        <w:t>Identifiera och hantera förflyttning</w:t>
      </w:r>
    </w:p>
    <w:p>
      <w:pPr>
        <w:pStyle w:val="Text1"/>
        <w:ind w:left="0"/>
        <w:rPr>
          <w:noProof/>
        </w:rPr>
      </w:pPr>
      <w:r>
        <w:rPr>
          <w:noProof/>
        </w:rPr>
        <w:t>Som ett komplement till de åtgärder som föreskrivs i kontrollförordningen</w:t>
      </w:r>
      <w:r>
        <w:rPr>
          <w:rStyle w:val="FootnoteReference"/>
          <w:noProof/>
        </w:rPr>
        <w:footnoteReference w:id="5"/>
      </w:r>
      <w:r>
        <w:rPr>
          <w:noProof/>
        </w:rPr>
        <w:t xml:space="preserve"> och rådets förordning om EFCA</w:t>
      </w:r>
      <w:r>
        <w:rPr>
          <w:rStyle w:val="FootnoteReference"/>
          <w:noProof/>
        </w:rPr>
        <w:footnoteReference w:id="6"/>
      </w:r>
      <w:r>
        <w:rPr>
          <w:noProof/>
        </w:rPr>
        <w:t xml:space="preserve">, kommer kommissionen att arbeta med de berörda medlemsstaterna för att enas om en frivillig ram för intensifierad övervakning av förändringar i fiskeverksamheten i EU:s vatten. </w:t>
      </w:r>
    </w:p>
    <w:p>
      <w:pPr>
        <w:pStyle w:val="Text1"/>
        <w:ind w:left="0"/>
        <w:rPr>
          <w:noProof/>
        </w:rPr>
      </w:pPr>
      <w:r>
        <w:rPr>
          <w:noProof/>
        </w:rPr>
        <w:t xml:space="preserve">På grundval av en djupgående analys av de aktuella fiskemönstren som gjorts av kommissionen och de berörda medlemsstaterna, och som tagits fram med hjälp av data som lämnats av medlemsstaterna, står kommissionen redo att fortsätta att arbeta tillsammans med de berörda medlemsstaterna för att identifiera relevanta kriterier inom den befintliga ramen i syfte att bedöma hållbarheten i och omfattningen av eventuella förflyttningar. </w:t>
      </w:r>
    </w:p>
    <w:p>
      <w:pPr>
        <w:pStyle w:val="Text1"/>
        <w:ind w:left="0"/>
        <w:rPr>
          <w:noProof/>
        </w:rPr>
      </w:pPr>
      <w:r>
        <w:rPr>
          <w:noProof/>
        </w:rPr>
        <w:t>Kriterierna skulle kunna omfatta ett potentiellt utnyttjande av de fångster som för närvarande tas av Förenade kungariket i EU-27:s vatten, beståndens biologiska kapacitet att klara ett ökat fisketryck i EU-27:s vatten, potentiella möjligheter att sprida fisketrycket, kvotutnyttjandet och de ekonomiska konsekvenserna för de berörda fartygen.</w:t>
      </w:r>
    </w:p>
    <w:p>
      <w:pPr>
        <w:pStyle w:val="Heading3"/>
        <w:rPr>
          <w:noProof/>
        </w:rPr>
      </w:pPr>
      <w:r>
        <w:rPr>
          <w:noProof/>
        </w:rPr>
        <w:t xml:space="preserve">Samordnat utnyttjande av begränsningsåtgärder, inklusive ersättningen i samband med tillfälligt upphörande </w:t>
      </w:r>
    </w:p>
    <w:p>
      <w:pPr>
        <w:pStyle w:val="Text1"/>
        <w:ind w:left="0"/>
        <w:rPr>
          <w:noProof/>
        </w:rPr>
      </w:pPr>
      <w:r>
        <w:rPr>
          <w:noProof/>
        </w:rPr>
        <w:t xml:space="preserve">I fall där förflyttning av fiskeverksamheten inte är möjlig eller önskvärd är det, enligt den analys som nämns ovan, motiverat att välja lämpligt eller lämpliga begränsningsverktyg. Begränsningsåtgärderna kan se olika ut. I enlighet med de institutionella befogenheter som tillkommer den är kommissionen redo att tillsammans med de berörda medlemsstaterna samordna arbetet med att identifiera relevanta instrument samt villkoren för hur sådana instrument ska användas, när så är tillämpligt. </w:t>
      </w:r>
    </w:p>
    <w:p>
      <w:pPr>
        <w:pStyle w:val="Text1"/>
        <w:ind w:left="0"/>
        <w:rPr>
          <w:noProof/>
        </w:rPr>
      </w:pPr>
      <w:r>
        <w:rPr>
          <w:noProof/>
        </w:rPr>
        <w:t>De tänkbara begränsningsverktygen omfattar åtgärder inom ramen för den gemensamma fiskeripolitiken (bland annat inom ramen för artiklarna 9 och 10 i förordning (EU) nr 1380/2013 om fleråriga planer, artikel 12 i kommissionens åtgärder vid ett allvarligt hot mot bevarandet av de marina biologiska resurserna, artikel 13 om medlemsstaternas nödåtgärder, artikel 16 om fastställande av fiskemöjligheter och utbyte av fiskemöjligheter) och inom ramen för förordning nr 508/2014 om Europeiska havs- och fiskerifonden.</w:t>
      </w:r>
    </w:p>
    <w:p>
      <w:pPr>
        <w:pStyle w:val="Text1"/>
        <w:ind w:left="0"/>
        <w:rPr>
          <w:noProof/>
        </w:rPr>
      </w:pPr>
      <w:r>
        <w:rPr>
          <w:noProof/>
        </w:rPr>
        <w:t>Verktygen kan kombineras om det anses nödvändigt.</w:t>
      </w:r>
    </w:p>
    <w:p>
      <w:pPr>
        <w:pStyle w:val="Text1"/>
        <w:ind w:left="0"/>
        <w:rPr>
          <w:noProof/>
        </w:rPr>
      </w:pPr>
      <w:r>
        <w:rPr>
          <w:noProof/>
        </w:rPr>
        <w:t xml:space="preserve">Kommissionen kommer att arbeta med de berörda medlemsstaterna för att utveckla en gemensam strategi för förvaltning av fiskeverksamheten, inklusive möjligheten att använda ersättning för tillfälligt upphörande med fiskeverksamheten som ett verktyg för att kompensera fiskare för verksamhetsbortfall. </w:t>
      </w:r>
    </w:p>
    <w:p>
      <w:pPr>
        <w:pStyle w:val="Text1"/>
        <w:ind w:left="0"/>
        <w:rPr>
          <w:noProof/>
        </w:rPr>
      </w:pPr>
      <w:r>
        <w:rPr>
          <w:noProof/>
        </w:rPr>
        <w:t>Förordning (EU) 2019/497 medger användning av tillfälligt upphörande för att kompensera förluster till följd av förlorat tillträde till Förenade kungarikets vatten. För att kunna använda de möjligheter som medges enligt EHFF-förordningen uppmuntras medlemsstaterna att lämna in detaljerade planer till kommissionen i syfte att (för det fall det blir nödvändigt) kunna utnyttja tillfälligt upphörande under perioden fram till och med den 31 december 2019. På grundval av detta kommer kommissionen att arbeta med medlemsstaterna så att detta verktyg kommer till användning på ett sätt som säkerställer rättvisa och proportionalitet mellan flottor och inom alla fisken som identifierats som relevanta för denna åtgärd.</w:t>
      </w:r>
    </w:p>
    <w:p>
      <w:pPr>
        <w:pStyle w:val="Heading1"/>
        <w:rPr>
          <w:noProof/>
        </w:rPr>
      </w:pPr>
      <w:r>
        <w:rPr>
          <w:noProof/>
        </w:rPr>
        <w:t>Ett fördjupat samarbete med alla berörda aktörer</w:t>
      </w:r>
    </w:p>
    <w:p>
      <w:pPr>
        <w:pStyle w:val="Text1"/>
        <w:ind w:left="0"/>
        <w:rPr>
          <w:noProof/>
        </w:rPr>
      </w:pPr>
      <w:r>
        <w:rPr>
          <w:noProof/>
        </w:rPr>
        <w:t xml:space="preserve">För att underlätta det ovannämnda samarbetet uppmanas medlemsstaterna att ange en kontaktpunkt för direktkommunikation med kommissionen och övriga medlemsstater. Dessutom bör ett operativt nätverk av kontaktpersoner inrättas för att hantera särskilda operativa problem som kan uppstå till följd av ett oordnat utträde. </w:t>
      </w:r>
    </w:p>
    <w:p>
      <w:pPr>
        <w:pStyle w:val="Text1"/>
        <w:ind w:left="0"/>
        <w:rPr>
          <w:noProof/>
        </w:rPr>
      </w:pPr>
      <w:r>
        <w:rPr>
          <w:noProof/>
        </w:rPr>
        <w:t xml:space="preserve">För att samordningen ska bli framgångsrik krävs det att alla berörda parter deltar och axlar sin roll i de nödvändiga insatserna. En stark samordning mellan organisationer som företräder fiskerinäringen är viktig och kan bidra på ett avgörande sätt till att förhindra potentiella konflikter mellan fiskare. Kommissionen kommer att arbeta tillsammans med medlemsstaterna för att fortsätta samråden med organisationer som företräder fiskerinäringen och fortsätta att främja samråd mellan dessa organisationer. </w:t>
      </w:r>
    </w:p>
    <w:p>
      <w:pPr>
        <w:pStyle w:val="Heading1"/>
        <w:rPr>
          <w:noProof/>
        </w:rPr>
      </w:pPr>
      <w:r>
        <w:rPr>
          <w:noProof/>
        </w:rPr>
        <w:t>Ytterligare upplysningar</w:t>
      </w:r>
    </w:p>
    <w:p>
      <w:pPr>
        <w:pStyle w:val="Text1"/>
        <w:ind w:left="0"/>
        <w:rPr>
          <w:noProof/>
        </w:rPr>
      </w:pPr>
      <w:r>
        <w:rPr>
          <w:noProof/>
        </w:rPr>
        <w:t>På kommissionens webbplats kan offentliga myndigheter och berörda parter hitta mer information om vilka konsekvenser ett oordnat brittiskt utträde kommer att medföra för fiskeverksamheten:</w:t>
      </w:r>
    </w:p>
    <w:p>
      <w:pPr>
        <w:pStyle w:val="Text1"/>
        <w:ind w:left="0"/>
        <w:rPr>
          <w:noProof/>
        </w:rPr>
      </w:pPr>
      <w:hyperlink r:id="rId20">
        <w:r>
          <w:rPr>
            <w:rStyle w:val="Hyperlink"/>
            <w:noProof/>
          </w:rPr>
          <w:t>https://ec.europa.eu/info/brexit/brexit-preparedness/preparedness-notices_en</w:t>
        </w:r>
      </w:hyperlink>
    </w:p>
    <w:p>
      <w:pPr>
        <w:rPr>
          <w:noProof/>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38578"/>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940758"/>
      <w:docPartObj>
        <w:docPartGallery w:val="Page Numbers (Bottom of Page)"/>
        <w:docPartUnique/>
      </w:docPartObj>
    </w:sdtPr>
    <w:sdtEndPr>
      <w:rPr>
        <w:rFonts w:ascii="Times New Roman" w:hAnsi="Times New Roman" w:cs="Times New Roman"/>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footnoteRef/>
      </w:r>
      <w:r>
        <w:t xml:space="preserve"> </w:t>
      </w:r>
      <w:r>
        <w:tab/>
        <w:t>Europeiska rådets beslut 2019/476 antaget i samförstånd med Förenade kungariket av den 22 mars 2019 om förlängning av tidsfristen enligt artikel 50.3 i EU-fördraget (EUT L 80, 22.3.2019, s. 1).</w:t>
      </w:r>
    </w:p>
  </w:footnote>
  <w:footnote w:id="3">
    <w:p>
      <w:pPr>
        <w:pStyle w:val="FootnoteText"/>
        <w:tabs>
          <w:tab w:val="left" w:pos="360"/>
        </w:tabs>
        <w:ind w:left="360" w:hanging="360"/>
      </w:pPr>
      <w:r>
        <w:rPr>
          <w:rStyle w:val="FootnoteReference"/>
        </w:rPr>
        <w:footnoteRef/>
      </w:r>
      <w:r>
        <w:t xml:space="preserve"> </w:t>
      </w:r>
      <w:r>
        <w:tab/>
        <w:t>Rådets förordning (EU) 2019/124 av den 30 januari 2019 om fastställande för år 2019 av fiskemöjligheterna för vissa fiskbestånd och grupper av fiskbestånd (EUT L 29, 31.1.2019, s. 1). Rådets förordning (EU) 2018/2025 av den 17 december 2018 om fastställande av fiskemöjligheterna för unionsfiskefartyg med avseende på vissa djuphavsbestånd för 2019 och 2020 (EUT L 325, 20.12.2018, s. 7).</w:t>
      </w:r>
    </w:p>
  </w:footnote>
  <w:footnote w:id="4">
    <w:p>
      <w:pPr>
        <w:pStyle w:val="FootnoteText"/>
      </w:pPr>
      <w:r>
        <w:rPr>
          <w:rStyle w:val="FootnoteReference"/>
        </w:rPr>
        <w:footnoteRef/>
      </w:r>
      <w:r>
        <w:t xml:space="preserve"> </w:t>
      </w:r>
      <w:r>
        <w:tab/>
        <w:t>Europaparlamentets och rådets förordning (EU) 2019/497 av den 25 mars 2019 om ändring av förordning (EU) nr 508/2014 vad gäller vissa regler som rör Europeiska havs- och fiskerifonden med anledning av Förenade kungarikets utträde ur unionen (EUT L 85, 27.3.2019, s. 22 ).</w:t>
      </w:r>
    </w:p>
  </w:footnote>
  <w:footnote w:id="5">
    <w:p>
      <w:pPr>
        <w:pStyle w:val="FootnoteText"/>
      </w:pPr>
      <w:r>
        <w:rPr>
          <w:rStyle w:val="FootnoteReference"/>
        </w:rPr>
        <w:footnoteRef/>
      </w:r>
      <w:r>
        <w:t xml:space="preserve"> </w:t>
      </w:r>
      <w:r>
        <w:tab/>
        <w:t>Rådets förordning (EG) nr 1224/2009 av den 20 november 2009 om införande av ett kontrollsystem i gemenskapen för att säkerställa att bestämmelserna i den gemensamma fiskeripolitiken efterlevs (EUT L 343, 22.12.2009, s. 1).</w:t>
      </w:r>
    </w:p>
  </w:footnote>
  <w:footnote w:id="6">
    <w:p>
      <w:pPr>
        <w:pStyle w:val="FootnoteText"/>
        <w:rPr>
          <w:lang w:val="en-GB"/>
        </w:rPr>
      </w:pPr>
      <w:r>
        <w:rPr>
          <w:rStyle w:val="FootnoteReference"/>
        </w:rPr>
        <w:footnoteRef/>
      </w:r>
      <w:r>
        <w:t xml:space="preserve"> </w:t>
      </w:r>
      <w:r>
        <w:tab/>
        <w:t>Rådets förordning (EG) nr 768/2005 av den 26 april 2005 om inrättande av Europeiska fiskerikontrollbyrån (EUT L 128, 21.5.2005,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39CE"/>
    <w:multiLevelType w:val="hybridMultilevel"/>
    <w:tmpl w:val="EA044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A7730C4"/>
    <w:multiLevelType w:val="multilevel"/>
    <w:tmpl w:val="FF8C2938"/>
    <w:lvl w:ilvl="0">
      <w:start w:val="1"/>
      <w:numFmt w:val="bullet"/>
      <w:pStyle w:val="ListBullet1"/>
      <w:lvlText w:val=""/>
      <w:lvlJc w:val="left"/>
      <w:pPr>
        <w:tabs>
          <w:tab w:val="num" w:pos="283"/>
        </w:tabs>
        <w:ind w:left="283" w:hanging="283"/>
      </w:pPr>
      <w:rPr>
        <w:rFonts w:ascii="Symbol" w:hAnsi="Symbol"/>
      </w:rPr>
    </w:lvl>
    <w:lvl w:ilvl="1">
      <w:start w:val="1"/>
      <w:numFmt w:val="bullet"/>
      <w:pStyle w:val="ListBullet1Level2"/>
      <w:lvlText w:val=""/>
      <w:lvlJc w:val="left"/>
      <w:pPr>
        <w:tabs>
          <w:tab w:val="num" w:pos="567"/>
        </w:tabs>
        <w:ind w:left="567" w:hanging="284"/>
      </w:pPr>
      <w:rPr>
        <w:rFonts w:ascii="Symbol" w:hAnsi="Symbol"/>
      </w:rPr>
    </w:lvl>
    <w:lvl w:ilvl="2">
      <w:start w:val="1"/>
      <w:numFmt w:val="bullet"/>
      <w:pStyle w:val="ListBullet1Level3"/>
      <w:lvlText w:val=""/>
      <w:lvlJc w:val="left"/>
      <w:pPr>
        <w:tabs>
          <w:tab w:val="num" w:pos="850"/>
        </w:tabs>
        <w:ind w:left="850" w:hanging="283"/>
      </w:pPr>
      <w:rPr>
        <w:rFonts w:ascii="Symbol" w:hAnsi="Symbol"/>
      </w:rPr>
    </w:lvl>
    <w:lvl w:ilvl="3">
      <w:start w:val="1"/>
      <w:numFmt w:val="bullet"/>
      <w:pStyle w:val="ListBullet1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C477C97"/>
    <w:multiLevelType w:val="multilevel"/>
    <w:tmpl w:val="14D69CFA"/>
    <w:numStyleLink w:val="ImportedStyle1"/>
  </w:abstractNum>
  <w:abstractNum w:abstractNumId="4">
    <w:nsid w:val="7C65145E"/>
    <w:multiLevelType w:val="multilevel"/>
    <w:tmpl w:val="35D4705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2"/>
  </w:num>
  <w:num w:numId="2">
    <w:abstractNumId w:val="3"/>
  </w:num>
  <w:num w:numId="3">
    <w:abstractNumId w:val="1"/>
  </w:num>
  <w:num w:numId="4">
    <w:abstractNumId w:val="4"/>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hideSpellingErrors/>
  <w:hideGrammaticalErrors/>
  <w:revisionView w:markup="0"/>
  <w:defaultTabStop w:val="720"/>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
    <w:docVar w:name="LW_ANNEX_NBR_FIRST" w:val="5"/>
    <w:docVar w:name="LW_ANNEX_NBR_LAST" w:val="5"/>
    <w:docVar w:name="LW_ANNEX_UNIQUE" w:val="0"/>
    <w:docVar w:name="LW_CORRIGENDUM" w:val="&lt;UNUSED&gt;"/>
    <w:docVar w:name="LW_COVERPAGE_EXISTS" w:val="True"/>
    <w:docVar w:name="LW_COVERPAGE_GUID" w:val="AF54DCB0-42C5-4C53-B6FE-6FC0ADDB00D9"/>
    <w:docVar w:name="LW_COVERPAGE_TYPE" w:val="1"/>
    <w:docVar w:name="LW_CROSSREFERENCE" w:val="&lt;UNUSED&gt;"/>
    <w:docVar w:name="LW_DocType" w:val="NORMAL"/>
    <w:docVar w:name="LW_EMISSION" w:val="10.4.2019"/>
    <w:docVar w:name="LW_EMISSION_ISODATE" w:val="2019-04-10"/>
    <w:docVar w:name="LW_EMISSION_LOCATION" w:val="BRX"/>
    <w:docVar w:name="LW_EMISSION_PREFIX" w:val="Bryssel den "/>
    <w:docVar w:name="LW_EMISSION_SUFFIX" w:val=" "/>
    <w:docVar w:name="LW_ID_DOCTYPE_NONLW" w:val="CP-039"/>
    <w:docVar w:name="LW_LANGUE" w:val="SV"/>
    <w:docVar w:name="LW_LEVEL_OF_SENSITIVITY" w:val="Standard treatment"/>
    <w:docVar w:name="LW_NOM.INST" w:val="EUROPEISKA KOMMISSIONEN"/>
    <w:docVar w:name="LW_NOM.INST_JOINTDOC" w:val="&lt;EMPTY&gt;"/>
    <w:docVar w:name="LW_OBJETACTEPRINCIPAL.CP" w:val="om konsekvenserna av Förenade kungarikets utträde ur unionen utan avtal: unionens samordnade strategi_x000b__x000b_Fiskeverksamhet:_x000b_Samordnad strategi i händelse av att Förenade kungariket utträder ur unionen utan avtal_x000b_"/>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A_x000b_"/>
    <w:docVar w:name="LW_TYPEACTEPRINCIPAL.CP" w:val="MEDDELANDE FRÅN KOMMISSIONEN TILL EUROPAPARLAMENTET, EUROPEISKA RÅDET, RÅDET, EUROPEISKA CENTRALBANKEN, EUROPEISKA EKONOMISKA OCH SOCIALA KOMMITTÉN, REGIONKOMMITTÉN OCH EUROPEISKA INVESTERINGSBANKEN"/>
  </w:docVar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4"/>
      </w:numPr>
      <w:spacing w:before="240" w:after="240" w:line="240" w:lineRule="auto"/>
      <w:jc w:val="both"/>
      <w:outlineLvl w:val="0"/>
    </w:pPr>
    <w:rPr>
      <w:rFonts w:ascii="Times New Roman" w:eastAsia="Times New Roman" w:hAnsi="Times New Roman" w:cs="Times New Roman"/>
      <w:b/>
      <w:smallCaps/>
      <w:sz w:val="24"/>
    </w:rPr>
  </w:style>
  <w:style w:type="paragraph" w:styleId="Heading2">
    <w:name w:val="heading 2"/>
    <w:basedOn w:val="Normal"/>
    <w:next w:val="Normal"/>
    <w:link w:val="Heading2Char"/>
    <w:uiPriority w:val="90"/>
    <w:qFormat/>
    <w:pPr>
      <w:keepNext/>
      <w:numPr>
        <w:ilvl w:val="1"/>
        <w:numId w:val="4"/>
      </w:numPr>
      <w:spacing w:after="240" w:line="240" w:lineRule="auto"/>
      <w:jc w:val="both"/>
      <w:outlineLvl w:val="1"/>
    </w:pPr>
    <w:rPr>
      <w:rFonts w:ascii="Times New Roman" w:eastAsia="Times New Roman" w:hAnsi="Times New Roman" w:cs="Times New Roman"/>
      <w:b/>
      <w:sz w:val="24"/>
    </w:rPr>
  </w:style>
  <w:style w:type="paragraph" w:styleId="Heading3">
    <w:name w:val="heading 3"/>
    <w:basedOn w:val="Normal"/>
    <w:next w:val="Normal"/>
    <w:link w:val="Heading3Char"/>
    <w:uiPriority w:val="90"/>
    <w:qFormat/>
    <w:pPr>
      <w:keepNext/>
      <w:numPr>
        <w:ilvl w:val="2"/>
        <w:numId w:val="4"/>
      </w:numPr>
      <w:spacing w:after="240" w:line="240" w:lineRule="auto"/>
      <w:jc w:val="both"/>
      <w:outlineLvl w:val="2"/>
    </w:pPr>
    <w:rPr>
      <w:rFonts w:ascii="Times New Roman" w:eastAsia="Times New Roman" w:hAnsi="Times New Roman" w:cs="Times New Roman"/>
      <w:i/>
      <w:sz w:val="24"/>
    </w:rPr>
  </w:style>
  <w:style w:type="paragraph" w:styleId="Heading4">
    <w:name w:val="heading 4"/>
    <w:basedOn w:val="Normal"/>
    <w:next w:val="Normal"/>
    <w:link w:val="Heading4Char"/>
    <w:uiPriority w:val="90"/>
    <w:qFormat/>
    <w:pPr>
      <w:keepNext/>
      <w:numPr>
        <w:ilvl w:val="3"/>
        <w:numId w:val="4"/>
      </w:numPr>
      <w:spacing w:after="240" w:line="240" w:lineRule="auto"/>
      <w:jc w:val="both"/>
      <w:outlineLvl w:val="3"/>
    </w:pPr>
    <w:rPr>
      <w:rFonts w:ascii="Times New Roman" w:eastAsia="Times New Roman" w:hAnsi="Times New Roman" w:cs="Times New Roman"/>
      <w:sz w:val="24"/>
    </w:rPr>
  </w:style>
  <w:style w:type="paragraph" w:styleId="Heading5">
    <w:name w:val="heading 5"/>
    <w:basedOn w:val="Normal"/>
    <w:next w:val="Normal"/>
    <w:link w:val="Heading5Char"/>
    <w:semiHidden/>
    <w:pPr>
      <w:keepNext/>
      <w:numPr>
        <w:ilvl w:val="4"/>
        <w:numId w:val="4"/>
      </w:numPr>
      <w:spacing w:after="240" w:line="240" w:lineRule="auto"/>
      <w:jc w:val="both"/>
      <w:outlineLvl w:val="4"/>
    </w:pPr>
    <w:rPr>
      <w:rFonts w:ascii="Times New Roman" w:eastAsia="Times New Roman" w:hAnsi="Times New Roman" w:cs="Times New Roman"/>
      <w:sz w:val="24"/>
    </w:rPr>
  </w:style>
  <w:style w:type="paragraph" w:styleId="Heading6">
    <w:name w:val="heading 6"/>
    <w:basedOn w:val="Normal"/>
    <w:next w:val="Normal"/>
    <w:link w:val="Heading6Char"/>
    <w:semiHidden/>
    <w:pPr>
      <w:keepNext/>
      <w:numPr>
        <w:ilvl w:val="5"/>
        <w:numId w:val="4"/>
      </w:numPr>
      <w:spacing w:after="240" w:line="240" w:lineRule="auto"/>
      <w:jc w:val="both"/>
      <w:outlineLvl w:val="5"/>
    </w:pPr>
    <w:rPr>
      <w:rFonts w:ascii="Times New Roman" w:eastAsia="Times New Roman" w:hAnsi="Times New Roman" w:cs="Times New Roman"/>
      <w:sz w:val="24"/>
    </w:rPr>
  </w:style>
  <w:style w:type="paragraph" w:styleId="Heading7">
    <w:name w:val="heading 7"/>
    <w:basedOn w:val="Normal"/>
    <w:next w:val="Normal"/>
    <w:link w:val="Heading7Char"/>
    <w:semiHidden/>
    <w:pPr>
      <w:keepNext/>
      <w:numPr>
        <w:ilvl w:val="6"/>
        <w:numId w:val="4"/>
      </w:numPr>
      <w:spacing w:after="240" w:line="240" w:lineRule="auto"/>
      <w:jc w:val="both"/>
      <w:outlineLvl w:val="6"/>
    </w:pPr>
    <w:rPr>
      <w:rFonts w:ascii="Times New Roman" w:eastAsia="Times New Roman" w:hAnsi="Times New Roman" w:cs="Times New Roman"/>
      <w:sz w:val="24"/>
    </w:rPr>
  </w:style>
  <w:style w:type="paragraph" w:styleId="Heading8">
    <w:name w:val="heading 8"/>
    <w:basedOn w:val="Normal"/>
    <w:next w:val="Normal"/>
    <w:link w:val="Heading8Char"/>
    <w:semiHidden/>
    <w:pPr>
      <w:keepNext/>
      <w:numPr>
        <w:ilvl w:val="7"/>
        <w:numId w:val="4"/>
      </w:numPr>
      <w:spacing w:after="240" w:line="240" w:lineRule="auto"/>
      <w:jc w:val="both"/>
      <w:outlineLvl w:val="7"/>
    </w:pPr>
    <w:rPr>
      <w:rFonts w:ascii="Times New Roman" w:eastAsia="Times New Roman" w:hAnsi="Times New Roman" w:cs="Times New Roman"/>
      <w:sz w:val="24"/>
    </w:rPr>
  </w:style>
  <w:style w:type="paragraph" w:styleId="Heading9">
    <w:name w:val="heading 9"/>
    <w:basedOn w:val="Normal"/>
    <w:next w:val="Normal"/>
    <w:link w:val="Heading9Char"/>
    <w:semiHidden/>
    <w:pPr>
      <w:keepNext/>
      <w:numPr>
        <w:ilvl w:val="8"/>
        <w:numId w:val="4"/>
      </w:numPr>
      <w:spacing w:after="240" w:line="240" w:lineRule="auto"/>
      <w:jc w:val="both"/>
      <w:outlineLvl w:val="8"/>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lang w:eastAsia="sv-SE" w:bidi="sv-SE"/>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lang w:eastAsia="sv-SE" w:bidi="sv-S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lang w:eastAsia="sv-SE" w:bidi="sv-S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lang w:eastAsia="sv-SE" w:bidi="sv-SE"/>
    </w:rPr>
  </w:style>
  <w:style w:type="character" w:customStyle="1" w:styleId="Heading5Char">
    <w:name w:val="Heading 5 Char"/>
    <w:basedOn w:val="DefaultParagraphFont"/>
    <w:link w:val="Heading5"/>
    <w:semiHidden/>
    <w:rPr>
      <w:rFonts w:ascii="Times New Roman" w:eastAsia="Times New Roman" w:hAnsi="Times New Roman" w:cs="Times New Roman"/>
      <w:sz w:val="24"/>
      <w:lang w:eastAsia="sv-SE" w:bidi="sv-SE"/>
    </w:rPr>
  </w:style>
  <w:style w:type="character" w:customStyle="1" w:styleId="Heading6Char">
    <w:name w:val="Heading 6 Char"/>
    <w:basedOn w:val="DefaultParagraphFont"/>
    <w:link w:val="Heading6"/>
    <w:semiHidden/>
    <w:rPr>
      <w:rFonts w:ascii="Times New Roman" w:eastAsia="Times New Roman" w:hAnsi="Times New Roman" w:cs="Times New Roman"/>
      <w:sz w:val="24"/>
      <w:lang w:eastAsia="sv-SE" w:bidi="sv-SE"/>
    </w:rPr>
  </w:style>
  <w:style w:type="character" w:customStyle="1" w:styleId="Heading7Char">
    <w:name w:val="Heading 7 Char"/>
    <w:basedOn w:val="DefaultParagraphFont"/>
    <w:link w:val="Heading7"/>
    <w:semiHidden/>
    <w:rPr>
      <w:rFonts w:ascii="Times New Roman" w:eastAsia="Times New Roman" w:hAnsi="Times New Roman" w:cs="Times New Roman"/>
      <w:sz w:val="24"/>
      <w:lang w:eastAsia="sv-SE" w:bidi="sv-SE"/>
    </w:rPr>
  </w:style>
  <w:style w:type="character" w:customStyle="1" w:styleId="Heading8Char">
    <w:name w:val="Heading 8 Char"/>
    <w:basedOn w:val="DefaultParagraphFont"/>
    <w:link w:val="Heading8"/>
    <w:semiHidden/>
    <w:rPr>
      <w:rFonts w:ascii="Times New Roman" w:eastAsia="Times New Roman" w:hAnsi="Times New Roman" w:cs="Times New Roman"/>
      <w:sz w:val="24"/>
      <w:lang w:eastAsia="sv-SE" w:bidi="sv-SE"/>
    </w:rPr>
  </w:style>
  <w:style w:type="character" w:customStyle="1" w:styleId="Heading9Char">
    <w:name w:val="Heading 9 Char"/>
    <w:basedOn w:val="DefaultParagraphFont"/>
    <w:link w:val="Heading9"/>
    <w:semiHidden/>
    <w:rPr>
      <w:rFonts w:ascii="Times New Roman" w:eastAsia="Times New Roman" w:hAnsi="Times New Roman" w:cs="Times New Roman"/>
      <w:sz w:val="24"/>
      <w:lang w:eastAsia="sv-SE" w:bidi="sv-S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itreobjet">
    <w:name w:val="Titre objet"/>
    <w:next w:val="Normal"/>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Normal"/>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sv-SE" w:eastAsia="sv-SE" w:bidi="sv-SE"/>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rPr>
  </w:style>
  <w:style w:type="paragraph" w:customStyle="1" w:styleId="ListBullet1">
    <w:name w:val="List Bullet 1"/>
    <w:basedOn w:val="Text1"/>
    <w:pPr>
      <w:numPr>
        <w:numId w:val="3"/>
      </w:numPr>
    </w:pPr>
  </w:style>
  <w:style w:type="paragraph" w:customStyle="1" w:styleId="ListBullet1Level2">
    <w:name w:val="List Bullet 1 (Level 2)"/>
    <w:basedOn w:val="Text1"/>
    <w:pPr>
      <w:numPr>
        <w:ilvl w:val="1"/>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4">
    <w:name w:val="List Bullet 1 (Level 4)"/>
    <w:basedOn w:val="Text1"/>
    <w:semiHidden/>
    <w:unhideWhenUsed/>
    <w:pPr>
      <w:numPr>
        <w:ilvl w:val="3"/>
        <w:numId w:val="3"/>
      </w:numPr>
    </w:p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18"/>
    </w:rPr>
  </w:style>
  <w:style w:type="character" w:customStyle="1" w:styleId="CommentTextChar">
    <w:name w:val="Comment Text Char"/>
    <w:basedOn w:val="DefaultParagraphFont"/>
    <w:link w:val="CommentText"/>
    <w:uiPriority w:val="99"/>
    <w:rPr>
      <w:sz w:val="20"/>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18"/>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0" w:line="240" w:lineRule="auto"/>
      <w:ind w:left="720"/>
    </w:pPr>
    <w:rPr>
      <w:rFonts w:ascii="Calibri"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4"/>
      </w:numPr>
      <w:spacing w:before="240" w:after="240" w:line="240" w:lineRule="auto"/>
      <w:jc w:val="both"/>
      <w:outlineLvl w:val="0"/>
    </w:pPr>
    <w:rPr>
      <w:rFonts w:ascii="Times New Roman" w:eastAsia="Times New Roman" w:hAnsi="Times New Roman" w:cs="Times New Roman"/>
      <w:b/>
      <w:smallCaps/>
      <w:sz w:val="24"/>
    </w:rPr>
  </w:style>
  <w:style w:type="paragraph" w:styleId="Heading2">
    <w:name w:val="heading 2"/>
    <w:basedOn w:val="Normal"/>
    <w:next w:val="Normal"/>
    <w:link w:val="Heading2Char"/>
    <w:uiPriority w:val="90"/>
    <w:qFormat/>
    <w:pPr>
      <w:keepNext/>
      <w:numPr>
        <w:ilvl w:val="1"/>
        <w:numId w:val="4"/>
      </w:numPr>
      <w:spacing w:after="240" w:line="240" w:lineRule="auto"/>
      <w:jc w:val="both"/>
      <w:outlineLvl w:val="1"/>
    </w:pPr>
    <w:rPr>
      <w:rFonts w:ascii="Times New Roman" w:eastAsia="Times New Roman" w:hAnsi="Times New Roman" w:cs="Times New Roman"/>
      <w:b/>
      <w:sz w:val="24"/>
    </w:rPr>
  </w:style>
  <w:style w:type="paragraph" w:styleId="Heading3">
    <w:name w:val="heading 3"/>
    <w:basedOn w:val="Normal"/>
    <w:next w:val="Normal"/>
    <w:link w:val="Heading3Char"/>
    <w:uiPriority w:val="90"/>
    <w:qFormat/>
    <w:pPr>
      <w:keepNext/>
      <w:numPr>
        <w:ilvl w:val="2"/>
        <w:numId w:val="4"/>
      </w:numPr>
      <w:spacing w:after="240" w:line="240" w:lineRule="auto"/>
      <w:jc w:val="both"/>
      <w:outlineLvl w:val="2"/>
    </w:pPr>
    <w:rPr>
      <w:rFonts w:ascii="Times New Roman" w:eastAsia="Times New Roman" w:hAnsi="Times New Roman" w:cs="Times New Roman"/>
      <w:i/>
      <w:sz w:val="24"/>
    </w:rPr>
  </w:style>
  <w:style w:type="paragraph" w:styleId="Heading4">
    <w:name w:val="heading 4"/>
    <w:basedOn w:val="Normal"/>
    <w:next w:val="Normal"/>
    <w:link w:val="Heading4Char"/>
    <w:uiPriority w:val="90"/>
    <w:qFormat/>
    <w:pPr>
      <w:keepNext/>
      <w:numPr>
        <w:ilvl w:val="3"/>
        <w:numId w:val="4"/>
      </w:numPr>
      <w:spacing w:after="240" w:line="240" w:lineRule="auto"/>
      <w:jc w:val="both"/>
      <w:outlineLvl w:val="3"/>
    </w:pPr>
    <w:rPr>
      <w:rFonts w:ascii="Times New Roman" w:eastAsia="Times New Roman" w:hAnsi="Times New Roman" w:cs="Times New Roman"/>
      <w:sz w:val="24"/>
    </w:rPr>
  </w:style>
  <w:style w:type="paragraph" w:styleId="Heading5">
    <w:name w:val="heading 5"/>
    <w:basedOn w:val="Normal"/>
    <w:next w:val="Normal"/>
    <w:link w:val="Heading5Char"/>
    <w:semiHidden/>
    <w:pPr>
      <w:keepNext/>
      <w:numPr>
        <w:ilvl w:val="4"/>
        <w:numId w:val="4"/>
      </w:numPr>
      <w:spacing w:after="240" w:line="240" w:lineRule="auto"/>
      <w:jc w:val="both"/>
      <w:outlineLvl w:val="4"/>
    </w:pPr>
    <w:rPr>
      <w:rFonts w:ascii="Times New Roman" w:eastAsia="Times New Roman" w:hAnsi="Times New Roman" w:cs="Times New Roman"/>
      <w:sz w:val="24"/>
    </w:rPr>
  </w:style>
  <w:style w:type="paragraph" w:styleId="Heading6">
    <w:name w:val="heading 6"/>
    <w:basedOn w:val="Normal"/>
    <w:next w:val="Normal"/>
    <w:link w:val="Heading6Char"/>
    <w:semiHidden/>
    <w:pPr>
      <w:keepNext/>
      <w:numPr>
        <w:ilvl w:val="5"/>
        <w:numId w:val="4"/>
      </w:numPr>
      <w:spacing w:after="240" w:line="240" w:lineRule="auto"/>
      <w:jc w:val="both"/>
      <w:outlineLvl w:val="5"/>
    </w:pPr>
    <w:rPr>
      <w:rFonts w:ascii="Times New Roman" w:eastAsia="Times New Roman" w:hAnsi="Times New Roman" w:cs="Times New Roman"/>
      <w:sz w:val="24"/>
    </w:rPr>
  </w:style>
  <w:style w:type="paragraph" w:styleId="Heading7">
    <w:name w:val="heading 7"/>
    <w:basedOn w:val="Normal"/>
    <w:next w:val="Normal"/>
    <w:link w:val="Heading7Char"/>
    <w:semiHidden/>
    <w:pPr>
      <w:keepNext/>
      <w:numPr>
        <w:ilvl w:val="6"/>
        <w:numId w:val="4"/>
      </w:numPr>
      <w:spacing w:after="240" w:line="240" w:lineRule="auto"/>
      <w:jc w:val="both"/>
      <w:outlineLvl w:val="6"/>
    </w:pPr>
    <w:rPr>
      <w:rFonts w:ascii="Times New Roman" w:eastAsia="Times New Roman" w:hAnsi="Times New Roman" w:cs="Times New Roman"/>
      <w:sz w:val="24"/>
    </w:rPr>
  </w:style>
  <w:style w:type="paragraph" w:styleId="Heading8">
    <w:name w:val="heading 8"/>
    <w:basedOn w:val="Normal"/>
    <w:next w:val="Normal"/>
    <w:link w:val="Heading8Char"/>
    <w:semiHidden/>
    <w:pPr>
      <w:keepNext/>
      <w:numPr>
        <w:ilvl w:val="7"/>
        <w:numId w:val="4"/>
      </w:numPr>
      <w:spacing w:after="240" w:line="240" w:lineRule="auto"/>
      <w:jc w:val="both"/>
      <w:outlineLvl w:val="7"/>
    </w:pPr>
    <w:rPr>
      <w:rFonts w:ascii="Times New Roman" w:eastAsia="Times New Roman" w:hAnsi="Times New Roman" w:cs="Times New Roman"/>
      <w:sz w:val="24"/>
    </w:rPr>
  </w:style>
  <w:style w:type="paragraph" w:styleId="Heading9">
    <w:name w:val="heading 9"/>
    <w:basedOn w:val="Normal"/>
    <w:next w:val="Normal"/>
    <w:link w:val="Heading9Char"/>
    <w:semiHidden/>
    <w:pPr>
      <w:keepNext/>
      <w:numPr>
        <w:ilvl w:val="8"/>
        <w:numId w:val="4"/>
      </w:numPr>
      <w:spacing w:after="240" w:line="240" w:lineRule="auto"/>
      <w:jc w:val="both"/>
      <w:outlineLvl w:val="8"/>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lang w:eastAsia="sv-SE" w:bidi="sv-SE"/>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lang w:eastAsia="sv-SE" w:bidi="sv-S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lang w:eastAsia="sv-SE" w:bidi="sv-S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lang w:eastAsia="sv-SE" w:bidi="sv-SE"/>
    </w:rPr>
  </w:style>
  <w:style w:type="character" w:customStyle="1" w:styleId="Heading5Char">
    <w:name w:val="Heading 5 Char"/>
    <w:basedOn w:val="DefaultParagraphFont"/>
    <w:link w:val="Heading5"/>
    <w:semiHidden/>
    <w:rPr>
      <w:rFonts w:ascii="Times New Roman" w:eastAsia="Times New Roman" w:hAnsi="Times New Roman" w:cs="Times New Roman"/>
      <w:sz w:val="24"/>
      <w:lang w:eastAsia="sv-SE" w:bidi="sv-SE"/>
    </w:rPr>
  </w:style>
  <w:style w:type="character" w:customStyle="1" w:styleId="Heading6Char">
    <w:name w:val="Heading 6 Char"/>
    <w:basedOn w:val="DefaultParagraphFont"/>
    <w:link w:val="Heading6"/>
    <w:semiHidden/>
    <w:rPr>
      <w:rFonts w:ascii="Times New Roman" w:eastAsia="Times New Roman" w:hAnsi="Times New Roman" w:cs="Times New Roman"/>
      <w:sz w:val="24"/>
      <w:lang w:eastAsia="sv-SE" w:bidi="sv-SE"/>
    </w:rPr>
  </w:style>
  <w:style w:type="character" w:customStyle="1" w:styleId="Heading7Char">
    <w:name w:val="Heading 7 Char"/>
    <w:basedOn w:val="DefaultParagraphFont"/>
    <w:link w:val="Heading7"/>
    <w:semiHidden/>
    <w:rPr>
      <w:rFonts w:ascii="Times New Roman" w:eastAsia="Times New Roman" w:hAnsi="Times New Roman" w:cs="Times New Roman"/>
      <w:sz w:val="24"/>
      <w:lang w:eastAsia="sv-SE" w:bidi="sv-SE"/>
    </w:rPr>
  </w:style>
  <w:style w:type="character" w:customStyle="1" w:styleId="Heading8Char">
    <w:name w:val="Heading 8 Char"/>
    <w:basedOn w:val="DefaultParagraphFont"/>
    <w:link w:val="Heading8"/>
    <w:semiHidden/>
    <w:rPr>
      <w:rFonts w:ascii="Times New Roman" w:eastAsia="Times New Roman" w:hAnsi="Times New Roman" w:cs="Times New Roman"/>
      <w:sz w:val="24"/>
      <w:lang w:eastAsia="sv-SE" w:bidi="sv-SE"/>
    </w:rPr>
  </w:style>
  <w:style w:type="character" w:customStyle="1" w:styleId="Heading9Char">
    <w:name w:val="Heading 9 Char"/>
    <w:basedOn w:val="DefaultParagraphFont"/>
    <w:link w:val="Heading9"/>
    <w:semiHidden/>
    <w:rPr>
      <w:rFonts w:ascii="Times New Roman" w:eastAsia="Times New Roman" w:hAnsi="Times New Roman" w:cs="Times New Roman"/>
      <w:sz w:val="24"/>
      <w:lang w:eastAsia="sv-SE" w:bidi="sv-S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itreobjet">
    <w:name w:val="Titre objet"/>
    <w:next w:val="Normal"/>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Normal"/>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sv-SE" w:eastAsia="sv-SE" w:bidi="sv-SE"/>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rPr>
  </w:style>
  <w:style w:type="paragraph" w:customStyle="1" w:styleId="ListBullet1">
    <w:name w:val="List Bullet 1"/>
    <w:basedOn w:val="Text1"/>
    <w:pPr>
      <w:numPr>
        <w:numId w:val="3"/>
      </w:numPr>
    </w:pPr>
  </w:style>
  <w:style w:type="paragraph" w:customStyle="1" w:styleId="ListBullet1Level2">
    <w:name w:val="List Bullet 1 (Level 2)"/>
    <w:basedOn w:val="Text1"/>
    <w:pPr>
      <w:numPr>
        <w:ilvl w:val="1"/>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4">
    <w:name w:val="List Bullet 1 (Level 4)"/>
    <w:basedOn w:val="Text1"/>
    <w:semiHidden/>
    <w:unhideWhenUsed/>
    <w:pPr>
      <w:numPr>
        <w:ilvl w:val="3"/>
        <w:numId w:val="3"/>
      </w:numPr>
    </w:p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18"/>
    </w:rPr>
  </w:style>
  <w:style w:type="character" w:customStyle="1" w:styleId="CommentTextChar">
    <w:name w:val="Comment Text Char"/>
    <w:basedOn w:val="DefaultParagraphFont"/>
    <w:link w:val="CommentText"/>
    <w:uiPriority w:val="99"/>
    <w:rPr>
      <w:sz w:val="20"/>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18"/>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0" w:line="240" w:lineRule="auto"/>
      <w:ind w:left="720"/>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3579">
      <w:bodyDiv w:val="1"/>
      <w:marLeft w:val="0"/>
      <w:marRight w:val="0"/>
      <w:marTop w:val="0"/>
      <w:marBottom w:val="0"/>
      <w:divBdr>
        <w:top w:val="none" w:sz="0" w:space="0" w:color="auto"/>
        <w:left w:val="none" w:sz="0" w:space="0" w:color="auto"/>
        <w:bottom w:val="none" w:sz="0" w:space="0" w:color="auto"/>
        <w:right w:val="none" w:sz="0" w:space="0" w:color="auto"/>
      </w:divBdr>
    </w:div>
    <w:div w:id="11617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brexit/brexit-preparedness/preparedness-notices_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85BA-AE0D-40B5-B676-93CB79D50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617F5-2D5D-4867-87CB-E70F2B547B57}">
  <ds:schemaRefs>
    <ds:schemaRef ds:uri="http://schemas.microsoft.com/sharepoint/v3/fields"/>
    <ds:schemaRef ds:uri="http://purl.org/dc/terms/"/>
    <ds:schemaRef ds:uri="25173920-bf43-43cc-9123-1897e847dfc2"/>
    <ds:schemaRef ds:uri="http://schemas.microsoft.com/office/2006/metadata/properties"/>
    <ds:schemaRef ds:uri="http://www.w3.org/XML/1998/namespace"/>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5434AD6-ED23-41BF-97A1-2D6BFBBB8623}">
  <ds:schemaRefs>
    <ds:schemaRef ds:uri="http://schemas.microsoft.com/sharepoint/v3/contenttype/forms"/>
  </ds:schemaRefs>
</ds:datastoreItem>
</file>

<file path=customXml/itemProps4.xml><?xml version="1.0" encoding="utf-8"?>
<ds:datastoreItem xmlns:ds="http://schemas.openxmlformats.org/officeDocument/2006/customXml" ds:itemID="{53429D2E-25AD-447D-A764-1F4169D824BD}">
  <ds:schemaRefs>
    <ds:schemaRef ds:uri="office.server.policy"/>
  </ds:schemaRefs>
</ds:datastoreItem>
</file>

<file path=customXml/itemProps5.xml><?xml version="1.0" encoding="utf-8"?>
<ds:datastoreItem xmlns:ds="http://schemas.openxmlformats.org/officeDocument/2006/customXml" ds:itemID="{A9D7D0DD-4B79-4218-B7CA-AF522AEE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9042</Characters>
  <Application>Microsoft Office Word</Application>
  <DocSecurity>0</DocSecurity>
  <Lines>139</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2019-04-10T09:47:00Z</dcterms:created>
  <dcterms:modified xsi:type="dcterms:W3CDTF">2019-04-10T10:39:00Z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ontentTypeId">
    <vt:lpwstr>0x010100258AA79CEB83498886A3A0868112325000D33D44CF0C8FEB45875F235DEEF2E1B9</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First annex">
    <vt:lpwstr>5</vt:lpwstr>
  </property>
  <property fmtid="{D5CDD505-2E9C-101B-9397-08002B2CF9AE}" pid="7" name="Last annex">
    <vt:lpwstr>5</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Created using">
    <vt:lpwstr>LW 6.0.1, Build 20180503</vt:lpwstr>
  </property>
</Properties>
</file>