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D4" w:rsidRDefault="00824CEA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E8E9049-3D9F-4CFE-87EB-77BE829E3C32" style="width:450.45pt;height:474.15pt">
            <v:imagedata r:id="rId15" o:title=""/>
          </v:shape>
        </w:pict>
      </w:r>
    </w:p>
    <w:bookmarkEnd w:id="0"/>
    <w:p w:rsidR="00C638D4" w:rsidRDefault="00C638D4">
      <w:pPr>
        <w:rPr>
          <w:noProof/>
        </w:rPr>
        <w:sectPr w:rsidR="00C638D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1417" w:bottom="1134" w:left="1417" w:header="709" w:footer="709" w:gutter="0"/>
          <w:pgNumType w:start="0"/>
          <w:cols w:space="720"/>
          <w:docGrid w:linePitch="326"/>
        </w:sectPr>
      </w:pPr>
    </w:p>
    <w:p w:rsidR="00C638D4" w:rsidRDefault="00824CEA">
      <w:pPr>
        <w:pStyle w:val="Heading1"/>
        <w:rPr>
          <w:noProof/>
        </w:rPr>
      </w:pPr>
      <w:r>
        <w:rPr>
          <w:noProof/>
        </w:rPr>
        <w:lastRenderedPageBreak/>
        <w:t>Uvod</w:t>
      </w:r>
    </w:p>
    <w:p w:rsidR="00C638D4" w:rsidRDefault="00824CEA">
      <w:pPr>
        <w:pStyle w:val="Text1"/>
        <w:ind w:left="0"/>
        <w:rPr>
          <w:noProof/>
        </w:rPr>
      </w:pPr>
      <w:r>
        <w:rPr>
          <w:noProof/>
        </w:rPr>
        <w:t xml:space="preserve">Ujedinjena Kraljevina dostavila je 29. ožujka 2017. obavijest o svojoj namjeri da se povuče iz Unije. </w:t>
      </w:r>
      <w:r>
        <w:rPr>
          <w:noProof/>
          <w:color w:val="000000"/>
          <w:u w:color="000000"/>
          <w:bdr w:val="nil"/>
        </w:rPr>
        <w:t xml:space="preserve">Komisija i dalje smatra da je najbolji </w:t>
      </w:r>
      <w:r>
        <w:rPr>
          <w:noProof/>
          <w:color w:val="000000"/>
          <w:u w:color="000000"/>
          <w:bdr w:val="nil"/>
        </w:rPr>
        <w:t>ishod uredno povlačenje Ujedinjene Kraljevine iz Unije na temelju Sporazuma o povlačenju koji je vlada Ujedinjene Kraljevine prihvatila, a Europsko vijeće (članak 50.) potvrdilo 25. studenoga 2018. Komisija i dalje radi na ostvarenju toga cilja, no samo dv</w:t>
      </w:r>
      <w:r>
        <w:rPr>
          <w:noProof/>
          <w:color w:val="000000"/>
          <w:u w:color="000000"/>
          <w:bdr w:val="nil"/>
        </w:rPr>
        <w:t>a dana prije 12. travnja</w:t>
      </w:r>
      <w:r>
        <w:rPr>
          <w:noProof/>
        </w:rPr>
        <w:t xml:space="preserve"> 2019., roka koji je </w:t>
      </w:r>
      <w:r>
        <w:rPr>
          <w:noProof/>
          <w:color w:val="000000"/>
          <w:u w:color="000000"/>
          <w:bdr w:val="nil"/>
        </w:rPr>
        <w:t>Europsko vijeće produljilo</w:t>
      </w:r>
      <w:r>
        <w:rPr>
          <w:noProof/>
          <w:color w:val="000000"/>
          <w:u w:color="000000"/>
          <w:bdr w:val="nil"/>
          <w:vertAlign w:val="superscript"/>
        </w:rPr>
        <w:footnoteReference w:id="1"/>
      </w:r>
      <w:r>
        <w:rPr>
          <w:noProof/>
          <w:color w:val="000000"/>
          <w:u w:color="000000"/>
          <w:bdr w:val="nil"/>
        </w:rPr>
        <w:t>, čini se da je neuredno povlačenje Ujedinjene Kraljevine iz Unije sve izvjesnije.</w:t>
      </w:r>
      <w:r>
        <w:rPr>
          <w:noProof/>
        </w:rPr>
        <w:t xml:space="preserve"> </w:t>
      </w:r>
    </w:p>
    <w:p w:rsidR="00C638D4" w:rsidRDefault="00824CEA">
      <w:pPr>
        <w:pStyle w:val="Heading1"/>
        <w:rPr>
          <w:noProof/>
        </w:rPr>
      </w:pPr>
      <w:r>
        <w:rPr>
          <w:noProof/>
        </w:rPr>
        <w:t>Prijenos podataka Ujedinjenoj Kraljevini u slučaju povlačenja bez dogovora</w:t>
      </w:r>
    </w:p>
    <w:p w:rsidR="00C638D4" w:rsidRDefault="00824CEA">
      <w:pPr>
        <w:pStyle w:val="Text1"/>
        <w:ind w:left="0"/>
        <w:rPr>
          <w:noProof/>
        </w:rPr>
      </w:pPr>
      <w:r>
        <w:rPr>
          <w:noProof/>
        </w:rPr>
        <w:t>Unija ima detaljne propis</w:t>
      </w:r>
      <w:r>
        <w:rPr>
          <w:noProof/>
        </w:rPr>
        <w:t>e o prijenosu osobnih podataka trećim zemljama i na toj će se osnovi odvijati prijenosi s Ujedinjenom Kraljevinom u slučaju povlačenja bez dogovora. Od tih propisa treba istaknuti Opću uredbu o zaštiti podataka</w:t>
      </w:r>
      <w:r>
        <w:rPr>
          <w:noProof/>
          <w:vertAlign w:val="superscript"/>
        </w:rPr>
        <w:footnoteReference w:id="2"/>
      </w:r>
      <w:r>
        <w:rPr>
          <w:noProof/>
        </w:rPr>
        <w:t xml:space="preserve"> i direktivu o zaštiti pojedinaca u vezi s ob</w:t>
      </w:r>
      <w:r>
        <w:rPr>
          <w:noProof/>
        </w:rPr>
        <w:t>radom osobnih podataka</w:t>
      </w:r>
      <w:r>
        <w:rPr>
          <w:noProof/>
          <w:vertAlign w:val="superscript"/>
        </w:rPr>
        <w:footnoteReference w:id="3"/>
      </w:r>
      <w:r>
        <w:rPr>
          <w:noProof/>
        </w:rPr>
        <w:t xml:space="preserve">. U ovom se dokumentu obrađuju uglavnom instrumenti iz Opće uredbe o zaštiti podataka. </w:t>
      </w:r>
    </w:p>
    <w:p w:rsidR="00C638D4" w:rsidRDefault="00824CEA">
      <w:pPr>
        <w:pStyle w:val="Text1"/>
        <w:ind w:left="0"/>
        <w:rPr>
          <w:noProof/>
        </w:rPr>
      </w:pPr>
      <w:r>
        <w:rPr>
          <w:noProof/>
        </w:rPr>
        <w:t xml:space="preserve">Kako je rečeno u Komisijinoj </w:t>
      </w:r>
      <w:bookmarkStart w:id="1" w:name="_GoBack"/>
      <w:r w:rsidRPr="00824CEA">
        <w:rPr>
          <w:color w:val="000000"/>
          <w:u w:color="000000"/>
          <w:bdr w:val="nil"/>
        </w:rPr>
        <w:fldChar w:fldCharType="begin"/>
      </w:r>
      <w:r w:rsidRPr="00824CEA">
        <w:rPr>
          <w:color w:val="000000"/>
          <w:u w:color="000000"/>
          <w:bdr w:val="nil"/>
        </w:rPr>
        <w:instrText xml:space="preserve"> HYPERLINK "https://ec.europa.eu/info/publications/communication-preparing-withdrawal-united-kingdom-european-unio</w:instrText>
      </w:r>
      <w:r w:rsidRPr="00824CEA">
        <w:rPr>
          <w:color w:val="000000"/>
          <w:u w:color="000000"/>
          <w:bdr w:val="nil"/>
        </w:rPr>
        <w:instrText xml:space="preserve">n-30-march-2019-contingency-action-plan-13-11-2018_en" \h </w:instrText>
      </w:r>
      <w:r w:rsidRPr="00824CEA">
        <w:rPr>
          <w:color w:val="000000"/>
          <w:u w:color="000000"/>
          <w:bdr w:val="nil"/>
        </w:rPr>
        <w:fldChar w:fldCharType="separate"/>
      </w:r>
      <w:r w:rsidRPr="00824CEA">
        <w:rPr>
          <w:color w:val="000000"/>
          <w:u w:color="000000"/>
          <w:bdr w:val="nil"/>
        </w:rPr>
        <w:t>komunikaciji o pripravnosti za Brexit od 13. studenoga 2018.</w:t>
      </w:r>
      <w:r w:rsidRPr="00824CEA">
        <w:rPr>
          <w:color w:val="000000"/>
          <w:u w:color="000000"/>
          <w:bdr w:val="nil"/>
        </w:rPr>
        <w:fldChar w:fldCharType="end"/>
      </w:r>
      <w:r w:rsidRPr="00824CEA">
        <w:rPr>
          <w:noProof/>
          <w:color w:val="000000"/>
          <w:u w:color="000000"/>
          <w:bdr w:val="nil"/>
        </w:rPr>
        <w:t>, Komisija smatra da se instru</w:t>
      </w:r>
      <w:bookmarkEnd w:id="1"/>
      <w:r>
        <w:rPr>
          <w:noProof/>
        </w:rPr>
        <w:t xml:space="preserve">mentima za razmjenu podataka koji već postoje mogu u dovoljnoj mjeri zadovoljiti hitne potrebe za prijenos </w:t>
      </w:r>
      <w:r>
        <w:rPr>
          <w:noProof/>
        </w:rPr>
        <w:t>podataka Ujedinjenoj Kraljevini u slučaju povlačenja bez dogovora. Ti se instrumenti već koriste za prijenos podataka svim zemljama svijeta, osim u trinaest trećih zemalja ili područja (djelomično) obuhvaćenih odlukom o primjerenosti</w:t>
      </w:r>
      <w:r>
        <w:rPr>
          <w:noProof/>
          <w:vertAlign w:val="superscript"/>
        </w:rPr>
        <w:footnoteReference w:id="4"/>
      </w:r>
      <w:r>
        <w:rPr>
          <w:noProof/>
        </w:rPr>
        <w:t xml:space="preserve">. Komisija stoga nije </w:t>
      </w:r>
      <w:r>
        <w:rPr>
          <w:noProof/>
        </w:rPr>
        <w:t xml:space="preserve">donijela izvanrednu mjeru u tom području i u ovom trenutku ne planira donijeti odluku o primjerenosti koja bi se odnosila na Ujedinjenu Kraljevinu. </w:t>
      </w:r>
    </w:p>
    <w:p w:rsidR="00C638D4" w:rsidRDefault="00824CEA">
      <w:pPr>
        <w:pStyle w:val="Text1"/>
        <w:ind w:left="0"/>
        <w:rPr>
          <w:noProof/>
        </w:rPr>
      </w:pPr>
      <w:r>
        <w:rPr>
          <w:noProof/>
        </w:rPr>
        <w:t>Odredbama Poglavlja V. Opće uredbe o zaštiti podataka uređeni su brojni instrumenti za prijenos podataka tr</w:t>
      </w:r>
      <w:r>
        <w:rPr>
          <w:noProof/>
        </w:rPr>
        <w:t xml:space="preserve">ećim zemljama, za privatne subjekte i za tijela javne vlasti, kao što su: </w:t>
      </w:r>
    </w:p>
    <w:p w:rsidR="00C638D4" w:rsidRDefault="00824CEA">
      <w:pPr>
        <w:pStyle w:val="Text1"/>
        <w:numPr>
          <w:ilvl w:val="0"/>
          <w:numId w:val="21"/>
        </w:numPr>
        <w:ind w:left="284" w:hanging="284"/>
        <w:rPr>
          <w:noProof/>
        </w:rPr>
      </w:pPr>
      <w:r>
        <w:rPr>
          <w:b/>
          <w:noProof/>
        </w:rPr>
        <w:t>Standardne ugovorne klauzule</w:t>
      </w:r>
      <w:r>
        <w:rPr>
          <w:noProof/>
        </w:rPr>
        <w:t xml:space="preserve">: Komisija je odobrila tri skupa standardnih ugovornih klauzula koje gospodarski subjekti mogu izravno primijeniti pri prijenosu </w:t>
      </w:r>
      <w:r>
        <w:rPr>
          <w:noProof/>
        </w:rPr>
        <w:lastRenderedPageBreak/>
        <w:t>podataka trećim zemljama</w:t>
      </w:r>
      <w:r>
        <w:rPr>
          <w:noProof/>
        </w:rPr>
        <w:t>. Te standardne klauzule mogu se pronaći na stranicama Komisije</w:t>
      </w:r>
      <w:r>
        <w:rPr>
          <w:noProof/>
          <w:vertAlign w:val="superscript"/>
        </w:rPr>
        <w:footnoteReference w:id="5"/>
      </w:r>
      <w:r>
        <w:rPr>
          <w:noProof/>
        </w:rPr>
        <w:t xml:space="preserve">. </w:t>
      </w:r>
    </w:p>
    <w:p w:rsidR="00C638D4" w:rsidRDefault="00824CEA">
      <w:pPr>
        <w:pStyle w:val="Text1"/>
        <w:numPr>
          <w:ilvl w:val="0"/>
          <w:numId w:val="21"/>
        </w:numPr>
        <w:ind w:left="284" w:hanging="284"/>
        <w:rPr>
          <w:noProof/>
        </w:rPr>
      </w:pPr>
      <w:r>
        <w:rPr>
          <w:b/>
          <w:noProof/>
        </w:rPr>
        <w:t>Obvezujuća korporativna pravila</w:t>
      </w:r>
      <w:r>
        <w:rPr>
          <w:noProof/>
        </w:rPr>
        <w:t>: Obvezujuća pravila o zaštiti podataka, koja je odobrilo tijelo nadležno za zaštitu podataka, mogu se primjenjivati unutar grupe društava.</w:t>
      </w:r>
    </w:p>
    <w:p w:rsidR="00C638D4" w:rsidRDefault="00824CEA">
      <w:pPr>
        <w:pStyle w:val="Text1"/>
        <w:numPr>
          <w:ilvl w:val="0"/>
          <w:numId w:val="21"/>
        </w:numPr>
        <w:ind w:left="284" w:hanging="284"/>
        <w:rPr>
          <w:noProof/>
        </w:rPr>
      </w:pPr>
      <w:r>
        <w:rPr>
          <w:b/>
          <w:noProof/>
        </w:rPr>
        <w:t xml:space="preserve">Kodeksi ponašanja </w:t>
      </w:r>
      <w:r>
        <w:rPr>
          <w:b/>
          <w:noProof/>
        </w:rPr>
        <w:t xml:space="preserve">i mehanizmi certificiranja: </w:t>
      </w:r>
      <w:r>
        <w:rPr>
          <w:noProof/>
        </w:rPr>
        <w:t>Ti instrumenti mogu poslužiti kao odgovarajuće mjere zaštite prijenosa osobnih podataka ako sadržavaju obvezujuće i provedive obveze organizacija u trećoj zemlji, među ostalim one koje se odnose na prava pojedinaca.</w:t>
      </w:r>
    </w:p>
    <w:p w:rsidR="00C638D4" w:rsidRDefault="00824CEA">
      <w:pPr>
        <w:pStyle w:val="Text1"/>
        <w:numPr>
          <w:ilvl w:val="0"/>
          <w:numId w:val="21"/>
        </w:numPr>
        <w:ind w:left="284" w:hanging="284"/>
        <w:rPr>
          <w:noProof/>
        </w:rPr>
      </w:pPr>
      <w:r>
        <w:rPr>
          <w:b/>
          <w:noProof/>
        </w:rPr>
        <w:t>Odstupanja</w:t>
      </w:r>
      <w:r>
        <w:rPr>
          <w:noProof/>
        </w:rPr>
        <w:t xml:space="preserve">, odnosno „zakonska osnova” za prijenos, kao što su npr. privola, izvršavanje ugovora, ostvarivanje pravnih zahtjeva ili važni razlozi javnog interesa (za više informacija o odstupanjima vidjeti odjeljak 3.). </w:t>
      </w:r>
    </w:p>
    <w:p w:rsidR="00C638D4" w:rsidRDefault="00824CEA">
      <w:pPr>
        <w:pStyle w:val="Text1"/>
        <w:ind w:left="0"/>
        <w:rPr>
          <w:noProof/>
        </w:rPr>
      </w:pPr>
      <w:r>
        <w:rPr>
          <w:noProof/>
        </w:rPr>
        <w:t>Za više informacija vidjeti obavijest o zaštit</w:t>
      </w:r>
      <w:r>
        <w:rPr>
          <w:noProof/>
        </w:rPr>
        <w:t>i podataka u kontekstu pripravnosti za Brexit</w:t>
      </w:r>
      <w:r>
        <w:rPr>
          <w:noProof/>
          <w:vertAlign w:val="superscript"/>
        </w:rPr>
        <w:footnoteReference w:id="6"/>
      </w:r>
      <w:r>
        <w:rPr>
          <w:noProof/>
        </w:rPr>
        <w:t xml:space="preserve"> i obavijest Europskog odbora za zaštitu podataka (EPDB) o prijenosu podataka u skladu s Općom uredbom o zaštiti podataka u slučaju povlačenja bez dogovora</w:t>
      </w:r>
      <w:r>
        <w:rPr>
          <w:noProof/>
          <w:vertAlign w:val="superscript"/>
        </w:rPr>
        <w:footnoteReference w:id="7"/>
      </w:r>
      <w:r>
        <w:rPr>
          <w:noProof/>
        </w:rPr>
        <w:t>.</w:t>
      </w:r>
    </w:p>
    <w:p w:rsidR="00C638D4" w:rsidRDefault="00824CEA">
      <w:pPr>
        <w:pStyle w:val="Heading1"/>
        <w:rPr>
          <w:noProof/>
        </w:rPr>
      </w:pPr>
      <w:r>
        <w:rPr>
          <w:noProof/>
        </w:rPr>
        <w:t xml:space="preserve">Praktični koraci koje bi trebali poduzeti izvoznici </w:t>
      </w:r>
      <w:r>
        <w:rPr>
          <w:noProof/>
        </w:rPr>
        <w:t>podataka iz EU-a (trgovačka društva i nadležna tijela) da bi se osigurao kontinuitet postupanja u skladu s propisima EU-a</w:t>
      </w:r>
    </w:p>
    <w:p w:rsidR="00C638D4" w:rsidRDefault="00824CEA">
      <w:pPr>
        <w:pStyle w:val="Text1"/>
        <w:ind w:left="0"/>
        <w:rPr>
          <w:noProof/>
        </w:rPr>
      </w:pPr>
      <w:r>
        <w:rPr>
          <w:noProof/>
        </w:rPr>
        <w:t>Izvoznici podataka trebali bi koristiti instrumente koje smatraju naprimjerenijima za pojedinačni prijenos podataka Ujedinjenoj Kralje</w:t>
      </w:r>
      <w:r>
        <w:rPr>
          <w:noProof/>
        </w:rPr>
        <w:t>vini.</w:t>
      </w:r>
    </w:p>
    <w:p w:rsidR="00C638D4" w:rsidRDefault="00824CEA">
      <w:pPr>
        <w:pStyle w:val="Text1"/>
        <w:ind w:left="0"/>
        <w:rPr>
          <w:noProof/>
        </w:rPr>
      </w:pPr>
      <w:r>
        <w:rPr>
          <w:noProof/>
        </w:rPr>
        <w:t>Oni bi prije prijenosa podataka Ujedinjenoj Kraljevini trebali:</w:t>
      </w:r>
    </w:p>
    <w:p w:rsidR="00C638D4" w:rsidRDefault="00824CEA">
      <w:pPr>
        <w:pStyle w:val="Text1"/>
        <w:numPr>
          <w:ilvl w:val="0"/>
          <w:numId w:val="22"/>
        </w:numPr>
        <w:ind w:left="284" w:hanging="284"/>
        <w:rPr>
          <w:noProof/>
        </w:rPr>
      </w:pPr>
      <w:r>
        <w:rPr>
          <w:noProof/>
        </w:rPr>
        <w:t>utvrditi koje bi aktivnosti obrade podataka bile potrebne za određeni prijenos podataka Ujedinjenoj Kraljevini;</w:t>
      </w:r>
    </w:p>
    <w:p w:rsidR="00C638D4" w:rsidRDefault="00824CEA">
      <w:pPr>
        <w:pStyle w:val="Text1"/>
        <w:numPr>
          <w:ilvl w:val="0"/>
          <w:numId w:val="22"/>
        </w:numPr>
        <w:ind w:left="284" w:hanging="284"/>
        <w:rPr>
          <w:noProof/>
        </w:rPr>
      </w:pPr>
      <w:r>
        <w:rPr>
          <w:noProof/>
        </w:rPr>
        <w:t>odrediti instrument prijenosa podataka koji je primjeren za određenu situa</w:t>
      </w:r>
      <w:r>
        <w:rPr>
          <w:noProof/>
        </w:rPr>
        <w:t>ciju;</w:t>
      </w:r>
    </w:p>
    <w:p w:rsidR="00C638D4" w:rsidRDefault="00824CEA">
      <w:pPr>
        <w:pStyle w:val="Text1"/>
        <w:numPr>
          <w:ilvl w:val="0"/>
          <w:numId w:val="22"/>
        </w:numPr>
        <w:ind w:left="284" w:hanging="284"/>
        <w:rPr>
          <w:noProof/>
        </w:rPr>
      </w:pPr>
      <w:r>
        <w:rPr>
          <w:noProof/>
        </w:rPr>
        <w:t xml:space="preserve">uvesti odabrani instrument prijenosa podataka tako da bude spreman na datum povlačenja; </w:t>
      </w:r>
    </w:p>
    <w:p w:rsidR="00C638D4" w:rsidRDefault="00824CEA">
      <w:pPr>
        <w:pStyle w:val="Text1"/>
        <w:numPr>
          <w:ilvl w:val="0"/>
          <w:numId w:val="22"/>
        </w:numPr>
        <w:ind w:left="284" w:hanging="284"/>
        <w:rPr>
          <w:noProof/>
        </w:rPr>
      </w:pPr>
      <w:r>
        <w:rPr>
          <w:noProof/>
        </w:rPr>
        <w:t>u internoj dokumentaciji naznačiti da je riječ o prijenosu podataka Ujedinjenoj Kraljevini i</w:t>
      </w:r>
    </w:p>
    <w:p w:rsidR="00C638D4" w:rsidRDefault="00824CEA">
      <w:pPr>
        <w:pStyle w:val="Text1"/>
        <w:numPr>
          <w:ilvl w:val="0"/>
          <w:numId w:val="22"/>
        </w:numPr>
        <w:ind w:left="284" w:hanging="284"/>
        <w:rPr>
          <w:noProof/>
        </w:rPr>
      </w:pPr>
      <w:r>
        <w:rPr>
          <w:noProof/>
        </w:rPr>
        <w:t>ako je relevantno, u skladu s time ažurirati izjavu o zaštiti privat</w:t>
      </w:r>
      <w:r>
        <w:rPr>
          <w:noProof/>
        </w:rPr>
        <w:t>nosti radi informiranja pojedinaca.</w:t>
      </w:r>
    </w:p>
    <w:p w:rsidR="00C638D4" w:rsidRDefault="00824CEA">
      <w:pPr>
        <w:pStyle w:val="Text1"/>
        <w:ind w:left="0"/>
        <w:rPr>
          <w:i/>
          <w:noProof/>
        </w:rPr>
      </w:pPr>
      <w:r>
        <w:rPr>
          <w:i/>
          <w:noProof/>
        </w:rPr>
        <w:t>Prijenos podataka na temelju odstupanja</w:t>
      </w:r>
    </w:p>
    <w:p w:rsidR="00C638D4" w:rsidRDefault="00824CEA">
      <w:pPr>
        <w:pStyle w:val="Text1"/>
        <w:ind w:left="0"/>
        <w:rPr>
          <w:noProof/>
        </w:rPr>
      </w:pPr>
      <w:r>
        <w:rPr>
          <w:noProof/>
        </w:rPr>
        <w:t xml:space="preserve">Kad je riječ o prijenosu podataka Ujedinjenoj Kraljevini na temelju </w:t>
      </w:r>
      <w:r>
        <w:rPr>
          <w:b/>
          <w:noProof/>
        </w:rPr>
        <w:t>odstupanja</w:t>
      </w:r>
      <w:r>
        <w:rPr>
          <w:i/>
          <w:noProof/>
          <w:vertAlign w:val="superscript"/>
        </w:rPr>
        <w:footnoteReference w:id="8"/>
      </w:r>
      <w:r>
        <w:rPr>
          <w:noProof/>
        </w:rPr>
        <w:t>, voditelji obrade podataka trebaju znati da su ta odstupanja iznimke od obveze uvođenja odgovarajući</w:t>
      </w:r>
      <w:r>
        <w:rPr>
          <w:noProof/>
        </w:rPr>
        <w:t>h mjera zaštite i da se stoga moraju tumačiti restriktivno te da se uglavnom odnose na povremene i jednokratne aktivnosti obrade.</w:t>
      </w:r>
    </w:p>
    <w:p w:rsidR="00C638D4" w:rsidRDefault="00824CEA">
      <w:pPr>
        <w:pStyle w:val="Text1"/>
        <w:ind w:left="0"/>
        <w:rPr>
          <w:noProof/>
        </w:rPr>
      </w:pPr>
      <w:r>
        <w:rPr>
          <w:noProof/>
        </w:rPr>
        <w:t xml:space="preserve">Ta odstupanja među ostalim uključuju sljedeće situacije: </w:t>
      </w:r>
    </w:p>
    <w:p w:rsidR="00C638D4" w:rsidRDefault="00824CEA">
      <w:pPr>
        <w:pStyle w:val="Text1"/>
        <w:numPr>
          <w:ilvl w:val="0"/>
          <w:numId w:val="21"/>
        </w:numPr>
        <w:ind w:left="284" w:hanging="284"/>
        <w:rPr>
          <w:noProof/>
        </w:rPr>
      </w:pPr>
      <w:r>
        <w:rPr>
          <w:noProof/>
        </w:rPr>
        <w:t>osoba je dala izričitu privolu za predloženi prijenos podataka nakon</w:t>
      </w:r>
      <w:r>
        <w:rPr>
          <w:noProof/>
        </w:rPr>
        <w:t xml:space="preserve"> što je dobila sve potrebne informacije o rizicima prijenosa, </w:t>
      </w:r>
    </w:p>
    <w:p w:rsidR="00C638D4" w:rsidRDefault="00824CEA">
      <w:pPr>
        <w:pStyle w:val="Text1"/>
        <w:numPr>
          <w:ilvl w:val="0"/>
          <w:numId w:val="21"/>
        </w:numPr>
        <w:ind w:left="284" w:hanging="284"/>
        <w:rPr>
          <w:noProof/>
        </w:rPr>
      </w:pPr>
      <w:r>
        <w:rPr>
          <w:noProof/>
        </w:rPr>
        <w:t xml:space="preserve">prijenos je potreban radi izvršavanja ili sklapanja ugovora između pojedinca i voditelja obrade podataka ili se ugovor sklapa u interesu pojedinca, </w:t>
      </w:r>
    </w:p>
    <w:p w:rsidR="00C638D4" w:rsidRDefault="00824CEA">
      <w:pPr>
        <w:pStyle w:val="Text1"/>
        <w:numPr>
          <w:ilvl w:val="0"/>
          <w:numId w:val="21"/>
        </w:numPr>
        <w:ind w:left="284" w:hanging="284"/>
        <w:rPr>
          <w:noProof/>
        </w:rPr>
      </w:pPr>
      <w:r>
        <w:rPr>
          <w:noProof/>
        </w:rPr>
        <w:t>prijenos podataka potreban je zbog važnih ra</w:t>
      </w:r>
      <w:r>
        <w:rPr>
          <w:noProof/>
        </w:rPr>
        <w:t>zloga javnog interesa, kao što je na primjer međunarodna razmjena podataka među službama nadležnima za pitanja socijalne sigurnosti</w:t>
      </w:r>
      <w:r>
        <w:rPr>
          <w:noProof/>
          <w:vertAlign w:val="superscript"/>
        </w:rPr>
        <w:footnoteReference w:id="9"/>
      </w:r>
      <w:r>
        <w:rPr>
          <w:noProof/>
        </w:rPr>
        <w:t xml:space="preserve">, </w:t>
      </w:r>
    </w:p>
    <w:p w:rsidR="00C638D4" w:rsidRDefault="00824CEA">
      <w:pPr>
        <w:pStyle w:val="Text1"/>
        <w:numPr>
          <w:ilvl w:val="0"/>
          <w:numId w:val="21"/>
        </w:numPr>
        <w:ind w:left="284" w:hanging="284"/>
        <w:rPr>
          <w:noProof/>
        </w:rPr>
      </w:pPr>
      <w:r>
        <w:rPr>
          <w:noProof/>
        </w:rPr>
        <w:t>prijenos podataka potreban je u svrhu uvjerljivih, legitimnih interesa organizacije, koji su iznad interesa pojedinca. Or</w:t>
      </w:r>
      <w:r>
        <w:rPr>
          <w:noProof/>
        </w:rPr>
        <w:t>ganizacija koja koristi ta odstupanja dužna je poduzeti odgovarajuće mjere zaštite osobnih podataka.</w:t>
      </w:r>
    </w:p>
    <w:p w:rsidR="00C638D4" w:rsidRDefault="00824CEA">
      <w:pPr>
        <w:pStyle w:val="Text1"/>
        <w:ind w:left="0"/>
        <w:rPr>
          <w:noProof/>
        </w:rPr>
      </w:pPr>
      <w:r>
        <w:rPr>
          <w:noProof/>
        </w:rPr>
        <w:t>Dodatne upute i objašnjenja o odstupanjima i načinu njihove primjene mogu se pronaći u smjernicama Europskog odbora za zaštitu podataka o odstupanjima u sk</w:t>
      </w:r>
      <w:r>
        <w:rPr>
          <w:noProof/>
        </w:rPr>
        <w:t>ladu s člankom 49.</w:t>
      </w:r>
      <w:r>
        <w:rPr>
          <w:noProof/>
          <w:vertAlign w:val="superscript"/>
        </w:rPr>
        <w:footnoteReference w:id="10"/>
      </w:r>
    </w:p>
    <w:p w:rsidR="00C638D4" w:rsidRDefault="00824CEA">
      <w:pPr>
        <w:pStyle w:val="Text1"/>
        <w:keepNext/>
        <w:ind w:left="0"/>
        <w:rPr>
          <w:i/>
          <w:noProof/>
        </w:rPr>
      </w:pPr>
      <w:r>
        <w:rPr>
          <w:i/>
          <w:noProof/>
        </w:rPr>
        <w:t>Instrumenti dostupni samo tijelima javne vlasti</w:t>
      </w:r>
    </w:p>
    <w:p w:rsidR="00C638D4" w:rsidRDefault="00824CEA">
      <w:pPr>
        <w:pStyle w:val="Text1"/>
        <w:ind w:left="0"/>
        <w:rPr>
          <w:noProof/>
        </w:rPr>
      </w:pPr>
      <w:r>
        <w:rPr>
          <w:noProof/>
        </w:rPr>
        <w:t>Nadležna tijela država članica mogu koristiti i zakonski neobvezujuće administrativne aranžmane, kao što je memorandum o razumijevanju</w:t>
      </w:r>
      <w:r>
        <w:rPr>
          <w:noProof/>
          <w:vertAlign w:val="superscript"/>
        </w:rPr>
        <w:footnoteReference w:id="11"/>
      </w:r>
      <w:r>
        <w:rPr>
          <w:noProof/>
        </w:rPr>
        <w:t>. Takve administrativne aranžmane odobrava nadležno n</w:t>
      </w:r>
      <w:r>
        <w:rPr>
          <w:noProof/>
        </w:rPr>
        <w:t>acionalno tijelo nadležno za zaštitu podataka na temelju mišljenja Europskog odbora za zaštitu podataka.</w:t>
      </w:r>
    </w:p>
    <w:p w:rsidR="00C638D4" w:rsidRDefault="00824CEA">
      <w:pPr>
        <w:pStyle w:val="Text1"/>
        <w:ind w:left="0"/>
        <w:rPr>
          <w:noProof/>
        </w:rPr>
      </w:pPr>
      <w:r>
        <w:rPr>
          <w:noProof/>
        </w:rPr>
        <w:t>Prema direktivi o zaštiti pojedinaca u vezi s obradom osobnih podataka, tijela kaznenog progona (tj. policija, tužiteljstvo) mogu prenositi osobne poda</w:t>
      </w:r>
      <w:r>
        <w:rPr>
          <w:noProof/>
        </w:rPr>
        <w:t>tke tijelima Ujedinjene Kraljevine ako na temelju vlastite procjene okolnosti prijenosa zaključe da postoje odgovarajuće mjere zaštite podataka</w:t>
      </w:r>
      <w:r>
        <w:rPr>
          <w:noProof/>
          <w:vertAlign w:val="superscript"/>
        </w:rPr>
        <w:footnoteReference w:id="12"/>
      </w:r>
      <w:r>
        <w:rPr>
          <w:noProof/>
        </w:rPr>
        <w:t>. Uredba o Europolu</w:t>
      </w:r>
      <w:r>
        <w:rPr>
          <w:noProof/>
          <w:vertAlign w:val="superscript"/>
        </w:rPr>
        <w:footnoteReference w:id="13"/>
      </w:r>
      <w:r>
        <w:rPr>
          <w:noProof/>
        </w:rPr>
        <w:t xml:space="preserve"> sadržava specifične odredbe o prijenosu osobnih podataka trećim zemljama od Europola, a dir</w:t>
      </w:r>
      <w:r>
        <w:rPr>
          <w:noProof/>
        </w:rPr>
        <w:t>ektiva o evidenciji podataka o putnicima</w:t>
      </w:r>
      <w:r>
        <w:rPr>
          <w:noProof/>
          <w:vertAlign w:val="superscript"/>
        </w:rPr>
        <w:footnoteReference w:id="14"/>
      </w:r>
      <w:r>
        <w:rPr>
          <w:noProof/>
        </w:rPr>
        <w:t xml:space="preserve"> specifične odredbe o prijenosu osobnih podataka tijelima trećih zemalja od odgovornih tijela država članica.</w:t>
      </w:r>
    </w:p>
    <w:p w:rsidR="00C638D4" w:rsidRDefault="00824CEA">
      <w:pPr>
        <w:pStyle w:val="Text1"/>
        <w:keepNext/>
        <w:ind w:left="0"/>
        <w:rPr>
          <w:b/>
          <w:i/>
          <w:noProof/>
        </w:rPr>
      </w:pPr>
      <w:r>
        <w:rPr>
          <w:i/>
          <w:noProof/>
        </w:rPr>
        <w:t>Prijenos podataka Ujedinjenoj Kraljevini od gospodarskih subjekata</w:t>
      </w:r>
    </w:p>
    <w:p w:rsidR="00C638D4" w:rsidRDefault="00824CEA">
      <w:pPr>
        <w:pStyle w:val="Text1"/>
        <w:ind w:left="0"/>
        <w:rPr>
          <w:noProof/>
        </w:rPr>
      </w:pPr>
      <w:r>
        <w:rPr>
          <w:noProof/>
        </w:rPr>
        <w:t>Instrumenti dostupni za prijenos podat</w:t>
      </w:r>
      <w:r>
        <w:rPr>
          <w:noProof/>
        </w:rPr>
        <w:t>aka trećim zemljama od privatnih poduzeća trebali bi biti dobro poznati gospodarskim subjektima u državama članicama i u Ujedinjenoj Kraljevini jer se već danas koriste za prijenos osobnih podataka trećim zemljama. Informacije o primjeni takvih instrumenat</w:t>
      </w:r>
      <w:r>
        <w:rPr>
          <w:noProof/>
        </w:rPr>
        <w:t>a za prijenos nedavno su dostavljene dionicima u povodu stupanja na snagu novog propisa o zaštiti podataka u svibnju 2018. Države članice se međutim potiče da o tim instrumentima informiraju poduzeća koja nisu upoznata s prijenosom podataka trećim zemljama</w:t>
      </w:r>
      <w:r>
        <w:rPr>
          <w:noProof/>
        </w:rPr>
        <w:t xml:space="preserve">, npr. mala i srednja poduzeća koja su prije poslovala samo s državama članicama. </w:t>
      </w:r>
    </w:p>
    <w:p w:rsidR="00C638D4" w:rsidRDefault="00824CEA">
      <w:pPr>
        <w:pStyle w:val="Text1"/>
        <w:keepNext/>
        <w:ind w:left="0"/>
        <w:rPr>
          <w:i/>
          <w:noProof/>
        </w:rPr>
      </w:pPr>
      <w:r>
        <w:rPr>
          <w:i/>
          <w:noProof/>
        </w:rPr>
        <w:t>Kontinuirana podrška državama članicama</w:t>
      </w:r>
    </w:p>
    <w:p w:rsidR="00C638D4" w:rsidRDefault="00824CEA">
      <w:pPr>
        <w:pStyle w:val="Text1"/>
        <w:ind w:left="0"/>
        <w:rPr>
          <w:noProof/>
        </w:rPr>
      </w:pPr>
      <w:r>
        <w:rPr>
          <w:noProof/>
        </w:rPr>
        <w:t>Komisija, a osobito njezina Glavna uprava za pravosuđe i zaštitu potrošača, surađuje sa zainteresiranim stranama i tijelima nadležnima za zaštitu podataka da bi se što bolje iskoristili instrumenti za prijenos iz Opće uredbe o zaštiti podataka i spremna je</w:t>
      </w:r>
      <w:r>
        <w:rPr>
          <w:noProof/>
        </w:rPr>
        <w:t xml:space="preserve"> državama članicama pružiti podršku radi primjene tih dostupnih instrumenata. Komisija je osim toga osnovala stručnu skupinu dionika koja okuplja predstavnike gospodarskih subjekata, civilnog društva i akademske zajednice radi podrške primjeni Opće uredbe </w:t>
      </w:r>
      <w:r>
        <w:rPr>
          <w:noProof/>
        </w:rPr>
        <w:t xml:space="preserve">o zaštiti podataka. Zainteresirane strane mogu se obratiti i svojim nacionalnim tijelima za zaštitu podataka i dobiti detaljnije informacije o primjeni instrumenata za prijenos podataka. </w:t>
      </w:r>
    </w:p>
    <w:p w:rsidR="00C638D4" w:rsidRDefault="00824CEA">
      <w:pPr>
        <w:pStyle w:val="Heading1"/>
        <w:rPr>
          <w:noProof/>
        </w:rPr>
      </w:pPr>
      <w:r>
        <w:rPr>
          <w:noProof/>
        </w:rPr>
        <w:t>Dodatne informacije</w:t>
      </w:r>
    </w:p>
    <w:p w:rsidR="00C638D4" w:rsidRDefault="00824CEA">
      <w:pPr>
        <w:pStyle w:val="Text1"/>
        <w:ind w:left="0"/>
        <w:rPr>
          <w:noProof/>
        </w:rPr>
      </w:pPr>
      <w:r>
        <w:rPr>
          <w:noProof/>
        </w:rPr>
        <w:t>Dodatne informacije o posljedicama neurednog pov</w:t>
      </w:r>
      <w:r>
        <w:rPr>
          <w:noProof/>
        </w:rPr>
        <w:t>lačenja Ujedinjene Kraljevine na zaštitu podataka javna tijela i dionici mogu pronaći na sljedećim stranicama Komisije:</w:t>
      </w:r>
    </w:p>
    <w:p w:rsidR="00C638D4" w:rsidRDefault="00824CEA">
      <w:pPr>
        <w:pStyle w:val="Text1"/>
        <w:ind w:left="0"/>
        <w:rPr>
          <w:noProof/>
        </w:rPr>
      </w:pPr>
      <w:hyperlink r:id="rId22">
        <w:r>
          <w:rPr>
            <w:rStyle w:val="Hyperlink"/>
            <w:noProof/>
          </w:rPr>
          <w:t>https://ec.europa.eu/info/brexit/brexit-</w:t>
        </w:r>
        <w:r>
          <w:rPr>
            <w:rStyle w:val="Hyperlink"/>
            <w:noProof/>
          </w:rPr>
          <w:t>preparedness/preparedness-notices_en</w:t>
        </w:r>
      </w:hyperlink>
    </w:p>
    <w:p w:rsidR="00C638D4" w:rsidRDefault="00C638D4">
      <w:pPr>
        <w:pStyle w:val="Text1"/>
        <w:ind w:left="0"/>
        <w:rPr>
          <w:noProof/>
        </w:rPr>
      </w:pPr>
    </w:p>
    <w:sectPr w:rsidR="00C638D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020" w:right="1701" w:bottom="1020" w:left="1587" w:header="601" w:footer="10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8D4" w:rsidRDefault="00824CEA">
      <w:pPr>
        <w:spacing w:after="0"/>
      </w:pPr>
      <w:r>
        <w:separator/>
      </w:r>
    </w:p>
  </w:endnote>
  <w:endnote w:type="continuationSeparator" w:id="0">
    <w:p w:rsidR="00C638D4" w:rsidRDefault="00824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D4" w:rsidRDefault="00C638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D4" w:rsidRDefault="00824CEA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D4" w:rsidRDefault="00C638D4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D4" w:rsidRDefault="00824CEA">
    <w:pPr>
      <w:pStyle w:val="FooterLi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D4" w:rsidRDefault="00824CEA">
    <w:pPr>
      <w:pStyle w:val="FooterLine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D4" w:rsidRDefault="00C63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8D4" w:rsidRDefault="00824CEA">
      <w:pPr>
        <w:spacing w:after="0"/>
      </w:pPr>
      <w:r>
        <w:separator/>
      </w:r>
    </w:p>
  </w:footnote>
  <w:footnote w:type="continuationSeparator" w:id="0">
    <w:p w:rsidR="00C638D4" w:rsidRDefault="00824CEA">
      <w:pPr>
        <w:spacing w:after="0"/>
      </w:pPr>
      <w:r>
        <w:continuationSeparator/>
      </w:r>
    </w:p>
  </w:footnote>
  <w:footnote w:id="1">
    <w:p w:rsidR="00C638D4" w:rsidRDefault="00824CEA">
      <w:pPr>
        <w:pStyle w:val="FootnoteText"/>
        <w:ind w:left="284" w:hanging="284"/>
      </w:pPr>
      <w:r>
        <w:rPr>
          <w:vertAlign w:val="superscript"/>
        </w:rPr>
        <w:footnoteRef/>
      </w:r>
      <w:r>
        <w:t xml:space="preserve"> </w:t>
      </w:r>
      <w:r>
        <w:tab/>
        <w:t xml:space="preserve">Odluka Europskog vijeća 2019/476 donesena u dogovoru s Ujedinjenom Kraljevinom, od 22. ožujka 2019. o produljenju razdoblja </w:t>
      </w:r>
      <w:r>
        <w:t>iz članka 50. stavka 3. UEU-a, SL L 80 I, 22.3.2019., str. 1.</w:t>
      </w:r>
    </w:p>
  </w:footnote>
  <w:footnote w:id="2">
    <w:p w:rsidR="00C638D4" w:rsidRDefault="00824CEA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>Uredba (EU) 2016/679 Europskog parlamenta i Vijeća od 27. travnja 2016. o zaštiti pojedinaca u vezi s obradom osobnih podataka i o slobodnom kretanju takvih podataka te o stavljanju izvan sna</w:t>
      </w:r>
      <w:r>
        <w:t>ge Direktive 95/46/EZ (Opća uredba o zaštiti podataka), SL L 119, 4.5.2016., str. 1.</w:t>
      </w:r>
    </w:p>
  </w:footnote>
  <w:footnote w:id="3">
    <w:p w:rsidR="00C638D4" w:rsidRDefault="00824CEA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>Direktiva (EU) 2016/680 Europskog parlamenta i Vijeća od 27. travnja 2016. o zaštiti pojedinaca u vezi s obradom osobnih podataka od strane nadležnih tijela u svrhe spr</w:t>
      </w:r>
      <w:r>
        <w:t>ečavanja, istrage, otkrivanja ili progona kaznenih djela ili izvršavanja kaznenih sankcija i o slobodnom kretanju takvih podataka te o stavljanju izvan snage Okvirne odluke Vijeća 2008/977/PUP, SL L 119, 4.5.2016., str. 89.</w:t>
      </w:r>
    </w:p>
  </w:footnote>
  <w:footnote w:id="4">
    <w:p w:rsidR="00C638D4" w:rsidRDefault="00824CEA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Te zemlje i područja su </w:t>
      </w:r>
      <w:hyperlink r:id="rId1">
        <w:r>
          <w:t>Andora</w:t>
        </w:r>
      </w:hyperlink>
      <w:r>
        <w:t xml:space="preserve">, </w:t>
      </w:r>
      <w:hyperlink r:id="rId2">
        <w:r>
          <w:t>Argentina</w:t>
        </w:r>
      </w:hyperlink>
      <w:r>
        <w:t xml:space="preserve">, </w:t>
      </w:r>
      <w:hyperlink r:id="rId3">
        <w:r>
          <w:t>Kanada</w:t>
        </w:r>
      </w:hyperlink>
      <w:r>
        <w:t xml:space="preserve"> (samo komercijalne organizacije), </w:t>
      </w:r>
      <w:hyperlink r:id="rId4">
        <w:r>
          <w:t>Farski Otoci</w:t>
        </w:r>
      </w:hyperlink>
      <w:r>
        <w:t xml:space="preserve">, </w:t>
      </w:r>
      <w:hyperlink r:id="rId5">
        <w:r>
          <w:t>Gue</w:t>
        </w:r>
        <w:r>
          <w:t>rnsey</w:t>
        </w:r>
      </w:hyperlink>
      <w:r>
        <w:t xml:space="preserve">, </w:t>
      </w:r>
      <w:hyperlink r:id="rId6">
        <w:r>
          <w:t>Izrael</w:t>
        </w:r>
      </w:hyperlink>
      <w:r>
        <w:t xml:space="preserve">, </w:t>
      </w:r>
      <w:hyperlink r:id="rId7">
        <w:r>
          <w:t>Otok Man</w:t>
        </w:r>
      </w:hyperlink>
      <w:r>
        <w:t xml:space="preserve">, </w:t>
      </w:r>
      <w:hyperlink r:id="rId8">
        <w:r>
          <w:t>Japan</w:t>
        </w:r>
      </w:hyperlink>
      <w:r>
        <w:t xml:space="preserve">, </w:t>
      </w:r>
      <w:hyperlink r:id="rId9">
        <w:r>
          <w:t>Jersey</w:t>
        </w:r>
      </w:hyperlink>
      <w:r>
        <w:t xml:space="preserve">, </w:t>
      </w:r>
      <w:hyperlink r:id="rId10">
        <w:r>
          <w:t>Novi Zeland</w:t>
        </w:r>
      </w:hyperlink>
      <w:r>
        <w:t xml:space="preserve">, </w:t>
      </w:r>
      <w:hyperlink r:id="rId11">
        <w:r>
          <w:t>Švicarska</w:t>
        </w:r>
      </w:hyperlink>
      <w:r>
        <w:t xml:space="preserve">, </w:t>
      </w:r>
      <w:hyperlink r:id="rId12">
        <w:r>
          <w:t>Urugvaj</w:t>
        </w:r>
      </w:hyperlink>
      <w:r>
        <w:t xml:space="preserve"> i </w:t>
      </w:r>
      <w:hyperlink r:id="rId13">
        <w:r>
          <w:t>Sjedinjene Američke Države</w:t>
        </w:r>
      </w:hyperlink>
      <w:r>
        <w:t xml:space="preserve"> (ograničeno na </w:t>
      </w:r>
      <w:hyperlink r:id="rId14">
        <w:r>
          <w:t>sustav zaštite privatnosti</w:t>
        </w:r>
      </w:hyperlink>
      <w:r>
        <w:t>).</w:t>
      </w:r>
    </w:p>
  </w:footnote>
  <w:footnote w:id="5">
    <w:p w:rsidR="00C638D4" w:rsidRDefault="00824CEA">
      <w:pPr>
        <w:pStyle w:val="FootnoteText"/>
      </w:pPr>
      <w:r>
        <w:t xml:space="preserve"> </w:t>
      </w:r>
      <w:r>
        <w:rPr>
          <w:rStyle w:val="FootnoteReference"/>
        </w:rPr>
        <w:footnoteRef/>
      </w:r>
      <w:r>
        <w:t xml:space="preserve"> </w:t>
      </w:r>
      <w:r>
        <w:tab/>
      </w:r>
      <w:hyperlink r:id="rId15">
        <w:r>
          <w:rPr>
            <w:rStyle w:val="Hyperlink"/>
          </w:rPr>
          <w:t>https://ec.europa.eu/info/law/la</w:t>
        </w:r>
        <w:r>
          <w:rPr>
            <w:rStyle w:val="Hyperlink"/>
          </w:rPr>
          <w:t>w-topic/data-protection/data-transfers-outside-eu/model-contracts-transfer-personal-data-third-countries_en</w:t>
        </w:r>
      </w:hyperlink>
      <w:r>
        <w:t xml:space="preserve"> </w:t>
      </w:r>
    </w:p>
  </w:footnote>
  <w:footnote w:id="6">
    <w:p w:rsidR="00C638D4" w:rsidRDefault="00824C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6">
        <w:r>
          <w:rPr>
            <w:rStyle w:val="Hyperlink"/>
          </w:rPr>
          <w:t>https://ec.europa.eu/info/sites/info/files/file</w:t>
        </w:r>
        <w:r>
          <w:rPr>
            <w:rStyle w:val="Hyperlink"/>
          </w:rPr>
          <w:t>_import/data_protection_en.pdf</w:t>
        </w:r>
      </w:hyperlink>
      <w:r>
        <w:t xml:space="preserve"> </w:t>
      </w:r>
    </w:p>
  </w:footnote>
  <w:footnote w:id="7">
    <w:p w:rsidR="00C638D4" w:rsidRDefault="00824C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7">
        <w:r>
          <w:rPr>
            <w:rStyle w:val="Hyperlink"/>
          </w:rPr>
          <w:t>https://edpb.europa.eu/our-work-tools/our-documents/other/information-note-da</w:t>
        </w:r>
        <w:r>
          <w:rPr>
            <w:rStyle w:val="Hyperlink"/>
          </w:rPr>
          <w:t>ta-transfers-under-gdpr-event-no-deal-brexit_en</w:t>
        </w:r>
      </w:hyperlink>
      <w:r>
        <w:t xml:space="preserve"> </w:t>
      </w:r>
    </w:p>
  </w:footnote>
  <w:footnote w:id="8">
    <w:p w:rsidR="00C638D4" w:rsidRDefault="00824C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U skladu s člankom 49. Opće uredbe o zaštiti podataka.</w:t>
      </w:r>
    </w:p>
  </w:footnote>
  <w:footnote w:id="9">
    <w:p w:rsidR="00C638D4" w:rsidRDefault="00824CEA">
      <w:pPr>
        <w:pStyle w:val="FootnoteText"/>
        <w:ind w:left="284" w:hanging="284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ab/>
        <w:t xml:space="preserve">Uvodna izjava 112. Opće uredbe o zaštiti podataka. </w:t>
      </w:r>
    </w:p>
  </w:footnote>
  <w:footnote w:id="10">
    <w:p w:rsidR="00C638D4" w:rsidRDefault="00824CEA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8">
        <w:r>
          <w:rPr>
            <w:rStyle w:val="Hyperlink"/>
          </w:rPr>
          <w:t>https://edpb.europa.eu/our-work-tools/our-documents/guidelines/guidelines-22018-derogations-article-49-under-regulation_en</w:t>
        </w:r>
      </w:hyperlink>
      <w:r>
        <w:t xml:space="preserve"> </w:t>
      </w:r>
    </w:p>
  </w:footnote>
  <w:footnote w:id="11">
    <w:p w:rsidR="00C638D4" w:rsidRDefault="00824CEA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>Članak 46. stavak 3. točka (b) Opće uredbe o zaštiti podataka. Najnoviji primj</w:t>
      </w:r>
      <w:r>
        <w:t>er takvih aranžmana za koje je Europski odbor za zaštitu podataka (EDPB) dao pozitivno mišljenje administrativni je aranžman za prijenos osobnih podataka između financijskih nadzornih tijela Europskog gospodarskog prostora (EGP) i financijskih nadzornih ti</w:t>
      </w:r>
      <w:r>
        <w:t xml:space="preserve">jela izvan Europskog gospodarskog prostora. Tekst aranžmana dostupan je na stranicama EDPB-a. </w:t>
      </w:r>
      <w:hyperlink r:id="rId19">
        <w:r>
          <w:rPr>
            <w:rStyle w:val="Hyperlink"/>
          </w:rPr>
          <w:t>https://edpb.europ</w:t>
        </w:r>
        <w:r>
          <w:rPr>
            <w:rStyle w:val="Hyperlink"/>
          </w:rPr>
          <w:t>a.eu/our-work-tools/our-documents/other/draft-administrative-arrangement-transfer-personal-data-between_en</w:t>
        </w:r>
      </w:hyperlink>
      <w:r>
        <w:t xml:space="preserve"> </w:t>
      </w:r>
    </w:p>
  </w:footnote>
  <w:footnote w:id="12">
    <w:p w:rsidR="00C638D4" w:rsidRDefault="00824CEA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>Članak 37. stavak 1. točka (b) Direktive (EU) 2016/680.</w:t>
      </w:r>
    </w:p>
  </w:footnote>
  <w:footnote w:id="13">
    <w:p w:rsidR="00C638D4" w:rsidRDefault="00824CEA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Članak 25. Uredbe (EU) 2016/794 Europskog parlamenta i Vijeća od 11. svibnja 2016. o </w:t>
      </w:r>
      <w:r>
        <w:t>Agenciji Europske unije za suradnju tijela za izvršavanje zakonodavstva (Europol), SL L 135, 24.5.2016., str. 53.</w:t>
      </w:r>
    </w:p>
  </w:footnote>
  <w:footnote w:id="14">
    <w:p w:rsidR="00C638D4" w:rsidRDefault="00824CEA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>Članak 11. Direktive (EU) 2016/681 Europskog parlamenta i Vijeća od 27. travnja 2016. o uporabi podataka iz evidencije podataka o putnicima</w:t>
      </w:r>
      <w:r>
        <w:t xml:space="preserve"> (PNR) u svrhu sprečavanja, otkrivanja, istrage i kaznenog progona kaznenih djela terorizma i teških kaznenih djela, SL L 119, 4.5.2016., str. 132.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D4" w:rsidRDefault="00C638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D4" w:rsidRDefault="00C638D4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D4" w:rsidRDefault="00C638D4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D4" w:rsidRDefault="00C638D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D4" w:rsidRDefault="00C638D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8396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38D4" w:rsidRDefault="00824C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38D4" w:rsidRDefault="00C63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00F7"/>
    <w:multiLevelType w:val="multilevel"/>
    <w:tmpl w:val="AA6A57FA"/>
    <w:name w:val="ListDash4Numbering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>
      <w:start w:val="1"/>
      <w:numFmt w:val="bullet"/>
      <w:pStyle w:val="ListDash4Level2"/>
      <w:lvlText w:val="–"/>
      <w:lvlJc w:val="left"/>
      <w:pPr>
        <w:tabs>
          <w:tab w:val="num" w:pos="1769"/>
        </w:tabs>
        <w:ind w:left="1769" w:hanging="284"/>
      </w:pPr>
      <w:rPr>
        <w:rFonts w:ascii="Times New Roman" w:hAnsi="Times New Roman"/>
      </w:rPr>
    </w:lvl>
    <w:lvl w:ilvl="2">
      <w:start w:val="1"/>
      <w:numFmt w:val="bullet"/>
      <w:pStyle w:val="ListDash4Level3"/>
      <w:lvlText w:val="–"/>
      <w:lvlJc w:val="left"/>
      <w:pPr>
        <w:tabs>
          <w:tab w:val="num" w:pos="2052"/>
        </w:tabs>
        <w:ind w:left="2052" w:hanging="283"/>
      </w:pPr>
      <w:rPr>
        <w:rFonts w:ascii="Times New Roman" w:hAnsi="Times New Roman"/>
      </w:rPr>
    </w:lvl>
    <w:lvl w:ilvl="3">
      <w:start w:val="1"/>
      <w:numFmt w:val="bullet"/>
      <w:pStyle w:val="ListDash4Level4"/>
      <w:lvlText w:val="–"/>
      <w:lvlJc w:val="left"/>
      <w:pPr>
        <w:tabs>
          <w:tab w:val="num" w:pos="2336"/>
        </w:tabs>
        <w:ind w:left="233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EFB7115"/>
    <w:multiLevelType w:val="multilevel"/>
    <w:tmpl w:val="A24EFF48"/>
    <w:name w:val="ListNumber3Numbering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120B7201"/>
    <w:multiLevelType w:val="multilevel"/>
    <w:tmpl w:val="47DE5BAC"/>
    <w:name w:val="ListNumberNumbering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1262685D"/>
    <w:multiLevelType w:val="multilevel"/>
    <w:tmpl w:val="943EA59E"/>
    <w:name w:val="ListBullet4Numbering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start w:val="1"/>
      <w:numFmt w:val="bullet"/>
      <w:pStyle w:val="ListBullet4Level2"/>
      <w:lvlText w:val=""/>
      <w:lvlJc w:val="left"/>
      <w:pPr>
        <w:tabs>
          <w:tab w:val="num" w:pos="1769"/>
        </w:tabs>
        <w:ind w:left="1769" w:hanging="284"/>
      </w:pPr>
      <w:rPr>
        <w:rFonts w:ascii="Symbol" w:hAnsi="Symbol"/>
      </w:rPr>
    </w:lvl>
    <w:lvl w:ilvl="2">
      <w:start w:val="1"/>
      <w:numFmt w:val="bullet"/>
      <w:pStyle w:val="ListBullet4Level3"/>
      <w:lvlText w:val=""/>
      <w:lvlJc w:val="left"/>
      <w:pPr>
        <w:tabs>
          <w:tab w:val="num" w:pos="2052"/>
        </w:tabs>
        <w:ind w:left="2052" w:hanging="283"/>
      </w:pPr>
      <w:rPr>
        <w:rFonts w:ascii="Symbol" w:hAnsi="Symbol"/>
      </w:rPr>
    </w:lvl>
    <w:lvl w:ilvl="3">
      <w:start w:val="1"/>
      <w:numFmt w:val="bullet"/>
      <w:pStyle w:val="ListBullet4Level4"/>
      <w:lvlText w:val=""/>
      <w:lvlJc w:val="left"/>
      <w:pPr>
        <w:tabs>
          <w:tab w:val="num" w:pos="2336"/>
        </w:tabs>
        <w:ind w:left="233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143D0A16"/>
    <w:multiLevelType w:val="multilevel"/>
    <w:tmpl w:val="4DBCAA4C"/>
    <w:name w:val="ListBullet3Numbering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start w:val="1"/>
      <w:numFmt w:val="bullet"/>
      <w:pStyle w:val="ListBullet3Level2"/>
      <w:lvlText w:val=""/>
      <w:lvlJc w:val="left"/>
      <w:pPr>
        <w:tabs>
          <w:tab w:val="num" w:pos="1769"/>
        </w:tabs>
        <w:ind w:left="1769" w:hanging="284"/>
      </w:pPr>
      <w:rPr>
        <w:rFonts w:ascii="Symbol" w:hAnsi="Symbol"/>
      </w:rPr>
    </w:lvl>
    <w:lvl w:ilvl="2">
      <w:start w:val="1"/>
      <w:numFmt w:val="bullet"/>
      <w:pStyle w:val="ListBullet3Level3"/>
      <w:lvlText w:val=""/>
      <w:lvlJc w:val="left"/>
      <w:pPr>
        <w:tabs>
          <w:tab w:val="num" w:pos="2052"/>
        </w:tabs>
        <w:ind w:left="2052" w:hanging="283"/>
      </w:pPr>
      <w:rPr>
        <w:rFonts w:ascii="Symbol" w:hAnsi="Symbol"/>
      </w:rPr>
    </w:lvl>
    <w:lvl w:ilvl="3">
      <w:start w:val="1"/>
      <w:numFmt w:val="bullet"/>
      <w:pStyle w:val="ListBullet3Level4"/>
      <w:lvlText w:val=""/>
      <w:lvlJc w:val="left"/>
      <w:pPr>
        <w:tabs>
          <w:tab w:val="num" w:pos="2336"/>
        </w:tabs>
        <w:ind w:left="233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15103EAB"/>
    <w:multiLevelType w:val="hybridMultilevel"/>
    <w:tmpl w:val="D44033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F0AC5"/>
    <w:multiLevelType w:val="multilevel"/>
    <w:tmpl w:val="A96C1276"/>
    <w:name w:val="ListNumber2Numbering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1C7B624F"/>
    <w:multiLevelType w:val="multilevel"/>
    <w:tmpl w:val="92D2269A"/>
    <w:name w:val="ListDash2Numbering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>
      <w:start w:val="1"/>
      <w:numFmt w:val="bullet"/>
      <w:pStyle w:val="ListDash2Level2"/>
      <w:lvlText w:val="–"/>
      <w:lvlJc w:val="left"/>
      <w:pPr>
        <w:tabs>
          <w:tab w:val="num" w:pos="1769"/>
        </w:tabs>
        <w:ind w:left="1769" w:hanging="284"/>
      </w:pPr>
      <w:rPr>
        <w:rFonts w:ascii="Times New Roman" w:hAnsi="Times New Roman"/>
      </w:rPr>
    </w:lvl>
    <w:lvl w:ilvl="2">
      <w:start w:val="1"/>
      <w:numFmt w:val="bullet"/>
      <w:pStyle w:val="ListDash2Level3"/>
      <w:lvlText w:val="–"/>
      <w:lvlJc w:val="left"/>
      <w:pPr>
        <w:tabs>
          <w:tab w:val="num" w:pos="2052"/>
        </w:tabs>
        <w:ind w:left="2052" w:hanging="283"/>
      </w:pPr>
      <w:rPr>
        <w:rFonts w:ascii="Times New Roman" w:hAnsi="Times New Roman"/>
      </w:rPr>
    </w:lvl>
    <w:lvl w:ilvl="3">
      <w:start w:val="1"/>
      <w:numFmt w:val="bullet"/>
      <w:pStyle w:val="ListDash2Level4"/>
      <w:lvlText w:val="–"/>
      <w:lvlJc w:val="left"/>
      <w:pPr>
        <w:tabs>
          <w:tab w:val="num" w:pos="2336"/>
        </w:tabs>
        <w:ind w:left="233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2C8DFDF8"/>
    <w:multiLevelType w:val="multilevel"/>
    <w:tmpl w:val="40686314"/>
    <w:name w:val="ListBullet2Numbering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start w:val="1"/>
      <w:numFmt w:val="bullet"/>
      <w:pStyle w:val="ListBullet2Level2"/>
      <w:lvlText w:val=""/>
      <w:lvlJc w:val="left"/>
      <w:pPr>
        <w:tabs>
          <w:tab w:val="num" w:pos="1769"/>
        </w:tabs>
        <w:ind w:left="1769" w:hanging="284"/>
      </w:pPr>
      <w:rPr>
        <w:rFonts w:ascii="Symbol" w:hAnsi="Symbol"/>
      </w:rPr>
    </w:lvl>
    <w:lvl w:ilvl="2">
      <w:start w:val="1"/>
      <w:numFmt w:val="bullet"/>
      <w:pStyle w:val="ListBullet2Level3"/>
      <w:lvlText w:val=""/>
      <w:lvlJc w:val="left"/>
      <w:pPr>
        <w:tabs>
          <w:tab w:val="num" w:pos="2052"/>
        </w:tabs>
        <w:ind w:left="2052" w:hanging="283"/>
      </w:pPr>
      <w:rPr>
        <w:rFonts w:ascii="Symbol" w:hAnsi="Symbol"/>
      </w:rPr>
    </w:lvl>
    <w:lvl w:ilvl="3">
      <w:start w:val="1"/>
      <w:numFmt w:val="bullet"/>
      <w:pStyle w:val="ListBullet2Level4"/>
      <w:lvlText w:val=""/>
      <w:lvlJc w:val="left"/>
      <w:pPr>
        <w:tabs>
          <w:tab w:val="num" w:pos="2336"/>
        </w:tabs>
        <w:ind w:left="233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2D293CE3"/>
    <w:multiLevelType w:val="multilevel"/>
    <w:tmpl w:val="BB2C0B9C"/>
    <w:name w:val="LegalNumParNumbering"/>
    <w:lvl w:ilvl="0">
      <w:start w:val="1"/>
      <w:numFmt w:val="decimal"/>
      <w:pStyle w:val="LegalNumPar"/>
      <w:lvlText w:val="%1."/>
      <w:lvlJc w:val="left"/>
      <w:pPr>
        <w:tabs>
          <w:tab w:val="num" w:pos="476"/>
        </w:tabs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tabs>
          <w:tab w:val="num" w:pos="952"/>
        </w:tabs>
        <w:ind w:left="952" w:hanging="476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tabs>
          <w:tab w:val="num" w:pos="1429"/>
        </w:tabs>
        <w:ind w:left="1429" w:hanging="477"/>
      </w:pPr>
      <w:rPr>
        <w:rFonts w:hint="default"/>
      </w:r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36324F1E"/>
    <w:multiLevelType w:val="multilevel"/>
    <w:tmpl w:val="34A4EF2A"/>
    <w:name w:val="ListDash3Numbering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>
      <w:start w:val="1"/>
      <w:numFmt w:val="bullet"/>
      <w:pStyle w:val="ListDash3Level2"/>
      <w:lvlText w:val="–"/>
      <w:lvlJc w:val="left"/>
      <w:pPr>
        <w:tabs>
          <w:tab w:val="num" w:pos="1769"/>
        </w:tabs>
        <w:ind w:left="1769" w:hanging="284"/>
      </w:pPr>
      <w:rPr>
        <w:rFonts w:ascii="Times New Roman" w:hAnsi="Times New Roman"/>
      </w:rPr>
    </w:lvl>
    <w:lvl w:ilvl="2">
      <w:start w:val="1"/>
      <w:numFmt w:val="bullet"/>
      <w:pStyle w:val="ListDash3Level3"/>
      <w:lvlText w:val="–"/>
      <w:lvlJc w:val="left"/>
      <w:pPr>
        <w:tabs>
          <w:tab w:val="num" w:pos="2052"/>
        </w:tabs>
        <w:ind w:left="2052" w:hanging="283"/>
      </w:pPr>
      <w:rPr>
        <w:rFonts w:ascii="Times New Roman" w:hAnsi="Times New Roman"/>
      </w:rPr>
    </w:lvl>
    <w:lvl w:ilvl="3">
      <w:start w:val="1"/>
      <w:numFmt w:val="bullet"/>
      <w:pStyle w:val="ListDash3Level4"/>
      <w:lvlText w:val="–"/>
      <w:lvlJc w:val="left"/>
      <w:pPr>
        <w:tabs>
          <w:tab w:val="num" w:pos="2336"/>
        </w:tabs>
        <w:ind w:left="233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37CB1E1C"/>
    <w:multiLevelType w:val="multilevel"/>
    <w:tmpl w:val="448653B4"/>
    <w:name w:val="ListDash1Numbering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  <w:lvl w:ilvl="1">
      <w:start w:val="1"/>
      <w:numFmt w:val="bullet"/>
      <w:pStyle w:val="ListDash1Level2"/>
      <w:lvlText w:val="–"/>
      <w:lvlJc w:val="left"/>
      <w:pPr>
        <w:tabs>
          <w:tab w:val="num" w:pos="1049"/>
        </w:tabs>
        <w:ind w:left="1049" w:hanging="284"/>
      </w:pPr>
      <w:rPr>
        <w:rFonts w:ascii="Times New Roman" w:hAnsi="Times New Roman"/>
      </w:rPr>
    </w:lvl>
    <w:lvl w:ilvl="2">
      <w:start w:val="1"/>
      <w:numFmt w:val="bullet"/>
      <w:pStyle w:val="ListDash1Level3"/>
      <w:lvlText w:val="–"/>
      <w:lvlJc w:val="left"/>
      <w:pPr>
        <w:tabs>
          <w:tab w:val="num" w:pos="1332"/>
        </w:tabs>
        <w:ind w:left="1332" w:hanging="283"/>
      </w:pPr>
      <w:rPr>
        <w:rFonts w:ascii="Times New Roman" w:hAnsi="Times New Roman"/>
      </w:rPr>
    </w:lvl>
    <w:lvl w:ilvl="3">
      <w:start w:val="1"/>
      <w:numFmt w:val="bullet"/>
      <w:pStyle w:val="ListDash1Level4"/>
      <w:lvlText w:val="–"/>
      <w:lvlJc w:val="left"/>
      <w:pPr>
        <w:tabs>
          <w:tab w:val="num" w:pos="1616"/>
        </w:tabs>
        <w:ind w:left="161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2" w15:restartNumberingAfterBreak="0">
    <w:nsid w:val="3A7730C4"/>
    <w:multiLevelType w:val="multilevel"/>
    <w:tmpl w:val="0D189DCC"/>
    <w:name w:val="ListBullet1Numbering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  <w:lvl w:ilvl="1">
      <w:start w:val="1"/>
      <w:numFmt w:val="bullet"/>
      <w:pStyle w:val="ListBullet1Level2"/>
      <w:lvlText w:val=""/>
      <w:lvlJc w:val="left"/>
      <w:pPr>
        <w:tabs>
          <w:tab w:val="num" w:pos="1049"/>
        </w:tabs>
        <w:ind w:left="1049" w:hanging="284"/>
      </w:pPr>
      <w:rPr>
        <w:rFonts w:ascii="Symbol" w:hAnsi="Symbol"/>
      </w:rPr>
    </w:lvl>
    <w:lvl w:ilvl="2">
      <w:start w:val="1"/>
      <w:numFmt w:val="bullet"/>
      <w:pStyle w:val="ListBullet1Level3"/>
      <w:lvlText w:val=""/>
      <w:lvlJc w:val="left"/>
      <w:pPr>
        <w:tabs>
          <w:tab w:val="num" w:pos="1332"/>
        </w:tabs>
        <w:ind w:left="1332" w:hanging="283"/>
      </w:pPr>
      <w:rPr>
        <w:rFonts w:ascii="Symbol" w:hAnsi="Symbol"/>
      </w:rPr>
    </w:lvl>
    <w:lvl w:ilvl="3">
      <w:start w:val="1"/>
      <w:numFmt w:val="bullet"/>
      <w:pStyle w:val="ListBullet1Level4"/>
      <w:lvlText w:val=""/>
      <w:lvlJc w:val="left"/>
      <w:pPr>
        <w:tabs>
          <w:tab w:val="num" w:pos="1616"/>
        </w:tabs>
        <w:ind w:left="161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3" w15:restartNumberingAfterBreak="0">
    <w:nsid w:val="429E662A"/>
    <w:multiLevelType w:val="multilevel"/>
    <w:tmpl w:val="2FC8873C"/>
    <w:name w:val="ListNumber1Numbering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4" w15:restartNumberingAfterBreak="0">
    <w:nsid w:val="43B708D7"/>
    <w:multiLevelType w:val="multilevel"/>
    <w:tmpl w:val="14D69CFA"/>
    <w:styleLink w:val="ImportedStyle1"/>
    <w:lvl w:ilvl="0">
      <w:start w:val="1"/>
      <w:numFmt w:val="decimal"/>
      <w:lvlText w:val="%1."/>
      <w:lvlJc w:val="left"/>
      <w:pPr>
        <w:ind w:left="48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77" w:hanging="6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922" w:hanging="83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9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38" w:hanging="9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838" w:hanging="9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838" w:hanging="9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38" w:hanging="9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838" w:hanging="9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C477C97"/>
    <w:multiLevelType w:val="multilevel"/>
    <w:tmpl w:val="14D69CFA"/>
    <w:numStyleLink w:val="ImportedStyle1"/>
  </w:abstractNum>
  <w:abstractNum w:abstractNumId="16" w15:restartNumberingAfterBreak="0">
    <w:nsid w:val="4E1A982C"/>
    <w:multiLevelType w:val="multilevel"/>
    <w:tmpl w:val="625CE4A4"/>
    <w:name w:val="ListBulletNumbering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pStyle w:val="ListBulletLevel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/>
      </w:rPr>
    </w:lvl>
    <w:lvl w:ilvl="2">
      <w:start w:val="1"/>
      <w:numFmt w:val="bullet"/>
      <w:pStyle w:val="ListBulletLevel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pStyle w:val="ListBulletLevel4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7" w15:restartNumberingAfterBreak="0">
    <w:nsid w:val="5072619B"/>
    <w:multiLevelType w:val="multilevel"/>
    <w:tmpl w:val="99A4CB20"/>
    <w:name w:val="ListDashNumbering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start w:val="1"/>
      <w:numFmt w:val="bullet"/>
      <w:pStyle w:val="ListDashLevel2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</w:rPr>
    </w:lvl>
    <w:lvl w:ilvl="2">
      <w:start w:val="1"/>
      <w:numFmt w:val="bullet"/>
      <w:pStyle w:val="ListDashLevel3"/>
      <w:lvlText w:val="–"/>
      <w:lvlJc w:val="left"/>
      <w:pPr>
        <w:tabs>
          <w:tab w:val="num" w:pos="850"/>
        </w:tabs>
        <w:ind w:left="850" w:hanging="283"/>
      </w:pPr>
      <w:rPr>
        <w:rFonts w:ascii="Times New Roman" w:hAnsi="Times New Roman"/>
      </w:rPr>
    </w:lvl>
    <w:lvl w:ilvl="3">
      <w:start w:val="1"/>
      <w:numFmt w:val="bullet"/>
      <w:pStyle w:val="ListDashLevel4"/>
      <w:lvlText w:val="–"/>
      <w:lvlJc w:val="left"/>
      <w:pPr>
        <w:tabs>
          <w:tab w:val="num" w:pos="1134"/>
        </w:tabs>
        <w:ind w:left="1134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8" w15:restartNumberingAfterBreak="0">
    <w:nsid w:val="6977472E"/>
    <w:multiLevelType w:val="multilevel"/>
    <w:tmpl w:val="F47CD8F4"/>
    <w:name w:val="ListNumber4Numbering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9" w15:restartNumberingAfterBreak="0">
    <w:nsid w:val="79807DF9"/>
    <w:multiLevelType w:val="hybridMultilevel"/>
    <w:tmpl w:val="F4643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5145E"/>
    <w:multiLevelType w:val="multilevel"/>
    <w:tmpl w:val="B2AE485C"/>
    <w:name w:val="EurolookHeading"/>
    <w:lvl w:ilvl="0">
      <w:start w:val="1"/>
      <w:numFmt w:val="decimal"/>
      <w:pStyle w:val="Heading1"/>
      <w:lvlText w:val="%1."/>
      <w:lvlJc w:val="left"/>
      <w:pPr>
        <w:tabs>
          <w:tab w:val="num" w:pos="482"/>
        </w:tabs>
        <w:ind w:left="482" w:hanging="48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2"/>
        </w:tabs>
        <w:ind w:left="1202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2"/>
        </w:tabs>
        <w:ind w:left="1922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2"/>
        </w:tabs>
        <w:ind w:left="1922" w:hanging="72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880"/>
        </w:tabs>
        <w:ind w:left="3838" w:hanging="958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880"/>
        </w:tabs>
        <w:ind w:left="3838" w:hanging="958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2880"/>
        </w:tabs>
        <w:ind w:left="3838" w:hanging="958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2880"/>
        </w:tabs>
        <w:ind w:left="3838" w:hanging="958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2880"/>
        </w:tabs>
        <w:ind w:left="3838" w:hanging="958"/>
      </w:pPr>
    </w:lvl>
  </w:abstractNum>
  <w:abstractNum w:abstractNumId="21" w15:restartNumberingAfterBreak="0">
    <w:nsid w:val="7C651460"/>
    <w:multiLevelType w:val="multilevel"/>
    <w:tmpl w:val="DCAA060D"/>
    <w:name w:val="AnnexHeading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12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3"/>
  </w:num>
  <w:num w:numId="10">
    <w:abstractNumId w:val="6"/>
  </w:num>
  <w:num w:numId="11">
    <w:abstractNumId w:val="1"/>
  </w:num>
  <w:num w:numId="12">
    <w:abstractNumId w:val="18"/>
  </w:num>
  <w:num w:numId="13">
    <w:abstractNumId w:val="17"/>
  </w:num>
  <w:num w:numId="14">
    <w:abstractNumId w:val="11"/>
  </w:num>
  <w:num w:numId="15">
    <w:abstractNumId w:val="7"/>
  </w:num>
  <w:num w:numId="16">
    <w:abstractNumId w:val="10"/>
  </w:num>
  <w:num w:numId="17">
    <w:abstractNumId w:val="0"/>
  </w:num>
  <w:num w:numId="18">
    <w:abstractNumId w:val="21"/>
  </w:num>
  <w:num w:numId="19">
    <w:abstractNumId w:val="14"/>
  </w:num>
  <w:num w:numId="20">
    <w:abstractNumId w:val="15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 "/>
    <w:docVar w:name="LW_ANNEX_NBR_FIRST" w:val="6"/>
    <w:docVar w:name="LW_ANNEX_NBR_LAST" w:val="6"/>
    <w:docVar w:name="LW_ANNEX_UNIQUE" w:val="0"/>
    <w:docVar w:name="LW_CORRIGENDUM" w:val="&lt;UNUSED&gt;"/>
    <w:docVar w:name="LW_COVERPAGE_EXISTS" w:val="True"/>
    <w:docVar w:name="LW_COVERPAGE_GUID" w:val="2E8E9049-3D9F-4CFE-87EB-77BE829E3C32"/>
    <w:docVar w:name="LW_COVERPAGE_TYPE" w:val="1"/>
    <w:docVar w:name="LW_CROSSREFERENCE" w:val="&lt;UNUSED&gt;"/>
    <w:docVar w:name="LW_DocType" w:val="EUROLOOK"/>
    <w:docVar w:name="LW_EMISSION" w:val="10.4.2019."/>
    <w:docVar w:name="LW_EMISSION_ISODATE" w:val="2019-04-10"/>
    <w:docVar w:name="LW_EMISSION_LOCATION" w:val="BRX"/>
    <w:docVar w:name="LW_EMISSION_PREFIX" w:val="Bruxelles, "/>
    <w:docVar w:name="LW_EMISSION_SUFFIX" w:val="&lt;EMPTY&gt;"/>
    <w:docVar w:name="LW_ID_DOCTYPE_NONLW" w:val="CP-039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.CP" w:val="Razmatranje u\u269?inka povla\u269?enja Ujedinjene Kraljevine iz Unije bez sporazuma: koordinirani pristup Unije_x000b__x000b_Za\u353?tita podataka_x000b_Koordinirani pristup Unije za slu\u269?aj povla\u269?enja Ujedinjene Kraljevine bez dogovora"/>
    <w:docVar w:name="LW_PART_NBR" w:val="1"/>
    <w:docVar w:name="LW_PART_NBR_TOTAL" w:val="1"/>
    <w:docVar w:name="LW_REF.INST.NEW" w:val="COM"/>
    <w:docVar w:name="LW_REF.INST.NEW_ADOPTED" w:val="final"/>
    <w:docVar w:name="LW_REF.INST.NEW_TEXT" w:val="(2019) 19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PRILOG_x000b_"/>
    <w:docVar w:name="LW_TYPEACTEPRINCIPAL.CP" w:val="KOMUNIKACIJI KOMISIJE EUROPSKOM PARLAMENTU, EUROPSKOM VIJE\u262?U, VIJE\u262?U, EUROPSKOJ SREDI\u352?NJOJ BANCI, EUROPSKOM GOSPODARSKOM I SOCIJALNOM ODBORU, ODBORU REGIJA I EUROPSKOJ INVESTICIJSKOJ BANCI_x000b_"/>
  </w:docVars>
  <w:rsids>
    <w:rsidRoot w:val="00C638D4"/>
    <w:rsid w:val="00824CEA"/>
    <w:rsid w:val="00C6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5E36ADDF-133C-4E0D-9D55-7DCF4F44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hr-HR" w:eastAsia="hr-HR" w:bidi="hr-HR"/>
      </w:rPr>
    </w:rPrDefault>
    <w:pPrDefault/>
  </w:docDefaults>
  <w:latentStyles w:defLockedState="1" w:defUIPriority="0" w:defSemiHidden="0" w:defUnhideWhenUsed="0" w:defQFormat="0" w:count="371">
    <w:lsdException w:name="Normal" w:uiPriority="90" w:qFormat="1"/>
    <w:lsdException w:name="heading 1" w:uiPriority="90" w:qFormat="1"/>
    <w:lsdException w:name="heading 2" w:uiPriority="90" w:qFormat="1"/>
    <w:lsdException w:name="heading 3" w:uiPriority="90" w:qFormat="1"/>
    <w:lsdException w:name="heading 4" w:uiPriority="90" w:qFormat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99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nhideWhenUsed="1"/>
    <w:lsdException w:name="index heading" w:semiHidden="1" w:unhideWhenUsed="1"/>
    <w:lsdException w:name="caption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unhideWhenUsed="1"/>
    <w:lsdException w:name="List Bullet 4" w:unhideWhenUsed="1"/>
    <w:lsdException w:name="List Bullet 5" w:semiHidden="1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90"/>
    <w:qFormat/>
    <w:pPr>
      <w:spacing w:after="240"/>
      <w:jc w:val="both"/>
    </w:pPr>
  </w:style>
  <w:style w:type="paragraph" w:styleId="Heading1">
    <w:name w:val="heading 1"/>
    <w:basedOn w:val="Normal"/>
    <w:next w:val="Text1"/>
    <w:uiPriority w:val="90"/>
    <w:qFormat/>
    <w:pPr>
      <w:keepNext/>
      <w:numPr>
        <w:numId w:val="2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uiPriority w:val="90"/>
    <w:qFormat/>
    <w:pPr>
      <w:keepNext/>
      <w:numPr>
        <w:ilvl w:val="1"/>
        <w:numId w:val="2"/>
      </w:numPr>
      <w:outlineLvl w:val="1"/>
    </w:pPr>
    <w:rPr>
      <w:b/>
    </w:rPr>
  </w:style>
  <w:style w:type="paragraph" w:styleId="Heading3">
    <w:name w:val="heading 3"/>
    <w:basedOn w:val="Normal"/>
    <w:next w:val="Text3"/>
    <w:uiPriority w:val="90"/>
    <w:qFormat/>
    <w:pPr>
      <w:keepNext/>
      <w:numPr>
        <w:ilvl w:val="2"/>
        <w:numId w:val="2"/>
      </w:numPr>
      <w:outlineLvl w:val="2"/>
    </w:pPr>
    <w:rPr>
      <w:i/>
    </w:rPr>
  </w:style>
  <w:style w:type="paragraph" w:styleId="Heading4">
    <w:name w:val="heading 4"/>
    <w:basedOn w:val="Normal"/>
    <w:next w:val="Text4"/>
    <w:uiPriority w:val="90"/>
    <w:qFormat/>
    <w:pPr>
      <w:keepNext/>
      <w:numPr>
        <w:ilvl w:val="3"/>
        <w:numId w:val="2"/>
      </w:numPr>
      <w:outlineLvl w:val="3"/>
    </w:pPr>
  </w:style>
  <w:style w:type="paragraph" w:styleId="Heading5">
    <w:name w:val="heading 5"/>
    <w:basedOn w:val="Normal"/>
    <w:next w:val="Normal"/>
    <w:semiHidden/>
    <w:pPr>
      <w:keepNext/>
      <w:numPr>
        <w:ilvl w:val="4"/>
        <w:numId w:val="2"/>
      </w:numPr>
      <w:outlineLvl w:val="4"/>
    </w:pPr>
  </w:style>
  <w:style w:type="paragraph" w:styleId="Heading6">
    <w:name w:val="heading 6"/>
    <w:basedOn w:val="Normal"/>
    <w:next w:val="Normal"/>
    <w:semiHidden/>
    <w:pPr>
      <w:keepNext/>
      <w:numPr>
        <w:ilvl w:val="5"/>
        <w:numId w:val="2"/>
      </w:numPr>
      <w:outlineLvl w:val="5"/>
    </w:pPr>
  </w:style>
  <w:style w:type="paragraph" w:styleId="Heading7">
    <w:name w:val="heading 7"/>
    <w:basedOn w:val="Normal"/>
    <w:next w:val="Normal"/>
    <w:semiHidden/>
    <w:pPr>
      <w:keepNext/>
      <w:numPr>
        <w:ilvl w:val="6"/>
        <w:numId w:val="2"/>
      </w:numPr>
      <w:outlineLvl w:val="6"/>
    </w:pPr>
  </w:style>
  <w:style w:type="paragraph" w:styleId="Heading8">
    <w:name w:val="heading 8"/>
    <w:basedOn w:val="Normal"/>
    <w:next w:val="Normal"/>
    <w:semiHidden/>
    <w:pPr>
      <w:keepNext/>
      <w:numPr>
        <w:ilvl w:val="7"/>
        <w:numId w:val="2"/>
      </w:numPr>
      <w:outlineLvl w:val="7"/>
    </w:pPr>
  </w:style>
  <w:style w:type="paragraph" w:styleId="Heading9">
    <w:name w:val="heading 9"/>
    <w:basedOn w:val="Normal"/>
    <w:next w:val="Normal"/>
    <w:semiHidden/>
    <w:pPr>
      <w:keepNext/>
      <w:numPr>
        <w:ilvl w:val="8"/>
        <w:numId w:val="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ossReference">
    <w:name w:val="Cross Reference"/>
    <w:basedOn w:val="DefaultParagraphFont"/>
    <w:uiPriority w:val="99"/>
    <w:rPr>
      <w:i/>
    </w:rPr>
  </w:style>
  <w:style w:type="character" w:customStyle="1" w:styleId="MarkingText">
    <w:name w:val="MarkingText"/>
    <w:semiHidden/>
    <w:rPr>
      <w:i/>
      <w:sz w:val="28"/>
    </w:rPr>
  </w:style>
  <w:style w:type="character" w:customStyle="1" w:styleId="MarkingLabel">
    <w:name w:val="MarkingLabel"/>
    <w:semiHidden/>
    <w:rPr>
      <w:b/>
      <w:caps/>
      <w:sz w:val="28"/>
    </w:rPr>
  </w:style>
  <w:style w:type="character" w:customStyle="1" w:styleId="BodyPlaceholderText">
    <w:name w:val="BodyPlaceholderText"/>
    <w:basedOn w:val="PlaceholderText"/>
    <w:uiPriority w:val="1"/>
    <w:semiHidden/>
    <w:rPr>
      <w:color w:val="3366CC"/>
    </w:rPr>
  </w:style>
  <w:style w:type="character" w:styleId="PlaceholderText">
    <w:name w:val="Placeholder Text"/>
    <w:basedOn w:val="DefaultParagraphFont"/>
    <w:uiPriority w:val="99"/>
    <w:semiHidden/>
    <w:rPr>
      <w:color w:val="2C8F6C"/>
    </w:rPr>
  </w:style>
  <w:style w:type="paragraph" w:customStyle="1" w:styleId="LegalNumPar3">
    <w:name w:val="LegalNumPar3"/>
    <w:basedOn w:val="Normal"/>
    <w:pPr>
      <w:numPr>
        <w:ilvl w:val="2"/>
        <w:numId w:val="1"/>
      </w:numPr>
      <w:spacing w:line="360" w:lineRule="auto"/>
      <w:jc w:val="left"/>
    </w:pPr>
  </w:style>
  <w:style w:type="paragraph" w:customStyle="1" w:styleId="LegalNumPar2">
    <w:name w:val="LegalNumPar2"/>
    <w:basedOn w:val="Normal"/>
    <w:pPr>
      <w:numPr>
        <w:ilvl w:val="1"/>
        <w:numId w:val="1"/>
      </w:numPr>
      <w:spacing w:line="360" w:lineRule="auto"/>
      <w:jc w:val="left"/>
    </w:pPr>
  </w:style>
  <w:style w:type="paragraph" w:customStyle="1" w:styleId="LegalNumPar">
    <w:name w:val="LegalNumPar"/>
    <w:basedOn w:val="Normal"/>
    <w:uiPriority w:val="90"/>
    <w:qFormat/>
    <w:pPr>
      <w:numPr>
        <w:numId w:val="1"/>
      </w:numPr>
      <w:spacing w:line="360" w:lineRule="auto"/>
      <w:jc w:val="left"/>
    </w:pPr>
  </w:style>
  <w:style w:type="paragraph" w:customStyle="1" w:styleId="Marking">
    <w:name w:val="Marking"/>
    <w:basedOn w:val="Normal"/>
    <w:pPr>
      <w:spacing w:line="276" w:lineRule="auto"/>
      <w:contextualSpacing/>
      <w:jc w:val="right"/>
    </w:pPr>
    <w:rPr>
      <w:sz w:val="28"/>
    </w:rPr>
  </w:style>
  <w:style w:type="paragraph" w:customStyle="1" w:styleId="ListNumber4Level4">
    <w:name w:val="List Number 4 (Level 4)"/>
    <w:basedOn w:val="Text4"/>
    <w:semiHidden/>
    <w:unhideWhenUsed/>
    <w:pPr>
      <w:numPr>
        <w:ilvl w:val="3"/>
        <w:numId w:val="12"/>
      </w:numPr>
    </w:pPr>
  </w:style>
  <w:style w:type="paragraph" w:customStyle="1" w:styleId="ListNumber4Level3">
    <w:name w:val="List Number 4 (Level 3)"/>
    <w:basedOn w:val="Text4"/>
    <w:semiHidden/>
    <w:unhideWhenUsed/>
    <w:pPr>
      <w:numPr>
        <w:ilvl w:val="2"/>
        <w:numId w:val="12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2"/>
      </w:numPr>
    </w:pPr>
  </w:style>
  <w:style w:type="paragraph" w:styleId="ListNumber4">
    <w:name w:val="List Number 4"/>
    <w:basedOn w:val="Text4"/>
    <w:pPr>
      <w:numPr>
        <w:numId w:val="12"/>
      </w:numPr>
    </w:pPr>
  </w:style>
  <w:style w:type="paragraph" w:customStyle="1" w:styleId="ListNumber3Level4">
    <w:name w:val="List Number 3 (Level 4)"/>
    <w:basedOn w:val="Text3"/>
    <w:semiHidden/>
    <w:unhideWhenUsed/>
    <w:pPr>
      <w:numPr>
        <w:ilvl w:val="3"/>
        <w:numId w:val="11"/>
      </w:numPr>
    </w:pPr>
  </w:style>
  <w:style w:type="paragraph" w:customStyle="1" w:styleId="ListNumber3Level3">
    <w:name w:val="List Number 3 (Level 3)"/>
    <w:basedOn w:val="Text3"/>
    <w:semiHidden/>
    <w:unhideWhenUsed/>
    <w:pPr>
      <w:numPr>
        <w:ilvl w:val="2"/>
        <w:numId w:val="11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1"/>
      </w:numPr>
    </w:pPr>
  </w:style>
  <w:style w:type="paragraph" w:styleId="ListNumber3">
    <w:name w:val="List Number 3"/>
    <w:basedOn w:val="Text3"/>
    <w:pPr>
      <w:numPr>
        <w:numId w:val="11"/>
      </w:numPr>
    </w:pPr>
  </w:style>
  <w:style w:type="paragraph" w:customStyle="1" w:styleId="ListNumber2Level4">
    <w:name w:val="List Number 2 (Level 4)"/>
    <w:basedOn w:val="Text2"/>
    <w:semiHidden/>
    <w:unhideWhenUsed/>
    <w:pPr>
      <w:numPr>
        <w:ilvl w:val="3"/>
        <w:numId w:val="10"/>
      </w:numPr>
    </w:pPr>
  </w:style>
  <w:style w:type="paragraph" w:customStyle="1" w:styleId="ListNumber2Level3">
    <w:name w:val="List Number 2 (Level 3)"/>
    <w:basedOn w:val="Text2"/>
    <w:semiHidden/>
    <w:unhideWhenUsed/>
    <w:pPr>
      <w:numPr>
        <w:ilvl w:val="2"/>
        <w:numId w:val="10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0"/>
      </w:numPr>
    </w:pPr>
  </w:style>
  <w:style w:type="paragraph" w:styleId="ListNumber2">
    <w:name w:val="List Number 2"/>
    <w:basedOn w:val="Text2"/>
    <w:pPr>
      <w:numPr>
        <w:numId w:val="10"/>
      </w:numPr>
    </w:pPr>
  </w:style>
  <w:style w:type="paragraph" w:customStyle="1" w:styleId="ListNumber1Level4">
    <w:name w:val="List Number 1 (Level 4)"/>
    <w:basedOn w:val="Text1"/>
    <w:semiHidden/>
    <w:unhideWhenUsed/>
    <w:pPr>
      <w:numPr>
        <w:ilvl w:val="3"/>
        <w:numId w:val="9"/>
      </w:numPr>
    </w:pPr>
  </w:style>
  <w:style w:type="paragraph" w:customStyle="1" w:styleId="ListNumber1Level3">
    <w:name w:val="List Number 1 (Level 3)"/>
    <w:basedOn w:val="Text1"/>
    <w:semiHidden/>
    <w:unhideWhenUsed/>
    <w:pPr>
      <w:numPr>
        <w:ilvl w:val="2"/>
        <w:numId w:val="9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9"/>
      </w:numPr>
    </w:pPr>
  </w:style>
  <w:style w:type="paragraph" w:customStyle="1" w:styleId="ListNumber1">
    <w:name w:val="List Number 1"/>
    <w:basedOn w:val="Text1"/>
    <w:pPr>
      <w:numPr>
        <w:numId w:val="9"/>
      </w:numPr>
    </w:pPr>
  </w:style>
  <w:style w:type="paragraph" w:customStyle="1" w:styleId="ListNumberLevel4">
    <w:name w:val="List Number (Level 4)"/>
    <w:basedOn w:val="Normal"/>
    <w:semiHidden/>
    <w:unhideWhenUsed/>
    <w:pPr>
      <w:numPr>
        <w:ilvl w:val="3"/>
        <w:numId w:val="8"/>
      </w:numPr>
    </w:pPr>
  </w:style>
  <w:style w:type="paragraph" w:customStyle="1" w:styleId="ListNumberLevel3">
    <w:name w:val="List Number (Level 3)"/>
    <w:basedOn w:val="Normal"/>
    <w:semiHidden/>
    <w:unhideWhenUsed/>
    <w:pPr>
      <w:numPr>
        <w:ilvl w:val="2"/>
        <w:numId w:val="8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8"/>
      </w:numPr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customStyle="1" w:styleId="ListDash4Level4">
    <w:name w:val="List Dash 4 (Level 4)"/>
    <w:basedOn w:val="Text4"/>
    <w:semiHidden/>
    <w:unhideWhenUsed/>
    <w:pPr>
      <w:numPr>
        <w:ilvl w:val="3"/>
        <w:numId w:val="17"/>
      </w:numPr>
    </w:pPr>
  </w:style>
  <w:style w:type="paragraph" w:customStyle="1" w:styleId="ListDash4Level3">
    <w:name w:val="List Dash 4 (Level 3)"/>
    <w:basedOn w:val="Text4"/>
    <w:semiHidden/>
    <w:unhideWhenUsed/>
    <w:pPr>
      <w:numPr>
        <w:ilvl w:val="2"/>
        <w:numId w:val="17"/>
      </w:numPr>
    </w:pPr>
  </w:style>
  <w:style w:type="paragraph" w:customStyle="1" w:styleId="ListDash4Level2">
    <w:name w:val="List Dash 4 (Level 2)"/>
    <w:basedOn w:val="Text4"/>
    <w:pPr>
      <w:numPr>
        <w:ilvl w:val="1"/>
        <w:numId w:val="17"/>
      </w:numPr>
    </w:pPr>
  </w:style>
  <w:style w:type="paragraph" w:customStyle="1" w:styleId="ListDash4">
    <w:name w:val="List Dash 4"/>
    <w:basedOn w:val="Text4"/>
    <w:pPr>
      <w:numPr>
        <w:numId w:val="17"/>
      </w:numPr>
    </w:pPr>
  </w:style>
  <w:style w:type="paragraph" w:customStyle="1" w:styleId="ListDash3Level4">
    <w:name w:val="List Dash 3 (Level 4)"/>
    <w:basedOn w:val="Text3"/>
    <w:semiHidden/>
    <w:unhideWhenUsed/>
    <w:pPr>
      <w:numPr>
        <w:ilvl w:val="3"/>
        <w:numId w:val="16"/>
      </w:numPr>
    </w:pPr>
  </w:style>
  <w:style w:type="paragraph" w:customStyle="1" w:styleId="ListDash3Level3">
    <w:name w:val="List Dash 3 (Level 3)"/>
    <w:basedOn w:val="Text3"/>
    <w:semiHidden/>
    <w:unhideWhenUsed/>
    <w:pPr>
      <w:numPr>
        <w:ilvl w:val="2"/>
        <w:numId w:val="16"/>
      </w:numPr>
    </w:pPr>
  </w:style>
  <w:style w:type="paragraph" w:customStyle="1" w:styleId="ListDash3Level2">
    <w:name w:val="List Dash 3 (Level 2)"/>
    <w:basedOn w:val="Text3"/>
    <w:pPr>
      <w:numPr>
        <w:ilvl w:val="1"/>
        <w:numId w:val="16"/>
      </w:numPr>
    </w:pPr>
  </w:style>
  <w:style w:type="paragraph" w:customStyle="1" w:styleId="ListDash3">
    <w:name w:val="List Dash 3"/>
    <w:basedOn w:val="Text3"/>
    <w:pPr>
      <w:numPr>
        <w:numId w:val="16"/>
      </w:numPr>
    </w:pPr>
  </w:style>
  <w:style w:type="paragraph" w:customStyle="1" w:styleId="ListDash2Level4">
    <w:name w:val="List Dash 2 (Level 4)"/>
    <w:basedOn w:val="Text2"/>
    <w:semiHidden/>
    <w:unhideWhenUsed/>
    <w:pPr>
      <w:numPr>
        <w:ilvl w:val="3"/>
        <w:numId w:val="15"/>
      </w:numPr>
    </w:pPr>
  </w:style>
  <w:style w:type="paragraph" w:customStyle="1" w:styleId="ListDash2Level3">
    <w:name w:val="List Dash 2 (Level 3)"/>
    <w:basedOn w:val="Text2"/>
    <w:semiHidden/>
    <w:unhideWhenUsed/>
    <w:pPr>
      <w:numPr>
        <w:ilvl w:val="2"/>
        <w:numId w:val="15"/>
      </w:numPr>
    </w:pPr>
  </w:style>
  <w:style w:type="paragraph" w:customStyle="1" w:styleId="ListDash2Level2">
    <w:name w:val="List Dash 2 (Level 2)"/>
    <w:basedOn w:val="Text2"/>
    <w:pPr>
      <w:numPr>
        <w:ilvl w:val="1"/>
        <w:numId w:val="15"/>
      </w:numPr>
    </w:pPr>
  </w:style>
  <w:style w:type="paragraph" w:customStyle="1" w:styleId="ListDash2">
    <w:name w:val="List Dash 2"/>
    <w:basedOn w:val="Text2"/>
    <w:pPr>
      <w:numPr>
        <w:numId w:val="15"/>
      </w:numPr>
    </w:pPr>
  </w:style>
  <w:style w:type="paragraph" w:customStyle="1" w:styleId="ListDash1Level4">
    <w:name w:val="List Dash 1 (Level 4)"/>
    <w:basedOn w:val="Text1"/>
    <w:semiHidden/>
    <w:unhideWhenUsed/>
    <w:pPr>
      <w:numPr>
        <w:ilvl w:val="3"/>
        <w:numId w:val="14"/>
      </w:numPr>
    </w:pPr>
  </w:style>
  <w:style w:type="paragraph" w:customStyle="1" w:styleId="ListDash1Level3">
    <w:name w:val="List Dash 1 (Level 3)"/>
    <w:basedOn w:val="Text1"/>
    <w:semiHidden/>
    <w:unhideWhenUsed/>
    <w:pPr>
      <w:numPr>
        <w:ilvl w:val="2"/>
        <w:numId w:val="14"/>
      </w:numPr>
    </w:pPr>
  </w:style>
  <w:style w:type="paragraph" w:customStyle="1" w:styleId="ListDash1Level2">
    <w:name w:val="List Dash 1 (Level 2)"/>
    <w:basedOn w:val="Text1"/>
    <w:pPr>
      <w:numPr>
        <w:ilvl w:val="1"/>
        <w:numId w:val="14"/>
      </w:numPr>
    </w:pPr>
  </w:style>
  <w:style w:type="paragraph" w:customStyle="1" w:styleId="ListDash1">
    <w:name w:val="List Dash 1"/>
    <w:basedOn w:val="Text1"/>
    <w:pPr>
      <w:numPr>
        <w:numId w:val="14"/>
      </w:numPr>
    </w:pPr>
  </w:style>
  <w:style w:type="paragraph" w:customStyle="1" w:styleId="ListDashLevel4">
    <w:name w:val="List Dash (Level 4)"/>
    <w:basedOn w:val="Normal"/>
    <w:semiHidden/>
    <w:unhideWhenUsed/>
    <w:pPr>
      <w:numPr>
        <w:ilvl w:val="3"/>
        <w:numId w:val="13"/>
      </w:numPr>
    </w:pPr>
  </w:style>
  <w:style w:type="paragraph" w:customStyle="1" w:styleId="ListDashLevel3">
    <w:name w:val="List Dash (Level 3)"/>
    <w:basedOn w:val="Normal"/>
    <w:semiHidden/>
    <w:unhideWhenUsed/>
    <w:pPr>
      <w:numPr>
        <w:ilvl w:val="2"/>
        <w:numId w:val="13"/>
      </w:numPr>
    </w:pPr>
  </w:style>
  <w:style w:type="paragraph" w:customStyle="1" w:styleId="ListDashLevel2">
    <w:name w:val="List Dash (Level 2)"/>
    <w:basedOn w:val="Normal"/>
    <w:pPr>
      <w:numPr>
        <w:ilvl w:val="1"/>
        <w:numId w:val="13"/>
      </w:numPr>
    </w:pPr>
  </w:style>
  <w:style w:type="paragraph" w:customStyle="1" w:styleId="ListDash">
    <w:name w:val="List Dash"/>
    <w:basedOn w:val="Normal"/>
    <w:pPr>
      <w:numPr>
        <w:numId w:val="13"/>
      </w:numPr>
    </w:pPr>
  </w:style>
  <w:style w:type="paragraph" w:customStyle="1" w:styleId="ListBullet4Level4">
    <w:name w:val="List Bullet 4 (Level 4)"/>
    <w:basedOn w:val="Text4"/>
    <w:semiHidden/>
    <w:unhideWhenUsed/>
    <w:pPr>
      <w:numPr>
        <w:ilvl w:val="3"/>
        <w:numId w:val="7"/>
      </w:numPr>
    </w:pPr>
  </w:style>
  <w:style w:type="paragraph" w:customStyle="1" w:styleId="ListBullet4Level3">
    <w:name w:val="List Bullet 4 (Level 3)"/>
    <w:basedOn w:val="Text4"/>
    <w:semiHidden/>
    <w:unhideWhenUsed/>
    <w:pPr>
      <w:numPr>
        <w:ilvl w:val="2"/>
        <w:numId w:val="7"/>
      </w:numPr>
    </w:pPr>
  </w:style>
  <w:style w:type="paragraph" w:customStyle="1" w:styleId="ListBullet4Level2">
    <w:name w:val="List Bullet 4 (Level 2)"/>
    <w:basedOn w:val="Text4"/>
    <w:pPr>
      <w:numPr>
        <w:ilvl w:val="1"/>
        <w:numId w:val="7"/>
      </w:numPr>
    </w:pPr>
  </w:style>
  <w:style w:type="paragraph" w:styleId="ListBullet4">
    <w:name w:val="List Bullet 4"/>
    <w:basedOn w:val="Text4"/>
    <w:pPr>
      <w:numPr>
        <w:numId w:val="7"/>
      </w:numPr>
    </w:pPr>
  </w:style>
  <w:style w:type="paragraph" w:customStyle="1" w:styleId="ListBullet3Level4">
    <w:name w:val="List Bullet 3 (Level 4)"/>
    <w:basedOn w:val="Text3"/>
    <w:semiHidden/>
    <w:unhideWhenUsed/>
    <w:pPr>
      <w:numPr>
        <w:ilvl w:val="3"/>
        <w:numId w:val="6"/>
      </w:numPr>
    </w:pPr>
  </w:style>
  <w:style w:type="paragraph" w:customStyle="1" w:styleId="ListBullet3Level3">
    <w:name w:val="List Bullet 3 (Level 3)"/>
    <w:basedOn w:val="Text3"/>
    <w:semiHidden/>
    <w:unhideWhenUsed/>
    <w:pPr>
      <w:numPr>
        <w:ilvl w:val="2"/>
        <w:numId w:val="6"/>
      </w:numPr>
    </w:pPr>
  </w:style>
  <w:style w:type="paragraph" w:customStyle="1" w:styleId="ListBullet3Level2">
    <w:name w:val="List Bullet 3 (Level 2)"/>
    <w:basedOn w:val="Text3"/>
    <w:pPr>
      <w:numPr>
        <w:ilvl w:val="1"/>
        <w:numId w:val="6"/>
      </w:numPr>
    </w:pPr>
  </w:style>
  <w:style w:type="paragraph" w:styleId="ListBullet3">
    <w:name w:val="List Bullet 3"/>
    <w:basedOn w:val="Text3"/>
    <w:pPr>
      <w:numPr>
        <w:numId w:val="6"/>
      </w:numPr>
    </w:pPr>
  </w:style>
  <w:style w:type="paragraph" w:customStyle="1" w:styleId="ListBullet2Level4">
    <w:name w:val="List Bullet 2 (Level 4)"/>
    <w:basedOn w:val="Text2"/>
    <w:semiHidden/>
    <w:unhideWhenUsed/>
    <w:pPr>
      <w:numPr>
        <w:ilvl w:val="3"/>
        <w:numId w:val="5"/>
      </w:numPr>
    </w:pPr>
  </w:style>
  <w:style w:type="paragraph" w:customStyle="1" w:styleId="ListBullet2Level3">
    <w:name w:val="List Bullet 2 (Level 3)"/>
    <w:basedOn w:val="Text2"/>
    <w:semiHidden/>
    <w:unhideWhenUsed/>
    <w:pPr>
      <w:numPr>
        <w:ilvl w:val="2"/>
        <w:numId w:val="5"/>
      </w:numPr>
    </w:pPr>
  </w:style>
  <w:style w:type="paragraph" w:customStyle="1" w:styleId="ListBullet2Level2">
    <w:name w:val="List Bullet 2 (Level 2)"/>
    <w:basedOn w:val="Text2"/>
    <w:pPr>
      <w:numPr>
        <w:ilvl w:val="1"/>
        <w:numId w:val="5"/>
      </w:numPr>
    </w:pPr>
  </w:style>
  <w:style w:type="paragraph" w:styleId="ListBullet2">
    <w:name w:val="List Bullet 2"/>
    <w:basedOn w:val="Text2"/>
    <w:pPr>
      <w:numPr>
        <w:numId w:val="5"/>
      </w:numPr>
    </w:pPr>
  </w:style>
  <w:style w:type="paragraph" w:customStyle="1" w:styleId="ListBullet1Level4">
    <w:name w:val="List Bullet 1 (Level 4)"/>
    <w:basedOn w:val="Text1"/>
    <w:semiHidden/>
    <w:unhideWhenUsed/>
    <w:pPr>
      <w:numPr>
        <w:ilvl w:val="3"/>
        <w:numId w:val="4"/>
      </w:numPr>
    </w:pPr>
  </w:style>
  <w:style w:type="paragraph" w:customStyle="1" w:styleId="ListBullet1Level3">
    <w:name w:val="List Bullet 1 (Level 3)"/>
    <w:basedOn w:val="Text1"/>
    <w:semiHidden/>
    <w:unhideWhenUsed/>
    <w:pPr>
      <w:numPr>
        <w:ilvl w:val="2"/>
        <w:numId w:val="4"/>
      </w:numPr>
    </w:pPr>
  </w:style>
  <w:style w:type="paragraph" w:customStyle="1" w:styleId="ListBullet1Level2">
    <w:name w:val="List Bullet 1 (Level 2)"/>
    <w:basedOn w:val="Text1"/>
    <w:pPr>
      <w:numPr>
        <w:ilvl w:val="1"/>
        <w:numId w:val="4"/>
      </w:numPr>
    </w:pPr>
  </w:style>
  <w:style w:type="paragraph" w:customStyle="1" w:styleId="ListBullet1">
    <w:name w:val="List Bullet 1"/>
    <w:basedOn w:val="Text1"/>
    <w:pPr>
      <w:numPr>
        <w:numId w:val="4"/>
      </w:numPr>
    </w:pPr>
  </w:style>
  <w:style w:type="paragraph" w:customStyle="1" w:styleId="ListBulletLevel4">
    <w:name w:val="List Bullet (Level 4)"/>
    <w:basedOn w:val="Text1"/>
    <w:semiHidden/>
    <w:unhideWhenUsed/>
    <w:pPr>
      <w:numPr>
        <w:ilvl w:val="3"/>
        <w:numId w:val="3"/>
      </w:numPr>
    </w:pPr>
  </w:style>
  <w:style w:type="paragraph" w:customStyle="1" w:styleId="ListBulletLevel3">
    <w:name w:val="List Bullet (Level 3)"/>
    <w:basedOn w:val="Text1"/>
    <w:semiHidden/>
    <w:unhideWhenUsed/>
    <w:pPr>
      <w:numPr>
        <w:ilvl w:val="2"/>
        <w:numId w:val="3"/>
      </w:numPr>
    </w:pPr>
  </w:style>
  <w:style w:type="paragraph" w:customStyle="1" w:styleId="ListBulletLevel2">
    <w:name w:val="List Bullet (Level 2)"/>
    <w:basedOn w:val="Text1"/>
    <w:pPr>
      <w:numPr>
        <w:ilvl w:val="1"/>
        <w:numId w:val="3"/>
      </w:numPr>
    </w:pPr>
  </w:style>
  <w:style w:type="paragraph" w:styleId="ListBullet">
    <w:name w:val="List Bullet"/>
    <w:basedOn w:val="Normal"/>
    <w:pPr>
      <w:numPr>
        <w:numId w:val="3"/>
      </w:numPr>
    </w:pPr>
  </w:style>
  <w:style w:type="paragraph" w:styleId="TOC9">
    <w:name w:val="toc 9"/>
    <w:basedOn w:val="Normal"/>
    <w:next w:val="Normal"/>
    <w:semiHidden/>
    <w:pPr>
      <w:tabs>
        <w:tab w:val="right" w:leader="dot" w:pos="8640"/>
      </w:tabs>
    </w:pPr>
  </w:style>
  <w:style w:type="paragraph" w:styleId="TOC8">
    <w:name w:val="toc 8"/>
    <w:basedOn w:val="Normal"/>
    <w:next w:val="Normal"/>
    <w:semiHidden/>
    <w:pPr>
      <w:tabs>
        <w:tab w:val="right" w:leader="dot" w:pos="8640"/>
      </w:tabs>
    </w:pPr>
  </w:style>
  <w:style w:type="paragraph" w:styleId="TOC7">
    <w:name w:val="toc 7"/>
    <w:basedOn w:val="Normal"/>
    <w:next w:val="Normal"/>
    <w:semiHidden/>
    <w:pPr>
      <w:tabs>
        <w:tab w:val="right" w:leader="dot" w:pos="8640"/>
      </w:tabs>
    </w:pPr>
  </w:style>
  <w:style w:type="paragraph" w:styleId="TOC6">
    <w:name w:val="toc 6"/>
    <w:basedOn w:val="Normal"/>
    <w:next w:val="Normal"/>
    <w:semiHidden/>
    <w:pPr>
      <w:tabs>
        <w:tab w:val="right" w:leader="dot" w:pos="8640"/>
      </w:tabs>
    </w:pPr>
  </w:style>
  <w:style w:type="paragraph" w:styleId="TOC5">
    <w:name w:val="toc 5"/>
    <w:basedOn w:val="Normal"/>
    <w:next w:val="Normal"/>
    <w:semiHidden/>
    <w:pPr>
      <w:tabs>
        <w:tab w:val="right" w:leader="dot" w:pos="8640"/>
      </w:tabs>
      <w:spacing w:before="120" w:after="60"/>
      <w:ind w:right="720"/>
    </w:pPr>
    <w:rPr>
      <w:b/>
    </w:rPr>
  </w:style>
  <w:style w:type="paragraph" w:styleId="TOC4">
    <w:name w:val="toc 4"/>
    <w:basedOn w:val="Normal"/>
    <w:next w:val="Normal"/>
    <w:uiPriority w:val="99"/>
    <w:semiHidden/>
    <w:pPr>
      <w:tabs>
        <w:tab w:val="left" w:pos="1446"/>
        <w:tab w:val="left" w:pos="1587"/>
        <w:tab w:val="right" w:leader="dot" w:pos="8640"/>
      </w:tabs>
      <w:spacing w:after="60"/>
      <w:ind w:left="1445" w:right="720" w:hanging="850"/>
    </w:pPr>
    <w:rPr>
      <w:noProof/>
      <w:sz w:val="20"/>
    </w:rPr>
  </w:style>
  <w:style w:type="paragraph" w:styleId="TOC3">
    <w:name w:val="toc 3"/>
    <w:basedOn w:val="Normal"/>
    <w:next w:val="Normal"/>
    <w:uiPriority w:val="99"/>
    <w:semiHidden/>
    <w:pPr>
      <w:tabs>
        <w:tab w:val="left" w:pos="595"/>
        <w:tab w:val="right" w:leader="dot" w:pos="8640"/>
      </w:tabs>
      <w:spacing w:after="60"/>
      <w:ind w:left="1190" w:right="720" w:hanging="595"/>
    </w:pPr>
    <w:rPr>
      <w:sz w:val="20"/>
    </w:rPr>
  </w:style>
  <w:style w:type="paragraph" w:styleId="TOC2">
    <w:name w:val="toc 2"/>
    <w:basedOn w:val="Normal"/>
    <w:next w:val="Normal"/>
    <w:uiPriority w:val="39"/>
    <w:semiHidden/>
    <w:pPr>
      <w:tabs>
        <w:tab w:val="left" w:pos="595"/>
        <w:tab w:val="right" w:leader="dot" w:pos="8640"/>
      </w:tabs>
      <w:spacing w:after="60"/>
      <w:ind w:left="595" w:right="720" w:hanging="595"/>
    </w:pPr>
    <w:rPr>
      <w:noProof/>
      <w:sz w:val="20"/>
    </w:rPr>
  </w:style>
  <w:style w:type="paragraph" w:styleId="TOC1">
    <w:name w:val="toc 1"/>
    <w:basedOn w:val="Normal"/>
    <w:next w:val="Normal"/>
    <w:uiPriority w:val="39"/>
    <w:semiHidden/>
    <w:pPr>
      <w:tabs>
        <w:tab w:val="left" w:pos="595"/>
        <w:tab w:val="right" w:leader="dot" w:pos="8640"/>
      </w:tabs>
      <w:spacing w:after="60"/>
      <w:ind w:left="595" w:right="720" w:hanging="595"/>
    </w:pPr>
    <w:rPr>
      <w:b/>
      <w:caps/>
      <w:sz w:val="20"/>
    </w:rPr>
  </w:style>
  <w:style w:type="paragraph" w:styleId="TOCHeading">
    <w:name w:val="TOC Heading"/>
    <w:basedOn w:val="Normal"/>
    <w:next w:val="Normal"/>
    <w:semiHidden/>
    <w:pPr>
      <w:spacing w:after="120"/>
      <w:jc w:val="center"/>
    </w:pPr>
    <w:rPr>
      <w:rFonts w:ascii="Times New Roman Bold" w:hAnsi="Times New Roman Bold"/>
      <w:b/>
      <w:sz w:val="32"/>
    </w:rPr>
  </w:style>
  <w:style w:type="paragraph" w:customStyle="1" w:styleId="NumPar4">
    <w:name w:val="NumPar 4"/>
    <w:basedOn w:val="Heading4"/>
    <w:uiPriority w:val="90"/>
    <w:qFormat/>
    <w:pPr>
      <w:keepNext w:val="0"/>
      <w:outlineLvl w:val="9"/>
    </w:pPr>
  </w:style>
  <w:style w:type="paragraph" w:customStyle="1" w:styleId="NumPar3">
    <w:name w:val="NumPar 3"/>
    <w:basedOn w:val="Heading3"/>
    <w:uiPriority w:val="90"/>
    <w:qFormat/>
    <w:pPr>
      <w:keepNext w:val="0"/>
      <w:outlineLvl w:val="9"/>
    </w:pPr>
    <w:rPr>
      <w:i w:val="0"/>
    </w:rPr>
  </w:style>
  <w:style w:type="paragraph" w:customStyle="1" w:styleId="NumPar2">
    <w:name w:val="NumPar 2"/>
    <w:basedOn w:val="Heading2"/>
    <w:uiPriority w:val="90"/>
    <w:qFormat/>
    <w:pPr>
      <w:keepNext w:val="0"/>
      <w:outlineLvl w:val="9"/>
    </w:pPr>
    <w:rPr>
      <w:b w:val="0"/>
    </w:rPr>
  </w:style>
  <w:style w:type="paragraph" w:customStyle="1" w:styleId="NumPar1">
    <w:name w:val="NumPar 1"/>
    <w:basedOn w:val="Heading1"/>
    <w:uiPriority w:val="90"/>
    <w:qFormat/>
    <w:pPr>
      <w:keepNext w:val="0"/>
      <w:spacing w:before="0"/>
      <w:outlineLvl w:val="9"/>
    </w:pPr>
    <w:rPr>
      <w:b w:val="0"/>
      <w:smallCaps w:val="0"/>
    </w:rPr>
  </w:style>
  <w:style w:type="paragraph" w:styleId="MacroText">
    <w:name w:val="macro"/>
    <w:basedOn w:val="Normal"/>
    <w:uiPriority w:val="90"/>
    <w:qFormat/>
    <w:pPr>
      <w:tabs>
        <w:tab w:val="left" w:pos="482"/>
        <w:tab w:val="left" w:pos="958"/>
        <w:tab w:val="left" w:pos="1440"/>
        <w:tab w:val="left" w:pos="1922"/>
        <w:tab w:val="left" w:pos="2398"/>
        <w:tab w:val="left" w:pos="2880"/>
        <w:tab w:val="left" w:pos="3362"/>
        <w:tab w:val="left" w:pos="3838"/>
        <w:tab w:val="left" w:pos="4320"/>
      </w:tabs>
    </w:pPr>
    <w:rPr>
      <w:rFonts w:ascii="Courier New" w:hAnsi="Courier New"/>
      <w:sz w:val="22"/>
    </w:rPr>
  </w:style>
  <w:style w:type="paragraph" w:styleId="FootnoteText">
    <w:name w:val="footnote text"/>
    <w:basedOn w:val="Normal"/>
    <w:link w:val="FootnoteTextChar"/>
    <w:pPr>
      <w:spacing w:after="120"/>
      <w:ind w:left="357" w:hanging="357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sz w:val="16"/>
    </w:rPr>
  </w:style>
  <w:style w:type="paragraph" w:styleId="EndnoteText">
    <w:name w:val="endnote text"/>
    <w:basedOn w:val="Normal"/>
    <w:semiHidden/>
    <w:rPr>
      <w:sz w:val="2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Releasable">
    <w:name w:val="Releasable"/>
    <w:basedOn w:val="Normal"/>
    <w:pPr>
      <w:spacing w:after="0"/>
      <w:jc w:val="center"/>
    </w:pPr>
    <w:rPr>
      <w:b/>
      <w:caps/>
      <w:sz w:val="32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ferences">
    <w:name w:val="References"/>
    <w:basedOn w:val="Normal"/>
    <w:next w:val="Normal"/>
    <w:pPr>
      <w:ind w:left="5102"/>
      <w:jc w:val="left"/>
    </w:pPr>
    <w:rPr>
      <w:sz w:val="20"/>
    </w:rPr>
  </w:style>
  <w:style w:type="paragraph" w:styleId="Date">
    <w:name w:val="Date"/>
    <w:basedOn w:val="Normal"/>
    <w:next w:val="References"/>
    <w:pPr>
      <w:spacing w:after="0"/>
      <w:ind w:left="5102" w:right="-567"/>
      <w:jc w:val="left"/>
    </w:pPr>
  </w:style>
  <w:style w:type="paragraph" w:customStyle="1" w:styleId="Contact">
    <w:name w:val="Contact"/>
    <w:basedOn w:val="Normal"/>
    <w:uiPriority w:val="99"/>
    <w:pPr>
      <w:spacing w:before="480" w:after="0"/>
      <w:ind w:left="567" w:hanging="567"/>
      <w:jc w:val="left"/>
    </w:pPr>
  </w:style>
  <w:style w:type="paragraph" w:styleId="Caption">
    <w:name w:val="caption"/>
    <w:basedOn w:val="Normal"/>
    <w:next w:val="Normal"/>
    <w:pPr>
      <w:spacing w:before="160"/>
    </w:pPr>
    <w:rPr>
      <w:i/>
      <w:sz w:val="22"/>
    </w:rPr>
  </w:style>
  <w:style w:type="paragraph" w:customStyle="1" w:styleId="ZDGName">
    <w:name w:val="Z_DGName"/>
    <w:basedOn w:val="Normal"/>
    <w:uiPriority w:val="99"/>
    <w:semiHidden/>
    <w:pPr>
      <w:widowControl w:val="0"/>
      <w:spacing w:after="0"/>
      <w:ind w:right="85"/>
      <w:jc w:val="left"/>
    </w:pPr>
    <w:rPr>
      <w:sz w:val="16"/>
    </w:rPr>
  </w:style>
  <w:style w:type="paragraph" w:customStyle="1" w:styleId="ZCom">
    <w:name w:val="Z_Com"/>
    <w:basedOn w:val="Normal"/>
    <w:next w:val="Normal"/>
    <w:uiPriority w:val="99"/>
    <w:semiHidden/>
    <w:pPr>
      <w:widowControl w:val="0"/>
      <w:spacing w:before="90" w:after="0"/>
      <w:ind w:right="85"/>
    </w:pPr>
  </w:style>
  <w:style w:type="paragraph" w:customStyle="1" w:styleId="ZFlag">
    <w:name w:val="Z_Flag"/>
    <w:basedOn w:val="Normal"/>
    <w:next w:val="Normal"/>
    <w:uiPriority w:val="99"/>
    <w:semiHidden/>
    <w:pPr>
      <w:widowControl w:val="0"/>
      <w:spacing w:after="0"/>
      <w:ind w:right="85"/>
    </w:pPr>
  </w:style>
  <w:style w:type="paragraph" w:customStyle="1" w:styleId="Text1">
    <w:name w:val="Text 1"/>
    <w:basedOn w:val="Normal"/>
    <w:uiPriority w:val="90"/>
    <w:qFormat/>
    <w:pPr>
      <w:ind w:left="482"/>
    </w:pPr>
  </w:style>
  <w:style w:type="paragraph" w:customStyle="1" w:styleId="Text2">
    <w:name w:val="Text 2"/>
    <w:basedOn w:val="Normal"/>
    <w:uiPriority w:val="90"/>
    <w:qFormat/>
    <w:pPr>
      <w:ind w:left="1202"/>
    </w:pPr>
  </w:style>
  <w:style w:type="paragraph" w:customStyle="1" w:styleId="Text3">
    <w:name w:val="Text 3"/>
    <w:basedOn w:val="Normal"/>
    <w:uiPriority w:val="90"/>
    <w:qFormat/>
    <w:pPr>
      <w:ind w:left="1202"/>
    </w:pPr>
  </w:style>
  <w:style w:type="paragraph" w:customStyle="1" w:styleId="Text4">
    <w:name w:val="Text 4"/>
    <w:basedOn w:val="Normal"/>
    <w:uiPriority w:val="90"/>
    <w:qFormat/>
    <w:pPr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2"/>
      <w:jc w:val="left"/>
    </w:pPr>
  </w:style>
  <w:style w:type="paragraph" w:customStyle="1" w:styleId="PartTitle">
    <w:name w:val="PartTitle"/>
    <w:basedOn w:val="Normal"/>
    <w:next w:val="ChapterTitle"/>
    <w:uiPriority w:val="90"/>
    <w:qFormat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uiPriority w:val="90"/>
    <w:qFormat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uiPriority w:val="90"/>
    <w:qFormat/>
    <w:pPr>
      <w:keepNext/>
      <w:spacing w:after="480"/>
      <w:jc w:val="center"/>
    </w:pPr>
    <w:rPr>
      <w:b/>
      <w:smallCaps/>
      <w:sz w:val="28"/>
    </w:rPr>
  </w:style>
  <w:style w:type="paragraph" w:styleId="Signature">
    <w:name w:val="Signature"/>
    <w:basedOn w:val="Normal"/>
    <w:next w:val="Enclosures"/>
    <w:pPr>
      <w:tabs>
        <w:tab w:val="left" w:pos="5102"/>
      </w:tabs>
      <w:spacing w:before="1200" w:after="0"/>
      <w:ind w:left="5102"/>
      <w:jc w:val="center"/>
    </w:pPr>
  </w:style>
  <w:style w:type="paragraph" w:customStyle="1" w:styleId="SignatureL">
    <w:name w:val="SignatureL"/>
    <w:basedOn w:val="Normal"/>
    <w:next w:val="Enclosures"/>
    <w:pPr>
      <w:tabs>
        <w:tab w:val="left" w:pos="5102"/>
      </w:tabs>
      <w:spacing w:before="1200" w:after="0"/>
      <w:jc w:val="left"/>
    </w:pPr>
  </w:style>
  <w:style w:type="paragraph" w:customStyle="1" w:styleId="DoubSign">
    <w:name w:val="DoubSign"/>
    <w:basedOn w:val="Normal"/>
    <w:next w:val="Enclosures"/>
    <w:pPr>
      <w:tabs>
        <w:tab w:val="left" w:pos="5102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1"/>
      </w:tabs>
      <w:spacing w:before="480" w:after="0"/>
      <w:ind w:left="2382" w:hanging="1191"/>
      <w:jc w:val="left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customStyle="1" w:styleId="YReferences">
    <w:name w:val="YReferences"/>
    <w:basedOn w:val="Normal"/>
    <w:next w:val="Normal"/>
    <w:pPr>
      <w:spacing w:after="480"/>
      <w:ind w:left="3062" w:hanging="1531"/>
    </w:pPr>
  </w:style>
  <w:style w:type="paragraph" w:customStyle="1" w:styleId="FooterLine">
    <w:name w:val="Footer Line"/>
    <w:basedOn w:val="Footer"/>
    <w:next w:val="Footer"/>
    <w:uiPriority w:val="99"/>
    <w:pPr>
      <w:tabs>
        <w:tab w:val="right" w:pos="8646"/>
      </w:tabs>
      <w:spacing w:before="120" w:line="264" w:lineRule="auto"/>
      <w:ind w:right="0"/>
      <w:jc w:val="both"/>
    </w:p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</w:rPr>
  </w:style>
  <w:style w:type="paragraph" w:customStyle="1" w:styleId="HistTableHeading">
    <w:name w:val="HistTableHeading"/>
    <w:basedOn w:val="Normal"/>
    <w:next w:val="HistoryTable"/>
    <w:pPr>
      <w:spacing w:after="120"/>
      <w:jc w:val="center"/>
    </w:pPr>
    <w:rPr>
      <w:rFonts w:ascii="Times New Roman Bold" w:hAnsi="Times New Roman Bold"/>
      <w:b/>
      <w:sz w:val="32"/>
    </w:rPr>
  </w:style>
  <w:style w:type="paragraph" w:customStyle="1" w:styleId="FigureTitle">
    <w:name w:val="Figure Title"/>
    <w:basedOn w:val="Normal"/>
    <w:next w:val="FigureBody"/>
    <w:uiPriority w:val="6"/>
    <w:pPr>
      <w:keepNext/>
      <w:spacing w:after="180"/>
    </w:pPr>
    <w:rPr>
      <w:b/>
    </w:rPr>
  </w:style>
  <w:style w:type="paragraph" w:customStyle="1" w:styleId="FigureBody">
    <w:name w:val="Figure Body"/>
    <w:basedOn w:val="Normal"/>
    <w:next w:val="FigureNote"/>
    <w:uiPriority w:val="7"/>
    <w:pPr>
      <w:keepNext/>
      <w:spacing w:after="40"/>
    </w:pPr>
  </w:style>
  <w:style w:type="paragraph" w:customStyle="1" w:styleId="FigureNote">
    <w:name w:val="Figure Note"/>
    <w:basedOn w:val="FigureSource"/>
    <w:next w:val="FigureSource"/>
    <w:uiPriority w:val="7"/>
    <w:rPr>
      <w:b/>
    </w:rPr>
  </w:style>
  <w:style w:type="paragraph" w:customStyle="1" w:styleId="FigureSource">
    <w:name w:val="Figure Source"/>
    <w:basedOn w:val="Normal"/>
    <w:next w:val="Normal"/>
    <w:uiPriority w:val="7"/>
    <w:rPr>
      <w:sz w:val="20"/>
    </w:rPr>
  </w:style>
  <w:style w:type="paragraph" w:customStyle="1" w:styleId="AnnexHeading1">
    <w:name w:val="Annex Heading 1"/>
    <w:basedOn w:val="Normal"/>
    <w:next w:val="Normal"/>
    <w:pPr>
      <w:pageBreakBefore/>
      <w:spacing w:before="240"/>
      <w:outlineLvl w:val="0"/>
    </w:pPr>
    <w:rPr>
      <w:b/>
      <w:smallCaps/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0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table" w:customStyle="1" w:styleId="TableLetterhead">
    <w:name w:val="Table Letterhead"/>
    <w:basedOn w:val="TableNormal"/>
    <w:uiPriority w:val="99"/>
    <w:tblPr>
      <w:tblCellMar>
        <w:left w:w="0" w:type="dxa"/>
        <w:bottom w:w="340" w:type="dxa"/>
        <w:right w:w="0" w:type="dxa"/>
      </w:tblCellMar>
    </w:tblPr>
  </w:style>
  <w:style w:type="table" w:customStyle="1" w:styleId="TableHistory">
    <w:name w:val="Table History"/>
    <w:basedOn w:val="TableNormal"/>
    <w:uiPriority w:val="99"/>
    <w:pPr>
      <w:spacing w:before="60" w:after="60" w:line="264" w:lineRule="auto"/>
    </w:pPr>
    <w:rPr>
      <w:sz w:val="22"/>
    </w:rPr>
    <w:tblPr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b/>
      <w:sz w:val="32"/>
    </w:rPr>
  </w:style>
  <w:style w:type="numbering" w:customStyle="1" w:styleId="ImportedStyle1">
    <w:name w:val="Imported Style 1"/>
    <w:pPr>
      <w:numPr>
        <w:numId w:val="19"/>
      </w:numPr>
    </w:pPr>
  </w:style>
  <w:style w:type="character" w:customStyle="1" w:styleId="FootnoteTextChar">
    <w:name w:val="Footnote Text Char"/>
    <w:basedOn w:val="DefaultParagraphFont"/>
    <w:link w:val="FootnoteText"/>
    <w:rPr>
      <w:sz w:val="20"/>
    </w:rPr>
  </w:style>
  <w:style w:type="character" w:styleId="FootnoteReference">
    <w:name w:val="footnote reference"/>
    <w:basedOn w:val="DefaultParagraphFont"/>
    <w:semiHidden/>
    <w:locked/>
    <w:rPr>
      <w:vertAlign w:val="superscript"/>
    </w:rPr>
  </w:style>
  <w:style w:type="character" w:styleId="Hyperlink">
    <w:name w:val="Hyperlink"/>
    <w:basedOn w:val="DefaultParagraphFont"/>
    <w:semiHidden/>
    <w:lock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lock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yperlink" Target="https://ec.europa.eu/info/brexit/brexit-preparedness/preparedness-notices_en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uri=uriserv:OJ.L_.2019.076.01.0001.01.ENG&amp;toc=OJ:L:2019:076:TOC" TargetMode="External"/><Relationship Id="rId13" Type="http://schemas.openxmlformats.org/officeDocument/2006/relationships/hyperlink" Target="https://eur-lex.europa.eu/legal-content/EN/TXT/?uri=uriserv:OJ.L_.2016.207.01.0001.01.ENG" TargetMode="External"/><Relationship Id="rId18" Type="http://schemas.openxmlformats.org/officeDocument/2006/relationships/hyperlink" Target="https://edpb.europa.eu/our-work-tools/our-documents/guidelines/guidelines-22018-derogations-article-49-under-regulation_en" TargetMode="External"/><Relationship Id="rId3" Type="http://schemas.openxmlformats.org/officeDocument/2006/relationships/hyperlink" Target="https://eur-lex.europa.eu/legal-content/en/TXT/?uri=CELEX:32002D0002" TargetMode="External"/><Relationship Id="rId7" Type="http://schemas.openxmlformats.org/officeDocument/2006/relationships/hyperlink" Target="https://eur-lex.europa.eu/legal-content/EN/TXT/?uri=CELEX:32004D0411" TargetMode="External"/><Relationship Id="rId12" Type="http://schemas.openxmlformats.org/officeDocument/2006/relationships/hyperlink" Target="https://eur-lex.europa.eu/legal-content/EN/TXT/?uri=CELEX:32012D0484" TargetMode="External"/><Relationship Id="rId17" Type="http://schemas.openxmlformats.org/officeDocument/2006/relationships/hyperlink" Target="https://edpb.europa.eu/our-work-tools/our-documents/other/information-note-data-transfers-under-gdpr-event-no-deal-brexit_en" TargetMode="External"/><Relationship Id="rId2" Type="http://schemas.openxmlformats.org/officeDocument/2006/relationships/hyperlink" Target="https://eur-lex.europa.eu/legal-content/EN/TXT/?uri=CELEX:32003D0490" TargetMode="External"/><Relationship Id="rId16" Type="http://schemas.openxmlformats.org/officeDocument/2006/relationships/hyperlink" Target="https://ec.europa.eu/info/sites/info/files/file_import/data_protection_en.pdf" TargetMode="External"/><Relationship Id="rId1" Type="http://schemas.openxmlformats.org/officeDocument/2006/relationships/hyperlink" Target="https://eur-lex.europa.eu/legal-content/EN/TXT/?uri=CELEX:32010D0625" TargetMode="External"/><Relationship Id="rId6" Type="http://schemas.openxmlformats.org/officeDocument/2006/relationships/hyperlink" Target="https://eur-lex.europa.eu/legal-content/EN/TXT/?uri=CELEX:32011D0061" TargetMode="External"/><Relationship Id="rId11" Type="http://schemas.openxmlformats.org/officeDocument/2006/relationships/hyperlink" Target="https://eur-lex.europa.eu/legal-content/EN/TXT/?uri=CELEX:32000D0518" TargetMode="External"/><Relationship Id="rId5" Type="http://schemas.openxmlformats.org/officeDocument/2006/relationships/hyperlink" Target="https://eur-lex.europa.eu/legal-content/EN/TXT/?uri=CELEX:32003D0821" TargetMode="External"/><Relationship Id="rId15" Type="http://schemas.openxmlformats.org/officeDocument/2006/relationships/hyperlink" Target="https://ec.europa.eu/info/law/law-topic/data-protection/data-transfers-outside-eu/model-contracts-transfer-personal-data-third-countries_en" TargetMode="External"/><Relationship Id="rId10" Type="http://schemas.openxmlformats.org/officeDocument/2006/relationships/hyperlink" Target="https://eur-lex.europa.eu/legal-content/EN/ALL/?uri=CELEX:32013D0065" TargetMode="External"/><Relationship Id="rId19" Type="http://schemas.openxmlformats.org/officeDocument/2006/relationships/hyperlink" Target="https://edpb.europa.eu/our-work-tools/our-documents/other/draft-administrative-arrangement-transfer-personal-data-between_en" TargetMode="External"/><Relationship Id="rId4" Type="http://schemas.openxmlformats.org/officeDocument/2006/relationships/hyperlink" Target="https://eur-lex.europa.eu/legal-content/en/ALL/?uri=CELEX:32010D0146" TargetMode="External"/><Relationship Id="rId9" Type="http://schemas.openxmlformats.org/officeDocument/2006/relationships/hyperlink" Target="https://eur-lex.europa.eu/legal-content/EN/TXT/?uri=CELEX:32008D0393" TargetMode="External"/><Relationship Id="rId14" Type="http://schemas.openxmlformats.org/officeDocument/2006/relationships/hyperlink" Target="https://ec.europa.eu/info/digital-economy-and-society/data-protection/data-transfers-outside-eu/eu-us-privacy-shield_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aLOGIKa\Eurolook\Templates\Euroloo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33D44CF0C8FEB45875F235DEEF2E1B9" ma:contentTypeVersion="7" ma:contentTypeDescription="Create a new document in this library." ma:contentTypeScope="" ma:versionID="0cb51d011d44aaa2f2f2559eb8aaf02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5173920-bf43-43cc-9123-1897e847dfc2" targetNamespace="http://schemas.microsoft.com/office/2006/metadata/properties" ma:root="true" ma:fieldsID="a931e117a4c2a292401c17c6d61581df" ns1:_="" ns2:_="" ns3:_="">
    <xsd:import namespace="http://schemas.microsoft.com/sharepoint/v3"/>
    <xsd:import namespace="http://schemas.microsoft.com/sharepoint/v3/fields"/>
    <xsd:import namespace="25173920-bf43-43cc-9123-1897e847dfc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1:RelatedItems" minOccurs="0"/>
                <xsd:element ref="ns3:DG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16" nillable="true" ma:displayName="Related Items" ma:internalName="RelatedItems" ma:readOnly="false">
      <xsd:simpleType>
        <xsd:restriction base="dms:Note"/>
      </xsd:simpleType>
    </xsd:element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73920-bf43-43cc-9123-1897e847dfc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G" ma:index="17" nillable="true" ma:displayName="DG" ma:description="Associated DG(s)" ma:list="{a436e1b9-89ab-4a0f-bf89-77e0c01004af}" ma:internalName="D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EC Document</p:Name>
  <p:Description/>
  <p:Statement/>
  <p:PolicyItems>
    <p:PolicyItem featureId="Microsoft.Office.RecordsManagement.PolicyFeatures.PolicyAudit" staticId="0x010100258AA79CEB83498886A3A0868112325000D33D44CF0C8FEB45875F235DEEF2E1B9|8138272" UniqueId="82ebddaa-263f-44a4-b383-ae40ea096670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Author Role="Creator">
  <Id>88d91e40-5130-498e-9822-300bf14eb270</Id>
  <Names>
    <Latin>
      <FirstName>Christine</FirstName>
      <LastName>Therace</LastName>
    </Latin>
    <Greek>
      <FirstName/>
      <LastName/>
    </Greek>
    <Cyrillic>
      <FirstName/>
      <LastName/>
    </Cyrillic>
    <DocumentScript>
      <FirstName>Christine</FirstName>
      <LastName>Therace</LastName>
      <FullName>Christine Therace</FullName>
    </DocumentScript>
  </Names>
  <Initials>ct</Initials>
  <Gender>f</Gender>
  <Email>Christine.THERACE@ec.europa.eu</Email>
  <Service>SG.B.4</Service>
  <Function ShowInSignature="true"/>
  <WebAddress/>
  <InheritedWebAddress>WebAddress</InheritedWebAddress>
  <OrgaEntity1>
    <Id>dfeba4c5-4fee-4c38-9a3a-bbd8394ad370</Id>
    <LogicalLevel>1</LogicalLevel>
    <Name>SG</Name>
    <HeadLine1>SECRETARIAT-GENERAL</HeadLine1>
    <HeadLine2/>
    <PrimaryAddressId>f03b5801-04c9-4931-aa17-c6d6c70bc579</PrimaryAddressId>
    <SecondaryAddressId/>
    <WebAddress>WebAddress</WebAddress>
    <InheritedWebAddress>WebAddress</InheritedWebAddress>
    <ShowInHeader>true</ShowInHeader>
  </OrgaEntity1>
  <OrgaEntity2>
    <Id>5bfaee95-3489-4c92-8292-c43019406cf5</Id>
    <LogicalLevel>2</LogicalLevel>
    <Name>SG.A</Name>
    <HeadLine1>Directorate A - Strategy, Better Regulation &amp; Corporate Governance</HeadLine1>
    <HeadLine2/>
    <PrimaryAddressId>f03b5801-04c9-4931-aa17-c6d6c70bc579</PrimaryAddressId>
    <SecondaryAddressId/>
    <WebAddress/>
    <InheritedWebAddress>WebAddress</InheritedWebAddress>
    <ShowInHeader>true</ShowInHeader>
  </OrgaEntity2>
  <OrgaEntity3>
    <Id>e54bba68-9594-477c-a130-7fe31e382331</Id>
    <LogicalLevel>3</LogicalLevel>
    <Name>SG.A.1</Name>
    <HeadLine1>SG.A.1-Policy Priorities &amp; Work Programme</HeadLine1>
    <HeadLine2/>
    <PrimaryAddressId>f03b5801-04c9-4931-aa17-c6d6c70bc579</PrimaryAddressId>
    <SecondaryAddressId/>
    <WebAddress/>
    <InheritedWebAddress>WebAddress</InheritedWebAddress>
    <ShowInHeader>true</ShowInHeader>
  </OrgaEntity3>
  <Addresses>
    <Address>
      <Id>f03b5801-04c9-4931-aa17-c6d6c70bc579</Id>
      <Name>Brussels</Name>
      <PhoneNumberPrefix>+32 229 </PhoneNumberPrefix>
      <Location>Brussels,</Location>
      <Footer>Commission européenne/Europese Commissie, 1049 Bruxelles/Brussel, BELGIQUE/BELGIË - Tel. +32 22991111</Footer>
    </Address>
    <Address>
      <Id>1264fb81-f6bb-475e-9f9d-a937d3be6ee2</Id>
      <Name>Luxembourg</Name>
      <PhoneNumberPrefix>+352 4301</PhoneNumberPrefix>
      <Location>Luxembourg,</Location>
      <Footer>Commission européenne, 2920 Luxembourg, LUXEMBOURG - Tel. +352 43011</Footer>
    </Address>
  </Addresses>
  <JobAssignmentId/>
  <MainWorkplace IsMain="true">
    <AddressId>f03b5801-04c9-4931-aa17-c6d6c70bc579</AddressId>
    <Fax/>
    <Phone>+32 229 84108</Phone>
    <Office>BERL 05/096</Office>
  </MainWorkplace>
  <Workplaces>
    <Workplace IsMain="false">
      <AddressId>1264fb81-f6bb-475e-9f9d-a937d3be6ee2</AddressId>
      <Fax/>
      <Phone/>
      <Office/>
    </Workplace>
    <Workplace IsMain="true">
      <AddressId>f03b5801-04c9-4931-aa17-c6d6c70bc579</AddressId>
      <Fax/>
      <Phone>+32 229 84108</Phone>
      <Office>BERL 05/096</Office>
    </Workplace>
  </Workplaces>
</Author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25173920-bf43-43cc-9123-1897e847dfc2" xsi:nil="true"/>
    <_Status xmlns="http://schemas.microsoft.com/sharepoint/v3/fields">Not Started</_Status>
    <EC_Collab_Status xmlns="25173920-bf43-43cc-9123-1897e847dfc2">Not Started</EC_Collab_Status>
    <DG xmlns="25173920-bf43-43cc-9123-1897e847dfc2"/>
    <EC_Collab_DocumentLanguage xmlns="25173920-bf43-43cc-9123-1897e847dfc2">EN</EC_Collab_DocumentLanguage>
    <RelatedItems xmlns="http://schemas.microsoft.com/sharepoint/v3" xsi:nil="true"/>
  </documentManagement>
</p:properties>
</file>

<file path=customXml/item6.xml><?xml version="1.0" encoding="utf-8"?>
<Texts>
  <SecurityPersonalData>Personal data</SecurityPersonalData>
  <SecurityPharma>Pharma investigations</SecurityPharma>
  <MarkingUntilText>UNTIL</MarkingUntilText>
  <LabelPictureSeq>Picture {SEQ Picture \* ARABIC } – </LabelPictureSeq>
  <SecurityMediationServiceMatter>Mediation service</SecurityMediationServiceMatter>
  <SecurityDeadline>Deadline</SecurityDeadline>
  <SecurityEconomyAndFinance>Economy and finance</SecurityEconomyAndFinance>
  <FooterFax>Fax</FooterFax>
  <FooterOffice>Office:</FooterOffice>
  <SecurityOlafInvestigations>OLAF investigations</SecurityOlafInvestigations>
  <TechHistory>Document History</TechHistory>
  <SensitiveHandling>Handling instructions for SENSITIVE information are given at https://europa.eu/!db43PX</SensitiveHandling>
  <SecurityOlafSpecialHandling>OLAF investigations</SecurityOlafSpecialHandling>
  <SecurityPersonal>Personal</SecurityPersonal>
  <CourtProceduralDocuments>Court procedural documents</CourtProceduralDocuments>
  <OrgaRoot>EUROPEAN COMMISSION</OrgaRoot>
  <TechHistoryComment>Comment</TechHistoryComment>
  <Contact>Contact:</Contact>
  <SensitiveLabel>Sensitive</SensitiveLabel>
  <SpecialHandlingLabel>Special Handling</SpecialHandlingLabel>
  <SecurityInvestigationsDisciplinary>Investigations and disciplinary matters</SecurityInvestigationsDisciplinary>
  <SecurityCompOperations>COMP Operations</SecurityCompOperations>
  <SecurityEuSatellite>EU satellite navigation matters</SecurityEuSatellite>
  <SecurityReleasable>RELEASABLE TO:</SecurityReleasable>
  <AddresseeTo>To:</AddresseeTo>
  <SecurityStaffMatter>Staff matter</SecurityStaffMatter>
  <SecurityOpinionLegalService>Opinion of the Legal Service</SecurityOpinionLegalService>
  <SpecialHandlingFootnote>Special handling instructions are given at https://europa.eu/!db43PX</SpecialHandlingFootnote>
  <SecurityEtsSensitive>ETS</SecurityEtsSensitive>
  <SecurityEtsCritical>ETS Critical</SecurityEtsCritical>
  <SecurityCompSpecial>COMP</SecurityCompSpecial>
  <LabelSource>Source</LabelSource>
  <SecurityPharmaSpecial>Pharma investigations</SecurityPharmaSpecial>
  <TOCHeading>Table of Contents</TOCHeading>
  <TechHistoryDate>Date</TechHistoryDate>
  <AddressFooterBrussels>Commission européenne/Europese Commissie, 1049 Bruxelles/Brussel, BELGIQUE/BELGIË - Tel. +32 22991111</AddressFooterBrussels>
  <SecurityIasOperations>IAS operations</SecurityIasOperations>
  <TechHistoryCreatedBy>Document created by</TechHistoryCreatedBy>
  <FooterPhone>Tel. direct line</FooterPhone>
  <SecuritySecurityMatter>Security matter</SecuritySecurityMatter>
  <SecurityPersonalDataHandling>Shall only be communicated on a need to know basis pursuant to Regulation (EC) No 45/2001. Where e-mail is used, this must be encrypted using SECEM.</SecurityPersonalDataHandling>
  <TechHistoryVersion>Version</TechHistoryVersion>
  <TLPAmber>TLP: Amber</TLPAmber>
  <SecurityMedicalSecret>Medical secret</SecurityMedicalSecret>
  <Contacts>Contacts:</Contacts>
  <SecurityEmbargo>Embargo until</SecurityEmbargo>
  <DateFormatShort>dd/MM/yyyy</DateFormatShort>
  <DateFormatLong>d MMMM yyyy</DateFormatLong>
</Texts>
</file>

<file path=customXml/item7.xml><?xml version="1.0" encoding="utf-8"?>
<EurolookProperties>
  <ProductCustomizationId>EC</ProductCustomizationId>
  <Created>
    <Version>10.0.38495.0</Version>
    <Date>2019-04-05T17:56:24</Date>
    <Language>EN</Language>
  </Created>
  <Edited>
    <Version>10.0.38495.0</Version>
    <Date>2019-04-10T11:30:51</Date>
  </Edited>
  <DocumentModel>
    <Id>6cbda13a-4db2-46c6-876a-ef72275827ef</Id>
    <Name>Report</Name>
  </DocumentModel>
  <DocumentDate>2019-04-05T17:56:24</DocumentDate>
  <DocumentVersion>0.1</DocumentVersion>
  <CompatibilityMode>Eurolook10</CompatibilityMode>
  <Address/>
</EurolookProperties>
</file>

<file path=customXml/item8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BA74005-01F3-4FBA-96CE-542E5DAC17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73BC7-B523-4909-A03E-0444E3A52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5173920-bf43-43cc-9123-1897e847d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76941F-2406-4B07-9578-C0CA62D4DE8E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EE044946-5330-43F7-8D16-AA78684F2938}">
  <ds:schemaRefs/>
</ds:datastoreItem>
</file>

<file path=customXml/itemProps5.xml><?xml version="1.0" encoding="utf-8"?>
<ds:datastoreItem xmlns:ds="http://schemas.openxmlformats.org/officeDocument/2006/customXml" ds:itemID="{EF3BA1D0-E751-44AD-85E9-0A503AE72139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25173920-bf43-43cc-9123-1897e847dfc2"/>
    <ds:schemaRef ds:uri="http://schemas.microsoft.com/sharepoint/v3/field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4EF90DE6-88B6-4264-9629-4D8DFDFE87D2}">
  <ds:schemaRefs/>
</ds:datastoreItem>
</file>

<file path=customXml/itemProps7.xml><?xml version="1.0" encoding="utf-8"?>
<ds:datastoreItem xmlns:ds="http://schemas.openxmlformats.org/officeDocument/2006/customXml" ds:itemID="{D3EA5527-7367-4268-9D83-5125C98D0ED2}">
  <ds:schemaRefs/>
</ds:datastoreItem>
</file>

<file path=customXml/itemProps8.xml><?xml version="1.0" encoding="utf-8"?>
<ds:datastoreItem xmlns:ds="http://schemas.openxmlformats.org/officeDocument/2006/customXml" ds:itemID="{834BF7A4-7449-4512-90F7-1DA482FE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Eurolook</Template>
  <TotalTime>2</TotalTime>
  <Pages>5</Pages>
  <Words>878</Words>
  <Characters>7110</Characters>
  <Application>Microsoft Office Word</Application>
  <DocSecurity>0</DocSecurity>
  <PresentationFormat>Microsoft Word 14.0</PresentationFormat>
  <Lines>109</Lines>
  <Paragraphs>38</Paragraphs>
  <ScaleCrop>true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THERACE Christine (SG)</dc:creator>
  <cp:lastModifiedBy>HEILEMANN Stefanie (SG)</cp:lastModifiedBy>
  <cp:revision>10</cp:revision>
  <cp:lastPrinted>2019-04-08T15:56:00Z</cp:lastPrinted>
  <dcterms:created xsi:type="dcterms:W3CDTF">2019-04-10T07:13:00Z</dcterms:created>
  <dcterms:modified xsi:type="dcterms:W3CDTF">2019-04-10T09:30:00Z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10.0</vt:lpwstr>
  </property>
  <property fmtid="{D5CDD505-2E9C-101B-9397-08002B2CF9AE}" pid="3" name="ELDocType">
    <vt:lpwstr>rep.dot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6</vt:lpwstr>
  </property>
  <property fmtid="{D5CDD505-2E9C-101B-9397-08002B2CF9AE}" pid="6" name="Last annex">
    <vt:lpwstr>6</vt:lpwstr>
  </property>
  <property fmtid="{D5CDD505-2E9C-101B-9397-08002B2CF9AE}" pid="7" name="Unique annex">
    <vt:lpwstr>0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DocStatus">
    <vt:lpwstr>Green</vt:lpwstr>
  </property>
  <property fmtid="{D5CDD505-2E9C-101B-9397-08002B2CF9AE}" pid="11" name="Created using">
    <vt:lpwstr>LW 6.0.1, Build 20180503</vt:lpwstr>
  </property>
  <property fmtid="{D5CDD505-2E9C-101B-9397-08002B2CF9AE}" pid="12" name="Last edited using">
    <vt:lpwstr>LW 6.0.1, Build 20180503</vt:lpwstr>
  </property>
  <property fmtid="{D5CDD505-2E9C-101B-9397-08002B2CF9AE}" pid="13" name="ContentTypeId">
    <vt:lpwstr>0x010100258AA79CEB83498886A3A0868112325000D33D44CF0C8FEB45875F235DEEF2E1B9</vt:lpwstr>
  </property>
</Properties>
</file>