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E45" w:rsidRDefault="00A05EF9">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9795C67-9577-4BD5-95D6-80ADCE1D40C6" style="width:450.6pt;height:461.8pt">
            <v:imagedata r:id="rId15" o:title=""/>
          </v:shape>
        </w:pict>
      </w:r>
    </w:p>
    <w:bookmarkEnd w:id="0"/>
    <w:p w:rsidR="00C63E45" w:rsidRDefault="00C63E45">
      <w:pPr>
        <w:rPr>
          <w:noProof/>
        </w:rPr>
        <w:sectPr w:rsidR="00C63E45">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26"/>
        </w:sectPr>
      </w:pPr>
    </w:p>
    <w:p w:rsidR="00C63E45" w:rsidRDefault="00A05EF9">
      <w:pPr>
        <w:pStyle w:val="Heading1"/>
        <w:rPr>
          <w:noProof/>
        </w:rPr>
      </w:pPr>
      <w:r>
        <w:rPr>
          <w:noProof/>
        </w:rPr>
        <w:lastRenderedPageBreak/>
        <w:t>Įvadas</w:t>
      </w:r>
    </w:p>
    <w:p w:rsidR="00C63E45" w:rsidRDefault="00A05EF9">
      <w:pPr>
        <w:pStyle w:val="Text1"/>
        <w:ind w:left="0"/>
        <w:rPr>
          <w:noProof/>
        </w:rPr>
      </w:pPr>
      <w:r>
        <w:rPr>
          <w:noProof/>
        </w:rPr>
        <w:t xml:space="preserve">2017 m. kovo 29 d. Jungtinė Karalystė pranešė apie savo ketinimą išstoti iš Sąjungos. </w:t>
      </w:r>
      <w:r>
        <w:rPr>
          <w:noProof/>
          <w:color w:val="000000"/>
          <w:u w:color="000000"/>
          <w:bdr w:val="nil"/>
        </w:rPr>
        <w:t>Komisija toliau laikosi nuomonės, kad geriausia išeitis</w:t>
      </w:r>
      <w:r>
        <w:rPr>
          <w:noProof/>
          <w:color w:val="000000"/>
          <w:u w:color="000000"/>
          <w:bdr w:val="nil"/>
        </w:rPr>
        <w:t xml:space="preserve"> yra tvarkingas Jungtinės Karalystės išstojimas iš Sąjungos remiantis Susitarimu dėl išstojimo, kuriam pritarė Jungtinės Karalystės Vyriausybė ir kurį 2018 m. lapkričio 25 d. patvirtino Europos Vadovų Taryba (50 straipsnis). Komisija ir toliau daugiausia p</w:t>
      </w:r>
      <w:r>
        <w:rPr>
          <w:noProof/>
          <w:color w:val="000000"/>
          <w:u w:color="000000"/>
          <w:bdr w:val="nil"/>
        </w:rPr>
        <w:t>astangų deda tam, kad tas tikslas būtų pasiektas. Vis dėlto, likus dviem dienoms iki 2019 m. balandžio 12 d.</w:t>
      </w:r>
      <w:r>
        <w:rPr>
          <w:noProof/>
        </w:rPr>
        <w:t xml:space="preserve"> – Europos Vadovų Tarybos</w:t>
      </w:r>
      <w:r>
        <w:rPr>
          <w:noProof/>
          <w:color w:val="000000"/>
          <w:u w:color="000000"/>
          <w:bdr w:val="nil"/>
        </w:rPr>
        <w:t xml:space="preserve"> pratęsto termino</w:t>
      </w:r>
      <w:r>
        <w:rPr>
          <w:noProof/>
          <w:color w:val="000000"/>
          <w:u w:color="000000"/>
          <w:bdr w:val="nil"/>
          <w:vertAlign w:val="superscript"/>
        </w:rPr>
        <w:footnoteReference w:id="1"/>
      </w:r>
      <w:r>
        <w:rPr>
          <w:noProof/>
          <w:color w:val="000000"/>
          <w:u w:color="000000"/>
          <w:bdr w:val="nil"/>
        </w:rPr>
        <w:t xml:space="preserve"> pabaigos, gerokai padidėjo netvarkingo Jungtinės Karalystės išstojimo iš Sąjungos tikimybė.</w:t>
      </w:r>
      <w:r>
        <w:rPr>
          <w:noProof/>
        </w:rPr>
        <w:t xml:space="preserve"> </w:t>
      </w:r>
    </w:p>
    <w:p w:rsidR="00C63E45" w:rsidRDefault="00A05EF9">
      <w:pPr>
        <w:pStyle w:val="Heading1"/>
        <w:rPr>
          <w:noProof/>
        </w:rPr>
      </w:pPr>
      <w:r>
        <w:rPr>
          <w:noProof/>
        </w:rPr>
        <w:t>Duomenų per</w:t>
      </w:r>
      <w:r>
        <w:rPr>
          <w:noProof/>
        </w:rPr>
        <w:t>davimas Jungtinei Karalystei išstojimo be susitarimo atveju</w:t>
      </w:r>
    </w:p>
    <w:p w:rsidR="00C63E45" w:rsidRDefault="00A05EF9">
      <w:pPr>
        <w:pStyle w:val="Text1"/>
        <w:ind w:left="0"/>
        <w:rPr>
          <w:noProof/>
        </w:rPr>
      </w:pPr>
      <w:r>
        <w:rPr>
          <w:noProof/>
        </w:rPr>
        <w:t>Sąjungoje galioja išsamus taisyklių, reglamentuojančių asmens duomenų perdavimą trečiosioms šalims, rinkinys – juo bus vadovaujamasi perduodant duomenis Jungtinei Karalystei pasitvirtinus išstojim</w:t>
      </w:r>
      <w:r>
        <w:rPr>
          <w:noProof/>
        </w:rPr>
        <w:t>o be susitarimo scenarijui. Šios taisyklės visų pirma nustatytos Bendra</w:t>
      </w:r>
      <w:bookmarkStart w:id="1" w:name="_GoBack"/>
      <w:bookmarkEnd w:id="1"/>
      <w:r>
        <w:rPr>
          <w:noProof/>
        </w:rPr>
        <w:t>jame duomenų apsaugos reglamente</w:t>
      </w:r>
      <w:r>
        <w:rPr>
          <w:noProof/>
          <w:vertAlign w:val="superscript"/>
        </w:rPr>
        <w:footnoteReference w:id="2"/>
      </w:r>
      <w:r>
        <w:rPr>
          <w:noProof/>
        </w:rPr>
        <w:t xml:space="preserve"> ir Teisėsaugos direktyvoje</w:t>
      </w:r>
      <w:r>
        <w:rPr>
          <w:noProof/>
          <w:vertAlign w:val="superscript"/>
        </w:rPr>
        <w:footnoteReference w:id="3"/>
      </w:r>
      <w:r>
        <w:rPr>
          <w:noProof/>
        </w:rPr>
        <w:t xml:space="preserve">. Šiame pranešime daugiausia dėmesio skiriama Bendrajame duomenų apsaugos reglamente numatytoms priemonėms. </w:t>
      </w:r>
    </w:p>
    <w:p w:rsidR="00C63E45" w:rsidRDefault="00A05EF9">
      <w:pPr>
        <w:pStyle w:val="Text1"/>
        <w:ind w:left="0"/>
        <w:rPr>
          <w:noProof/>
        </w:rPr>
      </w:pPr>
      <w:r>
        <w:rPr>
          <w:noProof/>
        </w:rPr>
        <w:t>Kaip nurodyta K</w:t>
      </w:r>
      <w:r>
        <w:rPr>
          <w:noProof/>
        </w:rPr>
        <w:t xml:space="preserve">omisijos </w:t>
      </w:r>
      <w:hyperlink r:id="rId22">
        <w:r w:rsidRPr="00A05EF9">
          <w:t>2018 m. lapkričio 13 d, komunikate dėl pasirengimo „Brexit’ui“</w:t>
        </w:r>
      </w:hyperlink>
      <w:r>
        <w:rPr>
          <w:noProof/>
        </w:rPr>
        <w:t>, Komisija</w:t>
      </w:r>
      <w:r>
        <w:rPr>
          <w:noProof/>
        </w:rPr>
        <w:t xml:space="preserve"> mano, kad dabartinių keitimosi duomenimis priemonių pakanka, kad išstojimo be susitarimo atveju būtų galima patenkinti neatidėliotinus duomenų perdavimo Jungtinei Karalystei poreikius. Tai tos pačios priemonės, kuriomis jau naudojamasi perduodant duomenis</w:t>
      </w:r>
      <w:r>
        <w:rPr>
          <w:noProof/>
        </w:rPr>
        <w:t xml:space="preserve"> visoms pasaulio šalims, išskyrus trylika trečiųjų šalių arba teritorijų, kurioms (iš dalies) taikomas sprendimas dėl tinkamumo</w:t>
      </w:r>
      <w:r>
        <w:rPr>
          <w:noProof/>
          <w:vertAlign w:val="superscript"/>
        </w:rPr>
        <w:footnoteReference w:id="4"/>
      </w:r>
      <w:r>
        <w:rPr>
          <w:noProof/>
        </w:rPr>
        <w:t>. Atsižvelgdama į tai, Komisija nepriėmė nenumatytų atvejų priemonės, kuri būtų skirta šiai sričiai, ir šiuo etapu neketina Jung</w:t>
      </w:r>
      <w:r>
        <w:rPr>
          <w:noProof/>
        </w:rPr>
        <w:t xml:space="preserve">tinės Karalystės atžvilgiu priimti sprendimo dėl tinkamumo. </w:t>
      </w:r>
    </w:p>
    <w:p w:rsidR="00C63E45" w:rsidRDefault="00A05EF9">
      <w:pPr>
        <w:pStyle w:val="Text1"/>
        <w:ind w:left="0"/>
        <w:rPr>
          <w:noProof/>
        </w:rPr>
      </w:pPr>
      <w:r>
        <w:rPr>
          <w:noProof/>
        </w:rPr>
        <w:t>Bendrojo duomenų apsaugos reglamento V skyriaus nuostatomis numatytas platus duomenų perdavimo trečiosioms šalims priemonių rinkinys, skirtas tiek valdžios institucijoms, tiek privatiems subjekta</w:t>
      </w:r>
      <w:r>
        <w:rPr>
          <w:noProof/>
        </w:rPr>
        <w:t xml:space="preserve">ms, kaip antai: </w:t>
      </w:r>
    </w:p>
    <w:p w:rsidR="00C63E45" w:rsidRDefault="00A05EF9">
      <w:pPr>
        <w:pStyle w:val="Text1"/>
        <w:numPr>
          <w:ilvl w:val="0"/>
          <w:numId w:val="21"/>
        </w:numPr>
        <w:ind w:left="284" w:hanging="284"/>
        <w:rPr>
          <w:noProof/>
        </w:rPr>
      </w:pPr>
      <w:r>
        <w:rPr>
          <w:b/>
          <w:noProof/>
        </w:rPr>
        <w:lastRenderedPageBreak/>
        <w:t>Standartinės sutarčių sąlygos</w:t>
      </w:r>
      <w:r>
        <w:rPr>
          <w:noProof/>
        </w:rPr>
        <w:t>. Komisija patvirtino tris standartinių sutarčių sąlygų rinkinius, kuriais perduodami duomenis trečiosioms šalims gali tiesiogiai remtis ūkio subjektai. Šias standartines sąlygas galima rasti Komisijos tinklala</w:t>
      </w:r>
      <w:r>
        <w:rPr>
          <w:noProof/>
        </w:rPr>
        <w:t>pyje</w:t>
      </w:r>
      <w:r>
        <w:rPr>
          <w:noProof/>
          <w:vertAlign w:val="superscript"/>
        </w:rPr>
        <w:footnoteReference w:id="5"/>
      </w:r>
      <w:r>
        <w:rPr>
          <w:noProof/>
        </w:rPr>
        <w:t xml:space="preserve">. </w:t>
      </w:r>
    </w:p>
    <w:p w:rsidR="00C63E45" w:rsidRDefault="00A05EF9">
      <w:pPr>
        <w:pStyle w:val="Text1"/>
        <w:numPr>
          <w:ilvl w:val="0"/>
          <w:numId w:val="21"/>
        </w:numPr>
        <w:ind w:left="284" w:hanging="284"/>
        <w:rPr>
          <w:noProof/>
        </w:rPr>
      </w:pPr>
      <w:r>
        <w:rPr>
          <w:b/>
          <w:noProof/>
        </w:rPr>
        <w:t>Įmonėms privalomos taisyklės</w:t>
      </w:r>
      <w:r>
        <w:rPr>
          <w:noProof/>
        </w:rPr>
        <w:t>. Tai kompetentingos duomenų apsaugos institucijos patvirtintos teisiškai privalomos duomenų apsaugos taisyklės, kurios taikomos įmonių grupėje.</w:t>
      </w:r>
    </w:p>
    <w:p w:rsidR="00C63E45" w:rsidRDefault="00A05EF9">
      <w:pPr>
        <w:pStyle w:val="Text1"/>
        <w:numPr>
          <w:ilvl w:val="0"/>
          <w:numId w:val="21"/>
        </w:numPr>
        <w:ind w:left="284" w:hanging="284"/>
        <w:rPr>
          <w:noProof/>
        </w:rPr>
      </w:pPr>
      <w:r>
        <w:rPr>
          <w:b/>
          <w:noProof/>
        </w:rPr>
        <w:t xml:space="preserve">Elgesio kodeksai ir sertifikavimo mechanizmai. </w:t>
      </w:r>
      <w:r>
        <w:rPr>
          <w:noProof/>
        </w:rPr>
        <w:t>Šiomis priemonėmis galima už</w:t>
      </w:r>
      <w:r>
        <w:rPr>
          <w:noProof/>
        </w:rPr>
        <w:t>tikrinti tinkamą asmens duomenų perdavimo apsaugą, jeigu pagal tas priemones numatyti trečiosios šalies organizacijai privalomi vykdytini įsipareigojimai, be kita ko, susiję su asmenų teisėmis.</w:t>
      </w:r>
    </w:p>
    <w:p w:rsidR="00C63E45" w:rsidRDefault="00A05EF9">
      <w:pPr>
        <w:pStyle w:val="Text1"/>
        <w:numPr>
          <w:ilvl w:val="0"/>
          <w:numId w:val="21"/>
        </w:numPr>
        <w:ind w:left="284" w:hanging="284"/>
        <w:rPr>
          <w:noProof/>
        </w:rPr>
      </w:pPr>
      <w:r>
        <w:rPr>
          <w:b/>
          <w:noProof/>
        </w:rPr>
        <w:t>Nukrypti leidžiančios nuostatos,</w:t>
      </w:r>
      <w:r>
        <w:rPr>
          <w:noProof/>
        </w:rPr>
        <w:t xml:space="preserve"> t. y. teisės aktais nustatyti duomenų perdavimo pagrindai, pvz., sutikimas, sutarties vykdymas, teisinių reikalavimų vykdymas arba svarbios viešojo intereso priežastys (išsamesnė informacija apie nukrypti leidžiančias nuostatas pateikiama 3 skirsnyje). </w:t>
      </w:r>
    </w:p>
    <w:p w:rsidR="00C63E45" w:rsidRDefault="00A05EF9">
      <w:pPr>
        <w:pStyle w:val="Text1"/>
        <w:ind w:left="0"/>
        <w:rPr>
          <w:noProof/>
        </w:rPr>
      </w:pPr>
      <w:r>
        <w:rPr>
          <w:noProof/>
        </w:rPr>
        <w:t>D</w:t>
      </w:r>
      <w:r>
        <w:rPr>
          <w:noProof/>
        </w:rPr>
        <w:t>augiau informacijos galima rasti pranešime apie pasirengimą „Brexit’ui“, susijusiame su asmens duomenų apsauga</w:t>
      </w:r>
      <w:r>
        <w:rPr>
          <w:noProof/>
          <w:vertAlign w:val="superscript"/>
        </w:rPr>
        <w:footnoteReference w:id="6"/>
      </w:r>
      <w:r>
        <w:rPr>
          <w:noProof/>
        </w:rPr>
        <w:t>, ir Europos duomenų apsaugos valdybos paskelbtame informaciniame pranešime dėl duomenų perdavimo pagal Bendrąjį duomenų apsaugos reglamentą įvyk</w:t>
      </w:r>
      <w:r>
        <w:rPr>
          <w:noProof/>
        </w:rPr>
        <w:t>us „Brexit’ui“ be susitarimo</w:t>
      </w:r>
      <w:r>
        <w:rPr>
          <w:noProof/>
          <w:vertAlign w:val="superscript"/>
        </w:rPr>
        <w:footnoteReference w:id="7"/>
      </w:r>
      <w:r>
        <w:rPr>
          <w:noProof/>
        </w:rPr>
        <w:t>.</w:t>
      </w:r>
    </w:p>
    <w:p w:rsidR="00C63E45" w:rsidRDefault="00A05EF9">
      <w:pPr>
        <w:pStyle w:val="Heading1"/>
        <w:rPr>
          <w:noProof/>
        </w:rPr>
      </w:pPr>
      <w:r>
        <w:rPr>
          <w:noProof/>
        </w:rPr>
        <w:t>Praktinės priemonės, kurių turėtų imtis ES duomenų eksportuotojai (įmonės ir valdžios institucijos), kad užtikrintų nuolatinę atitiktį ES taisyklėms</w:t>
      </w:r>
    </w:p>
    <w:p w:rsidR="00C63E45" w:rsidRDefault="00A05EF9">
      <w:pPr>
        <w:pStyle w:val="Text1"/>
        <w:ind w:left="0"/>
        <w:rPr>
          <w:noProof/>
        </w:rPr>
      </w:pPr>
      <w:r>
        <w:rPr>
          <w:noProof/>
        </w:rPr>
        <w:t xml:space="preserve">Duomenų eksportuotojai turėtų naudotis priemonėmis, kurias jie laiko </w:t>
      </w:r>
      <w:r>
        <w:rPr>
          <w:noProof/>
        </w:rPr>
        <w:t>tinkamiausiomis individualiam duomenų perdavimui Jungtinei Karalystei atlikti.</w:t>
      </w:r>
    </w:p>
    <w:p w:rsidR="00C63E45" w:rsidRDefault="00A05EF9">
      <w:pPr>
        <w:pStyle w:val="Text1"/>
        <w:ind w:left="0"/>
        <w:rPr>
          <w:noProof/>
        </w:rPr>
      </w:pPr>
      <w:r>
        <w:rPr>
          <w:noProof/>
        </w:rPr>
        <w:t>Prieš perduodami duomenis Jungtinei Karalystei, jie turėtų:</w:t>
      </w:r>
    </w:p>
    <w:p w:rsidR="00C63E45" w:rsidRDefault="00A05EF9">
      <w:pPr>
        <w:pStyle w:val="Text1"/>
        <w:numPr>
          <w:ilvl w:val="0"/>
          <w:numId w:val="22"/>
        </w:numPr>
        <w:ind w:left="284" w:hanging="284"/>
        <w:rPr>
          <w:noProof/>
        </w:rPr>
      </w:pPr>
      <w:r>
        <w:rPr>
          <w:noProof/>
        </w:rPr>
        <w:t>Nustatyti, kokią duomenų tvarkymo veiklą vykdant reikės perduoti asmens duomenis Jungtinei Karalystei;</w:t>
      </w:r>
    </w:p>
    <w:p w:rsidR="00C63E45" w:rsidRDefault="00A05EF9">
      <w:pPr>
        <w:pStyle w:val="Text1"/>
        <w:numPr>
          <w:ilvl w:val="0"/>
          <w:numId w:val="22"/>
        </w:numPr>
        <w:ind w:left="284" w:hanging="284"/>
        <w:rPr>
          <w:noProof/>
        </w:rPr>
      </w:pPr>
      <w:r>
        <w:rPr>
          <w:noProof/>
        </w:rPr>
        <w:t>Nustatyti konk</w:t>
      </w:r>
      <w:r>
        <w:rPr>
          <w:noProof/>
        </w:rPr>
        <w:t>rečiai situacijai tinkamą duomenų perdavimo priemonę;</w:t>
      </w:r>
    </w:p>
    <w:p w:rsidR="00C63E45" w:rsidRDefault="00A05EF9">
      <w:pPr>
        <w:pStyle w:val="Text1"/>
        <w:numPr>
          <w:ilvl w:val="0"/>
          <w:numId w:val="22"/>
        </w:numPr>
        <w:ind w:left="284" w:hanging="284"/>
        <w:rPr>
          <w:noProof/>
        </w:rPr>
      </w:pPr>
      <w:r>
        <w:rPr>
          <w:noProof/>
        </w:rPr>
        <w:t xml:space="preserve">Iki išstojimo dienos įdiegti pasirinktą duomenų perdavimo priemonę; </w:t>
      </w:r>
    </w:p>
    <w:p w:rsidR="00C63E45" w:rsidRDefault="00A05EF9">
      <w:pPr>
        <w:pStyle w:val="Text1"/>
        <w:numPr>
          <w:ilvl w:val="0"/>
          <w:numId w:val="22"/>
        </w:numPr>
        <w:ind w:left="284" w:hanging="284"/>
        <w:rPr>
          <w:noProof/>
        </w:rPr>
      </w:pPr>
      <w:r>
        <w:rPr>
          <w:noProof/>
        </w:rPr>
        <w:t>Vidaus dokumentuose nurodyti, kad bus atliekamas perdavimas Jungtinei Karalystei;</w:t>
      </w:r>
    </w:p>
    <w:p w:rsidR="00C63E45" w:rsidRDefault="00A05EF9">
      <w:pPr>
        <w:pStyle w:val="Text1"/>
        <w:numPr>
          <w:ilvl w:val="0"/>
          <w:numId w:val="22"/>
        </w:numPr>
        <w:ind w:left="284" w:hanging="284"/>
        <w:rPr>
          <w:noProof/>
        </w:rPr>
      </w:pPr>
      <w:r>
        <w:rPr>
          <w:noProof/>
        </w:rPr>
        <w:t>Jei būtina, atitinkamai atnaujinti pranešimą apie p</w:t>
      </w:r>
      <w:r>
        <w:rPr>
          <w:noProof/>
        </w:rPr>
        <w:t>rivatumo apsaugą, kad asmenys būtų informuoti.</w:t>
      </w:r>
    </w:p>
    <w:p w:rsidR="00C63E45" w:rsidRDefault="00A05EF9">
      <w:pPr>
        <w:pStyle w:val="Text1"/>
        <w:ind w:left="0"/>
        <w:rPr>
          <w:i/>
          <w:noProof/>
        </w:rPr>
      </w:pPr>
      <w:r>
        <w:rPr>
          <w:i/>
          <w:noProof/>
        </w:rPr>
        <w:t>Duomenų perdavimas remiantis nukrypti leidžiančiomis nuostatomis</w:t>
      </w:r>
    </w:p>
    <w:p w:rsidR="00C63E45" w:rsidRDefault="00A05EF9">
      <w:pPr>
        <w:pStyle w:val="Text1"/>
        <w:ind w:left="0"/>
        <w:rPr>
          <w:noProof/>
        </w:rPr>
      </w:pPr>
      <w:r>
        <w:rPr>
          <w:noProof/>
        </w:rPr>
        <w:lastRenderedPageBreak/>
        <w:t>Kiek tai susiję duomenų perdavimu Jungtinei Karalystei vadovaujantis nukrypti leidžiančiomis nuostatomis</w:t>
      </w:r>
      <w:r>
        <w:rPr>
          <w:i/>
          <w:noProof/>
          <w:vertAlign w:val="superscript"/>
        </w:rPr>
        <w:footnoteReference w:id="8"/>
      </w:r>
      <w:r>
        <w:rPr>
          <w:noProof/>
        </w:rPr>
        <w:t>, duomenų valdytojai turėtų būti inform</w:t>
      </w:r>
      <w:r>
        <w:rPr>
          <w:noProof/>
        </w:rPr>
        <w:t>uoti, kad tos nuostatos yra taisyklės taikyti tinkamas apsaugos priemones išimtis. Todėl šios nuostatos turėtų būti aiškinamos siaurai ir daugiausia būti taikomos nereguliariai ir nepasikartojančiai duomenų tvarkymo veiklai.</w:t>
      </w:r>
    </w:p>
    <w:p w:rsidR="00C63E45" w:rsidRDefault="00A05EF9">
      <w:pPr>
        <w:pStyle w:val="Text1"/>
        <w:ind w:left="0"/>
        <w:rPr>
          <w:noProof/>
        </w:rPr>
      </w:pPr>
      <w:r>
        <w:rPr>
          <w:noProof/>
        </w:rPr>
        <w:t>Šios nukrypti leidžiančios nuos</w:t>
      </w:r>
      <w:r>
        <w:rPr>
          <w:noProof/>
        </w:rPr>
        <w:t xml:space="preserve">tatos taikomos, </w:t>
      </w:r>
      <w:r>
        <w:rPr>
          <w:i/>
          <w:noProof/>
        </w:rPr>
        <w:t>inter alia</w:t>
      </w:r>
      <w:r>
        <w:rPr>
          <w:noProof/>
        </w:rPr>
        <w:t xml:space="preserve">, tokiais atvejais: </w:t>
      </w:r>
    </w:p>
    <w:p w:rsidR="00C63E45" w:rsidRDefault="00A05EF9">
      <w:pPr>
        <w:pStyle w:val="Text1"/>
        <w:numPr>
          <w:ilvl w:val="0"/>
          <w:numId w:val="21"/>
        </w:numPr>
        <w:ind w:left="284" w:hanging="284"/>
        <w:rPr>
          <w:noProof/>
        </w:rPr>
      </w:pPr>
      <w:r>
        <w:rPr>
          <w:noProof/>
        </w:rPr>
        <w:t xml:space="preserve">kai asmuo aiškiai sutiko su siūlomu duomenų perdavimu po to, kai buvo tinkamai informuotas apie galimus tokio perdavimo pavojus; </w:t>
      </w:r>
    </w:p>
    <w:p w:rsidR="00C63E45" w:rsidRDefault="00A05EF9">
      <w:pPr>
        <w:pStyle w:val="Text1"/>
        <w:numPr>
          <w:ilvl w:val="0"/>
          <w:numId w:val="21"/>
        </w:numPr>
        <w:ind w:left="284" w:hanging="284"/>
        <w:rPr>
          <w:noProof/>
        </w:rPr>
      </w:pPr>
      <w:r>
        <w:rPr>
          <w:noProof/>
        </w:rPr>
        <w:t>kai duomenų perdavimas yra būtinas asmens ir duomenų valdytojo sutarčiai vykdyt</w:t>
      </w:r>
      <w:r>
        <w:rPr>
          <w:noProof/>
        </w:rPr>
        <w:t xml:space="preserve">i ar sudaryti arba sutartis sudaryta asmens interesais; </w:t>
      </w:r>
    </w:p>
    <w:p w:rsidR="00C63E45" w:rsidRDefault="00A05EF9">
      <w:pPr>
        <w:pStyle w:val="Text1"/>
        <w:numPr>
          <w:ilvl w:val="0"/>
          <w:numId w:val="21"/>
        </w:numPr>
        <w:ind w:left="284" w:hanging="284"/>
        <w:rPr>
          <w:noProof/>
        </w:rPr>
      </w:pPr>
      <w:r>
        <w:rPr>
          <w:noProof/>
        </w:rPr>
        <w:t>kai duomenų perdavimas yra būtinas dėl svarbių viešojo intereso priežasčių, pavyzdžiui, tarptautinio keitimosi duomenimis tarp kompetentingų socialinės apsaugos tarnybų atveju</w:t>
      </w:r>
      <w:r>
        <w:rPr>
          <w:noProof/>
          <w:vertAlign w:val="superscript"/>
        </w:rPr>
        <w:footnoteReference w:id="9"/>
      </w:r>
      <w:r>
        <w:rPr>
          <w:noProof/>
        </w:rPr>
        <w:t xml:space="preserve">; </w:t>
      </w:r>
    </w:p>
    <w:p w:rsidR="00C63E45" w:rsidRDefault="00A05EF9">
      <w:pPr>
        <w:pStyle w:val="Text1"/>
        <w:numPr>
          <w:ilvl w:val="0"/>
          <w:numId w:val="21"/>
        </w:numPr>
        <w:ind w:left="284" w:hanging="284"/>
        <w:rPr>
          <w:noProof/>
        </w:rPr>
      </w:pPr>
      <w:r>
        <w:rPr>
          <w:noProof/>
        </w:rPr>
        <w:t>kai duomenų perdavim</w:t>
      </w:r>
      <w:r>
        <w:rPr>
          <w:noProof/>
        </w:rPr>
        <w:t>as būtinas dėl įtikinamų organizacijos ginamų teisėtų interesų, kai nėra už juos viršesnių asmens interesų. Kai organizacija remiasi šia nukrypti leidžiančia nuostata, ji privalo nustatyti tinkamas su asmens duomenų apsauga susijusias apsaugos priemones.</w:t>
      </w:r>
    </w:p>
    <w:p w:rsidR="00C63E45" w:rsidRDefault="00A05EF9">
      <w:pPr>
        <w:pStyle w:val="Text1"/>
        <w:ind w:left="0"/>
        <w:rPr>
          <w:noProof/>
        </w:rPr>
      </w:pPr>
      <w:r>
        <w:rPr>
          <w:noProof/>
        </w:rPr>
        <w:t>D</w:t>
      </w:r>
      <w:r>
        <w:rPr>
          <w:noProof/>
        </w:rPr>
        <w:t>augiau nurodymų ir paaiškinimų dėl nukrypti leidžiančių nuostatų ir jų taikymo pateikta Europos duomenų apsaugos valdybos gairėse dėl nukrypti leidžiančių nuostatų pagal 49 straipsnį</w:t>
      </w:r>
      <w:r>
        <w:rPr>
          <w:noProof/>
          <w:vertAlign w:val="superscript"/>
        </w:rPr>
        <w:footnoteReference w:id="10"/>
      </w:r>
      <w:r>
        <w:rPr>
          <w:noProof/>
        </w:rPr>
        <w:t>.</w:t>
      </w:r>
    </w:p>
    <w:p w:rsidR="00C63E45" w:rsidRDefault="00A05EF9">
      <w:pPr>
        <w:pStyle w:val="Text1"/>
        <w:keepNext/>
        <w:ind w:left="0"/>
        <w:rPr>
          <w:i/>
          <w:noProof/>
        </w:rPr>
      </w:pPr>
      <w:r>
        <w:rPr>
          <w:i/>
          <w:noProof/>
        </w:rPr>
        <w:t>Tik valdžios institucijoms arba įstaigoms skirtos priemonės</w:t>
      </w:r>
    </w:p>
    <w:p w:rsidR="00C63E45" w:rsidRDefault="00A05EF9">
      <w:pPr>
        <w:pStyle w:val="Text1"/>
        <w:ind w:left="0"/>
        <w:rPr>
          <w:noProof/>
        </w:rPr>
      </w:pPr>
      <w:r>
        <w:rPr>
          <w:noProof/>
        </w:rPr>
        <w:t>Valstybių n</w:t>
      </w:r>
      <w:r>
        <w:rPr>
          <w:noProof/>
        </w:rPr>
        <w:t>arių valdžios institucijos gali naudotis ir teisiškai neprivalomais administraciniais susitarimais, pvz., susitarimo memorandumais</w:t>
      </w:r>
      <w:r>
        <w:rPr>
          <w:noProof/>
          <w:vertAlign w:val="superscript"/>
        </w:rPr>
        <w:footnoteReference w:id="11"/>
      </w:r>
      <w:r>
        <w:rPr>
          <w:noProof/>
        </w:rPr>
        <w:t>. Europos duomenų apsaugos valdybai pateikus nuomonę, tokie administraciniai susitarimai gali būti sudaromi gavus kompetentin</w:t>
      </w:r>
      <w:r>
        <w:rPr>
          <w:noProof/>
        </w:rPr>
        <w:t>gos nacionalinės duomenų apsaugos institucijos leidimą.</w:t>
      </w:r>
    </w:p>
    <w:p w:rsidR="00C63E45" w:rsidRDefault="00A05EF9">
      <w:pPr>
        <w:pStyle w:val="Text1"/>
        <w:ind w:left="0"/>
        <w:rPr>
          <w:noProof/>
        </w:rPr>
      </w:pPr>
      <w:r>
        <w:rPr>
          <w:noProof/>
        </w:rPr>
        <w:t>Remiantis Teisėsaugos direktyva, baudžiamosios teisės teisėsaugos institucijos (pvz., policija, prokuratūra) gali perduoti asmens duomenis JK valdžios institucijoms, jeigu tos teisėsaugos institucijos</w:t>
      </w:r>
      <w:r>
        <w:rPr>
          <w:noProof/>
        </w:rPr>
        <w:t xml:space="preserve"> įvertino visas su duomenų perdavimu susijusias aplinkybes ir padarė išvadą, kad nustatytos tinkamos su duomenų apsauga susijusios apsaugos priemonės</w:t>
      </w:r>
      <w:r>
        <w:rPr>
          <w:noProof/>
          <w:vertAlign w:val="superscript"/>
        </w:rPr>
        <w:footnoteReference w:id="12"/>
      </w:r>
      <w:r>
        <w:rPr>
          <w:noProof/>
        </w:rPr>
        <w:t>. Europolo reglamente</w:t>
      </w:r>
      <w:r>
        <w:rPr>
          <w:noProof/>
          <w:vertAlign w:val="superscript"/>
        </w:rPr>
        <w:footnoteReference w:id="13"/>
      </w:r>
      <w:r>
        <w:rPr>
          <w:noProof/>
        </w:rPr>
        <w:t xml:space="preserve"> ir Keleivio duomenų įrašo direktyvoje</w:t>
      </w:r>
      <w:r>
        <w:rPr>
          <w:noProof/>
          <w:vertAlign w:val="superscript"/>
        </w:rPr>
        <w:footnoteReference w:id="14"/>
      </w:r>
      <w:r>
        <w:rPr>
          <w:noProof/>
        </w:rPr>
        <w:t xml:space="preserve"> nustatytos </w:t>
      </w:r>
      <w:r>
        <w:rPr>
          <w:noProof/>
        </w:rPr>
        <w:lastRenderedPageBreak/>
        <w:t>konkrečios nuostatos dėl atitinka</w:t>
      </w:r>
      <w:r>
        <w:rPr>
          <w:noProof/>
        </w:rPr>
        <w:t>mai Europolo ir valstybių narių atsakingų institucijų atliekamo asmens duomenų perdavimo trečiųjų šalių institucijoms.</w:t>
      </w:r>
    </w:p>
    <w:p w:rsidR="00C63E45" w:rsidRDefault="00A05EF9">
      <w:pPr>
        <w:pStyle w:val="Text1"/>
        <w:keepNext/>
        <w:ind w:left="0"/>
        <w:rPr>
          <w:b/>
          <w:i/>
          <w:noProof/>
        </w:rPr>
      </w:pPr>
      <w:r>
        <w:rPr>
          <w:i/>
          <w:noProof/>
        </w:rPr>
        <w:t>Komercinės veiklos vykdytojų atliekamas duomenų perdavimas Jungtinei Karalystei</w:t>
      </w:r>
    </w:p>
    <w:p w:rsidR="00C63E45" w:rsidRDefault="00A05EF9">
      <w:pPr>
        <w:pStyle w:val="Text1"/>
        <w:ind w:left="0"/>
        <w:rPr>
          <w:noProof/>
        </w:rPr>
      </w:pPr>
      <w:r>
        <w:rPr>
          <w:noProof/>
        </w:rPr>
        <w:t xml:space="preserve">Privačioms įmonėms skirtos duomenų perdavimo trečiosioms </w:t>
      </w:r>
      <w:r>
        <w:rPr>
          <w:noProof/>
        </w:rPr>
        <w:t xml:space="preserve">šalims priemonės valstybių narių ir Jungtinės Karalystės ūkio subjektams turėtų būti gerai žinomos, nes perduodami asmens duomenims trečiosioms šalims šiomis priemonėmis jie naudojasi jau dabar. Be to, ne taip seniai, 2018 m. gegužės mėn. pradėjus taikyti </w:t>
      </w:r>
      <w:r>
        <w:rPr>
          <w:noProof/>
        </w:rPr>
        <w:t>naująjį duomenų apsaugos teisės aktą, suinteresuotosioms šalims taip pat buvo teikiama informacija apie tokių duomenų perdavimo priemonių taikymą. Tačiau valstybės narės raginamos užtikrinti, kad su tomis priemonėmis susipažintų įmonės, kurios nėra susidūr</w:t>
      </w:r>
      <w:r>
        <w:rPr>
          <w:noProof/>
        </w:rPr>
        <w:t xml:space="preserve">usios su duomenų perdavimo trečiosioms šalims tvarka, pvz., mažosios ir vidutinės įmonės, kurios iki šiol veikė tik valstybėse narėse. </w:t>
      </w:r>
    </w:p>
    <w:p w:rsidR="00C63E45" w:rsidRDefault="00A05EF9">
      <w:pPr>
        <w:pStyle w:val="Text1"/>
        <w:keepNext/>
        <w:ind w:left="0"/>
        <w:rPr>
          <w:i/>
          <w:noProof/>
        </w:rPr>
      </w:pPr>
      <w:r>
        <w:rPr>
          <w:i/>
          <w:noProof/>
        </w:rPr>
        <w:t>Nuolatinė parama valstybėms narėms</w:t>
      </w:r>
    </w:p>
    <w:p w:rsidR="00C63E45" w:rsidRDefault="00A05EF9">
      <w:pPr>
        <w:pStyle w:val="Text1"/>
        <w:ind w:left="0"/>
        <w:rPr>
          <w:noProof/>
        </w:rPr>
      </w:pPr>
      <w:r>
        <w:rPr>
          <w:noProof/>
        </w:rPr>
        <w:t xml:space="preserve">Komisija, visų pirma Teisingumo ir vartotojų reikalų generalinis direktoratas, bendradarbiauja su suinteresuotaisiais subjektais ir duomenų apsaugos institucijomis, kad būtų kuo geriau išnaudojamas Bendrajame duomenų apsaugos reglamente nustatytas duomenų </w:t>
      </w:r>
      <w:r>
        <w:rPr>
          <w:noProof/>
        </w:rPr>
        <w:t>perdavimo priemonių rinkinys, ir yra pasirengusi padėti valstybėms narėms taikyti turimas priemones. Be to, siekdama remti Bendrojo duomenų apsaugos reglamento taikymą Komisija įsteigė suinteresuotųjų subjektų ekspertų grupę, kurią sudaro pramonės, pilieti</w:t>
      </w:r>
      <w:r>
        <w:rPr>
          <w:noProof/>
        </w:rPr>
        <w:t xml:space="preserve">nės visuomenės ir akademinės bendruomenės atstovai. Galiausiai, dėl tikslesnės informacijos apie duomenų perdavimo priemonių taikymą suinteresuotieji subjektai gali kreiptis į savo nacionalines duomenų apsaugos institucijas. </w:t>
      </w:r>
    </w:p>
    <w:p w:rsidR="00C63E45" w:rsidRDefault="00A05EF9">
      <w:pPr>
        <w:pStyle w:val="Heading1"/>
        <w:rPr>
          <w:noProof/>
        </w:rPr>
      </w:pPr>
      <w:r>
        <w:rPr>
          <w:noProof/>
        </w:rPr>
        <w:t>Papildoma informacija</w:t>
      </w:r>
    </w:p>
    <w:p w:rsidR="00C63E45" w:rsidRDefault="00A05EF9">
      <w:pPr>
        <w:pStyle w:val="Text1"/>
        <w:ind w:left="0"/>
        <w:rPr>
          <w:noProof/>
        </w:rPr>
      </w:pPr>
      <w:r>
        <w:rPr>
          <w:noProof/>
        </w:rPr>
        <w:t xml:space="preserve">Daugiau </w:t>
      </w:r>
      <w:r>
        <w:rPr>
          <w:noProof/>
        </w:rPr>
        <w:t>informacijos apie netvarkingo Jungtinės Karalystės išstojimo poveikį duomenų apsaugai valdžios institucijos ir suinteresuotieji subjektai gali rasti Komisijos interneto svetainėje</w:t>
      </w:r>
    </w:p>
    <w:p w:rsidR="00C63E45" w:rsidRDefault="00A05EF9">
      <w:pPr>
        <w:pStyle w:val="Text1"/>
        <w:ind w:left="0"/>
        <w:rPr>
          <w:noProof/>
        </w:rPr>
      </w:pPr>
      <w:hyperlink r:id="rId23">
        <w:r>
          <w:rPr>
            <w:rStyle w:val="Hyperlink"/>
            <w:noProof/>
          </w:rPr>
          <w:t>https://ec.europa.eu/info/brexit/brexit-preparedness/preparedness-notices_lt</w:t>
        </w:r>
      </w:hyperlink>
    </w:p>
    <w:p w:rsidR="00C63E45" w:rsidRDefault="00C63E45">
      <w:pPr>
        <w:pStyle w:val="Text1"/>
        <w:ind w:left="0"/>
        <w:rPr>
          <w:noProof/>
        </w:rPr>
      </w:pPr>
    </w:p>
    <w:sectPr w:rsidR="00C63E45">
      <w:headerReference w:type="even" r:id="rId24"/>
      <w:headerReference w:type="default" r:id="rId25"/>
      <w:footerReference w:type="even" r:id="rId26"/>
      <w:footerReference w:type="default" r:id="rId27"/>
      <w:headerReference w:type="first" r:id="rId28"/>
      <w:footerReference w:type="first" r:id="rId29"/>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E45" w:rsidRDefault="00A05EF9">
      <w:pPr>
        <w:spacing w:after="0"/>
      </w:pPr>
      <w:r>
        <w:separator/>
      </w:r>
    </w:p>
  </w:endnote>
  <w:endnote w:type="continuationSeparator" w:id="0">
    <w:p w:rsidR="00C63E45" w:rsidRDefault="00A05E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E45" w:rsidRDefault="00C63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E45" w:rsidRDefault="00A05EF9">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E45" w:rsidRDefault="00C63E45">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E45" w:rsidRDefault="00A05EF9">
    <w:pPr>
      <w:pStyle w:val="FooterLine"/>
      <w:jc w:val="center"/>
    </w:pPr>
    <w:r>
      <w:fldChar w:fldCharType="begin"/>
    </w:r>
    <w:r>
      <w:instrText>PAGE   \* MERGEFORMAT</w:instrText>
    </w:r>
    <w:r>
      <w:fldChar w:fldCharType="separate"/>
    </w:r>
    <w:r>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E45" w:rsidRDefault="00A05EF9">
    <w:pPr>
      <w:pStyle w:val="FooterLine"/>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1</w:t>
    </w:r>
    <w:r>
      <w:rP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E45" w:rsidRDefault="00C63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E45" w:rsidRDefault="00A05EF9">
      <w:pPr>
        <w:spacing w:after="0"/>
      </w:pPr>
      <w:r>
        <w:separator/>
      </w:r>
    </w:p>
  </w:footnote>
  <w:footnote w:type="continuationSeparator" w:id="0">
    <w:p w:rsidR="00C63E45" w:rsidRDefault="00A05EF9">
      <w:pPr>
        <w:spacing w:after="0"/>
      </w:pPr>
      <w:r>
        <w:continuationSeparator/>
      </w:r>
    </w:p>
  </w:footnote>
  <w:footnote w:id="1">
    <w:p w:rsidR="00C63E45" w:rsidRDefault="00A05EF9">
      <w:pPr>
        <w:pStyle w:val="FootnoteText"/>
        <w:ind w:left="284" w:hanging="284"/>
      </w:pPr>
      <w:r>
        <w:rPr>
          <w:vertAlign w:val="superscript"/>
        </w:rPr>
        <w:footnoteRef/>
      </w:r>
      <w:r>
        <w:t xml:space="preserve"> </w:t>
      </w:r>
      <w:r>
        <w:tab/>
        <w:t xml:space="preserve">﻿2019 m. kovo 22 d. Europos Vadovų Tarybos sprendimas 2019/476, </w:t>
      </w:r>
      <w:r>
        <w:t>priimtas susitarus su Jungtine Karalyste, kuriuo pratęsiamas terminas pagal ES sutarties 50 straipsnio 3 dalį (OL L 80I, 2019 3 22, p. 1).</w:t>
      </w:r>
    </w:p>
  </w:footnote>
  <w:footnote w:id="2">
    <w:p w:rsidR="00C63E45" w:rsidRDefault="00A05EF9">
      <w:pPr>
        <w:pStyle w:val="FootnoteText"/>
        <w:ind w:left="284" w:hanging="284"/>
      </w:pPr>
      <w:r>
        <w:rPr>
          <w:rStyle w:val="FootnoteReference"/>
        </w:rPr>
        <w:footnoteRef/>
      </w:r>
      <w:r>
        <w:t xml:space="preserve"> </w:t>
      </w:r>
      <w:r>
        <w:tab/>
        <w:t>2016 m. balandžio 27 d. Europos Parlamento ir Tarybos reglamentas (ES) 2016/679 dėl fizinių asmenų apsaugos tvarka</w:t>
      </w:r>
      <w:r>
        <w:t>nt asmens duomenis ir dėl laisvo tokių duomenų judėjimo ir kuriuo panaikinama Direktyva 95/46/EB (Bendrasis duomenų apsaugos reglamentas; OL L 119, 2016 5 4, p. 1).</w:t>
      </w:r>
    </w:p>
  </w:footnote>
  <w:footnote w:id="3">
    <w:p w:rsidR="00C63E45" w:rsidRDefault="00A05EF9">
      <w:pPr>
        <w:pStyle w:val="FootnoteText"/>
        <w:ind w:left="284" w:hanging="284"/>
      </w:pPr>
      <w:r>
        <w:rPr>
          <w:rStyle w:val="FootnoteReference"/>
        </w:rPr>
        <w:footnoteRef/>
      </w:r>
      <w:r>
        <w:t xml:space="preserve"> </w:t>
      </w:r>
      <w:r>
        <w:tab/>
        <w:t>2016 m. balandžio 27 d. Europos Parlamento ir Tarybos direktyva (ES) 2016/680 dėl fizini</w:t>
      </w:r>
      <w:r>
        <w:t>ų asmenų apsaugos kompetentingoms institucijoms tvarkant asmens duomenis nusikalstamų veikų prevencijos, tyrimo, atskleidimo ar baudžiamojo persekiojimo už jas arba bausmių vykdymo tikslais ir dėl laisvo tokių duomenų judėjimo, ir kuriuo panaikinamas Taryb</w:t>
      </w:r>
      <w:r>
        <w:t>os pamatinis sprendimas 2008/977/TVR (OL L 119, 2016 5 4, p. 89).</w:t>
      </w:r>
    </w:p>
  </w:footnote>
  <w:footnote w:id="4">
    <w:p w:rsidR="00C63E45" w:rsidRDefault="00A05EF9">
      <w:pPr>
        <w:pStyle w:val="FootnoteText"/>
        <w:ind w:left="284" w:hanging="284"/>
      </w:pPr>
      <w:r>
        <w:rPr>
          <w:rStyle w:val="FootnoteReference"/>
        </w:rPr>
        <w:footnoteRef/>
      </w:r>
      <w:r>
        <w:t xml:space="preserve"> </w:t>
      </w:r>
      <w:r>
        <w:tab/>
        <w:t xml:space="preserve">Šios šalys ir teritorijos – tai </w:t>
      </w:r>
      <w:hyperlink r:id="rId1">
        <w:r>
          <w:t>Andora</w:t>
        </w:r>
      </w:hyperlink>
      <w:r>
        <w:t xml:space="preserve">, </w:t>
      </w:r>
      <w:hyperlink r:id="rId2">
        <w:r>
          <w:t>Argentina</w:t>
        </w:r>
      </w:hyperlink>
      <w:r>
        <w:t xml:space="preserve">, </w:t>
      </w:r>
      <w:hyperlink r:id="rId3">
        <w:r>
          <w:t>Kanada</w:t>
        </w:r>
      </w:hyperlink>
      <w:r>
        <w:t xml:space="preserve"> (tik komercinės organizacijos), </w:t>
      </w:r>
      <w:hyperlink r:id="rId4">
        <w:r>
          <w:t>F</w:t>
        </w:r>
        <w:r>
          <w:t>arerų Salos</w:t>
        </w:r>
      </w:hyperlink>
      <w:r>
        <w:t xml:space="preserve">, </w:t>
      </w:r>
      <w:hyperlink r:id="rId5">
        <w:r>
          <w:t>Gernsis</w:t>
        </w:r>
      </w:hyperlink>
      <w:r>
        <w:t xml:space="preserve">, </w:t>
      </w:r>
      <w:hyperlink r:id="rId6">
        <w:r>
          <w:t>Izraelis</w:t>
        </w:r>
      </w:hyperlink>
      <w:r>
        <w:t xml:space="preserve">, </w:t>
      </w:r>
      <w:hyperlink r:id="rId7">
        <w:r>
          <w:t>Meno Sala</w:t>
        </w:r>
      </w:hyperlink>
      <w:r>
        <w:t xml:space="preserve">, </w:t>
      </w:r>
      <w:hyperlink r:id="rId8">
        <w:r>
          <w:t>Japonija</w:t>
        </w:r>
      </w:hyperlink>
      <w:r>
        <w:t xml:space="preserve">, </w:t>
      </w:r>
      <w:hyperlink r:id="rId9">
        <w:r>
          <w:t>Džersis</w:t>
        </w:r>
      </w:hyperlink>
      <w:r>
        <w:t xml:space="preserve">, </w:t>
      </w:r>
      <w:hyperlink r:id="rId10">
        <w:r>
          <w:t>Naujoji Zelandija</w:t>
        </w:r>
      </w:hyperlink>
      <w:r>
        <w:t xml:space="preserve">, </w:t>
      </w:r>
      <w:hyperlink r:id="rId11">
        <w:r>
          <w:t>Šveicarija</w:t>
        </w:r>
      </w:hyperlink>
      <w:r>
        <w:t xml:space="preserve">, </w:t>
      </w:r>
      <w:hyperlink r:id="rId12">
        <w:r>
          <w:t>Urugvajus</w:t>
        </w:r>
      </w:hyperlink>
      <w:r>
        <w:t xml:space="preserve"> ir </w:t>
      </w:r>
      <w:hyperlink r:id="rId13">
        <w:r>
          <w:t xml:space="preserve">Jungtinės Amerikos Valstijos </w:t>
        </w:r>
      </w:hyperlink>
      <w:r>
        <w:t xml:space="preserve">(apsiribojant </w:t>
      </w:r>
      <w:hyperlink r:id="rId14">
        <w:r>
          <w:t>privatumo skydo sistema</w:t>
        </w:r>
      </w:hyperlink>
      <w:r>
        <w:t>).</w:t>
      </w:r>
    </w:p>
  </w:footnote>
  <w:footnote w:id="5">
    <w:p w:rsidR="00C63E45" w:rsidRDefault="00A05EF9">
      <w:pPr>
        <w:pStyle w:val="FootnoteText"/>
      </w:pPr>
      <w:r>
        <w:t xml:space="preserve"> </w:t>
      </w:r>
      <w:r>
        <w:rPr>
          <w:rStyle w:val="FootnoteReference"/>
        </w:rPr>
        <w:footnoteRef/>
      </w:r>
      <w:r>
        <w:t xml:space="preserve"> </w:t>
      </w:r>
      <w:r>
        <w:tab/>
      </w:r>
      <w:hyperlink r:id="rId15">
        <w:r>
          <w:rPr>
            <w:rStyle w:val="Hyperlink"/>
          </w:rPr>
          <w:t>https://ec.europa.eu/info/law/law-topic/data-protection/data-transfers-outside-eu/model-contracts-transfer-personal-data-third-countries_en</w:t>
        </w:r>
      </w:hyperlink>
      <w:r>
        <w:t xml:space="preserve"> </w:t>
      </w:r>
    </w:p>
  </w:footnote>
  <w:footnote w:id="6">
    <w:p w:rsidR="00C63E45" w:rsidRDefault="00A05EF9">
      <w:pPr>
        <w:pStyle w:val="FootnoteText"/>
      </w:pPr>
      <w:r>
        <w:rPr>
          <w:rStyle w:val="FootnoteReference"/>
        </w:rPr>
        <w:footnoteRef/>
      </w:r>
      <w:r>
        <w:t xml:space="preserve"> </w:t>
      </w:r>
      <w:r>
        <w:tab/>
      </w:r>
      <w:hyperlink r:id="rId16">
        <w:r>
          <w:rPr>
            <w:rStyle w:val="Hyperlink"/>
          </w:rPr>
          <w:t>https://ec.europa.eu/info/sites/info/files/file_import/data_protection_lt.pdf</w:t>
        </w:r>
      </w:hyperlink>
      <w:r>
        <w:t xml:space="preserve"> </w:t>
      </w:r>
    </w:p>
  </w:footnote>
  <w:footnote w:id="7">
    <w:p w:rsidR="00C63E45" w:rsidRDefault="00A05EF9">
      <w:pPr>
        <w:pStyle w:val="FootnoteText"/>
      </w:pPr>
      <w:r>
        <w:rPr>
          <w:rStyle w:val="FootnoteReference"/>
        </w:rPr>
        <w:footnoteRef/>
      </w:r>
      <w:r>
        <w:t xml:space="preserve"> </w:t>
      </w:r>
      <w:r>
        <w:tab/>
      </w:r>
      <w:hyperlink r:id="rId17">
        <w:r>
          <w:rPr>
            <w:rStyle w:val="Hyperlink"/>
          </w:rPr>
          <w:t>https://edpb.europa.eu/our-work-tools/our-documents/other/information-note-data-transfers-under-gdpr-event-no-deal-brexit_en</w:t>
        </w:r>
      </w:hyperlink>
      <w:r>
        <w:t xml:space="preserve"> </w:t>
      </w:r>
    </w:p>
  </w:footnote>
  <w:footnote w:id="8">
    <w:p w:rsidR="00C63E45" w:rsidRDefault="00A05EF9">
      <w:pPr>
        <w:pStyle w:val="FootnoteText"/>
      </w:pPr>
      <w:r>
        <w:rPr>
          <w:rStyle w:val="FootnoteReference"/>
        </w:rPr>
        <w:footnoteRef/>
      </w:r>
      <w:r>
        <w:t xml:space="preserve"> </w:t>
      </w:r>
      <w:r>
        <w:tab/>
        <w:t>Pagal Bendrojo duomenų apsaugos reglamento 49 straipsnį.</w:t>
      </w:r>
    </w:p>
  </w:footnote>
  <w:footnote w:id="9">
    <w:p w:rsidR="00C63E45" w:rsidRDefault="00A05EF9">
      <w:pPr>
        <w:pStyle w:val="FootnoteText"/>
        <w:ind w:left="284" w:hanging="284"/>
      </w:pPr>
      <w:r>
        <w:rPr>
          <w:rStyle w:val="FootnoteReference"/>
        </w:rPr>
        <w:footnoteRef/>
      </w:r>
      <w:r>
        <w:rPr>
          <w:rStyle w:val="FootnoteReference"/>
        </w:rPr>
        <w:t xml:space="preserve"> </w:t>
      </w:r>
      <w:r>
        <w:tab/>
        <w:t>Bendrojo duomenų apsaugos reglamento 112 kons</w:t>
      </w:r>
      <w:r>
        <w:t xml:space="preserve">tatuojamoji dalis. </w:t>
      </w:r>
    </w:p>
  </w:footnote>
  <w:footnote w:id="10">
    <w:p w:rsidR="00C63E45" w:rsidRDefault="00A05EF9">
      <w:pPr>
        <w:pStyle w:val="FootnoteText"/>
        <w:ind w:left="284" w:hanging="284"/>
      </w:pPr>
      <w:r>
        <w:rPr>
          <w:rStyle w:val="FootnoteReference"/>
        </w:rPr>
        <w:footnoteRef/>
      </w:r>
      <w:r>
        <w:t xml:space="preserve"> </w:t>
      </w:r>
      <w:r>
        <w:tab/>
      </w:r>
      <w:hyperlink r:id="rId18">
        <w:r>
          <w:rPr>
            <w:rStyle w:val="Hyperlink"/>
          </w:rPr>
          <w:t>https://edpb.europa.eu/our-work-tools/our-documents/guidelines/guidelines-22018-derogations</w:t>
        </w:r>
        <w:r>
          <w:rPr>
            <w:rStyle w:val="Hyperlink"/>
          </w:rPr>
          <w:t>-article-49-under-regulation_lt</w:t>
        </w:r>
      </w:hyperlink>
      <w:r>
        <w:t xml:space="preserve"> </w:t>
      </w:r>
    </w:p>
  </w:footnote>
  <w:footnote w:id="11">
    <w:p w:rsidR="00C63E45" w:rsidRDefault="00A05EF9">
      <w:pPr>
        <w:pStyle w:val="FootnoteText"/>
        <w:ind w:left="284" w:hanging="284"/>
      </w:pPr>
      <w:r>
        <w:rPr>
          <w:rStyle w:val="FootnoteReference"/>
        </w:rPr>
        <w:footnoteRef/>
      </w:r>
      <w:r>
        <w:t xml:space="preserve"> </w:t>
      </w:r>
      <w:r>
        <w:tab/>
        <w:t>Bendrojo duomenų apsaugos reglamento 46 straipsnio 3 dalies b punktas. Kaip vieną naujausių tokio susitarimo, dėl kurio Europos duomenų apsaugos valdyba pareiškė teigiamą nuomonę, pavyzdžių galima paminėti administracinį</w:t>
      </w:r>
      <w:r>
        <w:t xml:space="preserve"> susitarimą dėl asmens duomenų perdavimo tarp Europos ekonominės erdvės (EEE) finansų priežiūros institucijų ir ne EEE finansų priežiūros institucijų. Šio susitarimo tekstą galima rasti Europos duomenų apsaugos valdybos svetainėje </w:t>
      </w:r>
      <w:hyperlink r:id="rId19">
        <w:r>
          <w:rPr>
            <w:rStyle w:val="Hyperlink"/>
          </w:rPr>
          <w:t>https://edpb.europa.eu/our-work-tools/our-documents/other/draft-administrative-arrangement-transfer-personal-data-between_en</w:t>
        </w:r>
      </w:hyperlink>
      <w:r>
        <w:t xml:space="preserve"> </w:t>
      </w:r>
    </w:p>
  </w:footnote>
  <w:footnote w:id="12">
    <w:p w:rsidR="00C63E45" w:rsidRDefault="00A05EF9">
      <w:pPr>
        <w:pStyle w:val="FootnoteText"/>
        <w:ind w:left="284" w:hanging="284"/>
      </w:pPr>
      <w:r>
        <w:rPr>
          <w:rStyle w:val="FootnoteReference"/>
        </w:rPr>
        <w:footnoteRef/>
      </w:r>
      <w:r>
        <w:t xml:space="preserve"> </w:t>
      </w:r>
      <w:r>
        <w:tab/>
      </w:r>
      <w:r>
        <w:t>Direktyvos (ES) 2016/680 37 straipsnio 1 dalies b punktas.</w:t>
      </w:r>
    </w:p>
  </w:footnote>
  <w:footnote w:id="13">
    <w:p w:rsidR="00C63E45" w:rsidRDefault="00A05EF9">
      <w:pPr>
        <w:pStyle w:val="FootnoteText"/>
        <w:ind w:left="284" w:hanging="284"/>
      </w:pPr>
      <w:r>
        <w:rPr>
          <w:rStyle w:val="FootnoteReference"/>
        </w:rPr>
        <w:footnoteRef/>
      </w:r>
      <w:r>
        <w:t xml:space="preserve"> </w:t>
      </w:r>
      <w:r>
        <w:tab/>
        <w:t>2016 m. gegužės 11 d. Europos Parlamento ir Tarybos reglamento (ES) 2016/794 dėl Europos Sąjungos teisėsaugos bendradarbiavimo agentūros (Europolo) 25 straipsnis (OL L 135, 2016 5 24, p. 53).</w:t>
      </w:r>
    </w:p>
  </w:footnote>
  <w:footnote w:id="14">
    <w:p w:rsidR="00C63E45" w:rsidRDefault="00A05EF9">
      <w:pPr>
        <w:pStyle w:val="FootnoteText"/>
        <w:ind w:left="284" w:hanging="284"/>
      </w:pPr>
      <w:r>
        <w:rPr>
          <w:rStyle w:val="FootnoteReference"/>
        </w:rPr>
        <w:footnoteRef/>
      </w:r>
      <w:r>
        <w:t xml:space="preserve"> </w:t>
      </w:r>
      <w:r>
        <w:tab/>
        <w:t xml:space="preserve">2016 m. balandžio 27 d. Europos Parlamento ir Tarybos direktyvos (ES) 2016/681 dėl keleivio duomenų įrašo (PNR) duomenų naudojimo teroristinių nusikaltimų ir sunkių nusikaltimų prevencijos, nustatymo, tyrimo ir patraukimo už juos baudžiamojon atsakomybėn </w:t>
      </w:r>
      <w:r>
        <w:t>tikslais 11 straipsnis (OL L 119, 2016 5 4, p. 132).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E45" w:rsidRDefault="00C63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E45" w:rsidRDefault="00C63E45">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E45" w:rsidRDefault="00C63E45">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E45" w:rsidRDefault="00C63E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E45" w:rsidRDefault="00C63E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839657"/>
      <w:docPartObj>
        <w:docPartGallery w:val="Page Numbers (Top of Page)"/>
        <w:docPartUnique/>
      </w:docPartObj>
    </w:sdtPr>
    <w:sdtEndPr>
      <w:rPr>
        <w:noProof/>
      </w:rPr>
    </w:sdtEndPr>
    <w:sdtContent>
      <w:p w:rsidR="00C63E45" w:rsidRDefault="00A05EF9">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C63E45" w:rsidRDefault="00C63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AA6A57F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A24EFF48"/>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47DE5BAC"/>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943EA59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4DBCAA4C"/>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5103EAB"/>
    <w:multiLevelType w:val="hybridMultilevel"/>
    <w:tmpl w:val="D44033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72F0AC5"/>
    <w:multiLevelType w:val="multilevel"/>
    <w:tmpl w:val="A96C127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92D2269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4068631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BB2C0B9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6324F1E"/>
    <w:multiLevelType w:val="multilevel"/>
    <w:tmpl w:val="34A4EF2A"/>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7CB1E1C"/>
    <w:multiLevelType w:val="multilevel"/>
    <w:tmpl w:val="448653B4"/>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A7730C4"/>
    <w:multiLevelType w:val="multilevel"/>
    <w:tmpl w:val="0D189DC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29E662A"/>
    <w:multiLevelType w:val="multilevel"/>
    <w:tmpl w:val="2FC8873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3B708D7"/>
    <w:multiLevelType w:val="multilevel"/>
    <w:tmpl w:val="14D69CFA"/>
    <w:styleLink w:val="ImportedStyle1"/>
    <w:lvl w:ilvl="0">
      <w:start w:val="1"/>
      <w:numFmt w:val="decimal"/>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77" w:hanging="60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2" w:hanging="839"/>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C477C97"/>
    <w:multiLevelType w:val="multilevel"/>
    <w:tmpl w:val="14D69CFA"/>
    <w:numStyleLink w:val="ImportedStyle1"/>
  </w:abstractNum>
  <w:abstractNum w:abstractNumId="16" w15:restartNumberingAfterBreak="0">
    <w:nsid w:val="4E1A982C"/>
    <w:multiLevelType w:val="multilevel"/>
    <w:tmpl w:val="625CE4A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072619B"/>
    <w:multiLevelType w:val="multilevel"/>
    <w:tmpl w:val="99A4CB2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6977472E"/>
    <w:multiLevelType w:val="multilevel"/>
    <w:tmpl w:val="F47CD8F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79807DF9"/>
    <w:multiLevelType w:val="hybridMultilevel"/>
    <w:tmpl w:val="F46434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65145E"/>
    <w:multiLevelType w:val="multilevel"/>
    <w:tmpl w:val="B2AE485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1" w15:restartNumberingAfterBreak="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abstractNumId w:val="9"/>
  </w:num>
  <w:num w:numId="2">
    <w:abstractNumId w:val="20"/>
  </w:num>
  <w:num w:numId="3">
    <w:abstractNumId w:val="16"/>
  </w:num>
  <w:num w:numId="4">
    <w:abstractNumId w:val="12"/>
  </w:num>
  <w:num w:numId="5">
    <w:abstractNumId w:val="8"/>
  </w:num>
  <w:num w:numId="6">
    <w:abstractNumId w:val="4"/>
  </w:num>
  <w:num w:numId="7">
    <w:abstractNumId w:val="3"/>
  </w:num>
  <w:num w:numId="8">
    <w:abstractNumId w:val="2"/>
  </w:num>
  <w:num w:numId="9">
    <w:abstractNumId w:val="13"/>
  </w:num>
  <w:num w:numId="10">
    <w:abstractNumId w:val="6"/>
  </w:num>
  <w:num w:numId="11">
    <w:abstractNumId w:val="1"/>
  </w:num>
  <w:num w:numId="12">
    <w:abstractNumId w:val="18"/>
  </w:num>
  <w:num w:numId="13">
    <w:abstractNumId w:val="17"/>
  </w:num>
  <w:num w:numId="14">
    <w:abstractNumId w:val="11"/>
  </w:num>
  <w:num w:numId="15">
    <w:abstractNumId w:val="7"/>
  </w:num>
  <w:num w:numId="16">
    <w:abstractNumId w:val="10"/>
  </w:num>
  <w:num w:numId="17">
    <w:abstractNumId w:val="0"/>
  </w:num>
  <w:num w:numId="18">
    <w:abstractNumId w:val="21"/>
  </w:num>
  <w:num w:numId="19">
    <w:abstractNumId w:val="14"/>
  </w:num>
  <w:num w:numId="20">
    <w:abstractNumId w:val="15"/>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rie"/>
    <w:docVar w:name="LW_ANNEX_NBR_FIRST" w:val="6"/>
    <w:docVar w:name="LW_ANNEX_NBR_LAST" w:val="6"/>
    <w:docVar w:name="LW_ANNEX_UNIQUE" w:val="0"/>
    <w:docVar w:name="LW_CORRIGENDUM" w:val="&lt;UNUSED&gt;"/>
    <w:docVar w:name="LW_COVERPAGE_EXISTS" w:val="True"/>
    <w:docVar w:name="LW_COVERPAGE_GUID" w:val="F9795C67-9577-4BD5-95D6-80ADCE1D40C6"/>
    <w:docVar w:name="LW_COVERPAGE_TYPE" w:val="1"/>
    <w:docVar w:name="LW_CROSSREFERENCE" w:val="&lt;UNUSED&gt;"/>
    <w:docVar w:name="LW_DocType" w:val="EUROLOOK"/>
    <w:docVar w:name="LW_EMISSION" w:val="2019 04 10"/>
    <w:docVar w:name="LW_EMISSION_ISODATE" w:val="2019-04-10"/>
    <w:docVar w:name="LW_EMISSION_LOCATION" w:val="BRX"/>
    <w:docVar w:name="LW_EMISSION_PREFIX" w:val="Briuselis, "/>
    <w:docVar w:name="LW_EMISSION_SUFFIX" w:val=" "/>
    <w:docVar w:name="LW_ID_DOCTYPE_NONLW" w:val="CP-039"/>
    <w:docVar w:name="LW_LANGUE" w:val="LT"/>
    <w:docVar w:name="LW_LEVEL_OF_SENSITIVITY" w:val="Standard treatment"/>
    <w:docVar w:name="LW_NOM.INST" w:val="EUROPOS KOMISIJA"/>
    <w:docVar w:name="LW_NOM.INST_JOINTDOC" w:val="&lt;EMPTY&gt;"/>
    <w:docVar w:name="LW_OBJETACTEPRINCIPAL.CP" w:val="Jungtin\u279?s Karalyst\u279?s i\u353?stojimo i\u353? S\u261?jungos be susitarimo poveikio ma\u382?inimas: suderintas S\u261?jungos po\u382?i\u363?ris_x000b__x000b_Duomen\u371? apsauga. Suderintas po\u382?i\u363?ris Jungtin\u279?s Karalyst\u279?s i\u353?stojimo i\u353? S\u261?jungos be susitarimo atveju"/>
    <w:docVar w:name="LW_PART_NBR" w:val="1"/>
    <w:docVar w:name="LW_PART_NBR_TOTAL" w:val="1"/>
    <w:docVar w:name="LW_REF.INST.NEW" w:val="COM"/>
    <w:docVar w:name="LW_REF.INST.NEW_ADOPTED" w:val="final"/>
    <w:docVar w:name="LW_REF.INST.NEW_TEXT" w:val="(2019) 1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RIEDAS_x000b_"/>
    <w:docVar w:name="LW_TYPEACTEPRINCIPAL.CP" w:val="KOMISIJOS KOMUNIKATO EUROPOS PARLAMENTUI, EUROPOS VADOV\u370? TARYBAI, TARYBAI, EUROPOS CENTRINIAM BANKUI, EUROPOS EKONOMIKOS IR SOCIALINI\u370? REIKAL\u370? KOMITETUI, REGION\u370? KOMITETUI IR EUROPOS INVESTICIJ\u370? BANKUI"/>
  </w:docVars>
  <w:rsids>
    <w:rsidRoot w:val="00C63E45"/>
    <w:rsid w:val="00A05EF9"/>
    <w:rsid w:val="00C63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4EAE7262-67C1-4E7A-AEB8-B51EE0EA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lt-LT" w:bidi="lt-LT"/>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sz w:val="20"/>
    </w:rPr>
  </w:style>
  <w:style w:type="paragraph" w:styleId="TOC3">
    <w:name w:val="toc 3"/>
    <w:basedOn w:val="Normal"/>
    <w:next w:val="Normal"/>
    <w:uiPriority w:val="99"/>
    <w:semiHidden/>
    <w:pPr>
      <w:tabs>
        <w:tab w:val="left" w:pos="595"/>
        <w:tab w:val="right" w:leader="dot" w:pos="8640"/>
      </w:tabs>
      <w:spacing w:after="60"/>
      <w:ind w:left="1190" w:right="720" w:hanging="595"/>
    </w:pPr>
    <w:rPr>
      <w:sz w:val="20"/>
    </w:rPr>
  </w:style>
  <w:style w:type="paragraph" w:styleId="TOC2">
    <w:name w:val="toc 2"/>
    <w:basedOn w:val="Normal"/>
    <w:next w:val="Normal"/>
    <w:uiPriority w:val="39"/>
    <w:semiHidden/>
    <w:pPr>
      <w:tabs>
        <w:tab w:val="left" w:pos="595"/>
        <w:tab w:val="right" w:leader="dot" w:pos="8640"/>
      </w:tabs>
      <w:spacing w:after="60"/>
      <w:ind w:left="595" w:right="720" w:hanging="595"/>
    </w:pPr>
    <w:rPr>
      <w:noProof/>
      <w:sz w:val="20"/>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sz w:val="20"/>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pPr>
      <w:spacing w:after="120"/>
      <w:ind w:left="357" w:hanging="357"/>
    </w:pPr>
    <w:rPr>
      <w:sz w:val="20"/>
    </w:rPr>
  </w:style>
  <w:style w:type="paragraph" w:styleId="Footer">
    <w:name w:val="footer"/>
    <w:basedOn w:val="Normal"/>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numbering" w:customStyle="1" w:styleId="ImportedStyle1">
    <w:name w:val="Imported Style 1"/>
    <w:pPr>
      <w:numPr>
        <w:numId w:val="19"/>
      </w:numPr>
    </w:pPr>
  </w:style>
  <w:style w:type="character" w:customStyle="1" w:styleId="FootnoteTextChar">
    <w:name w:val="Footnote Text Char"/>
    <w:basedOn w:val="DefaultParagraphFont"/>
    <w:link w:val="FootnoteText"/>
    <w:rPr>
      <w:sz w:val="20"/>
    </w:rPr>
  </w:style>
  <w:style w:type="character" w:styleId="FootnoteReference">
    <w:name w:val="footnote reference"/>
    <w:basedOn w:val="DefaultParagraphFont"/>
    <w:semiHidden/>
    <w:locked/>
    <w:rPr>
      <w:vertAlign w:val="superscript"/>
    </w:rPr>
  </w:style>
  <w:style w:type="character" w:styleId="Hyperlink">
    <w:name w:val="Hyperlink"/>
    <w:basedOn w:val="DefaultParagraphFont"/>
    <w:semiHidden/>
    <w:locked/>
    <w:rPr>
      <w:color w:val="0563C1" w:themeColor="hyperlink"/>
      <w:u w:val="single"/>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https://ec.europa.eu/info/brexit/brexit-preparedness/preparedness-notices_lt" TargetMode="External"/><Relationship Id="rId28" Type="http://schemas.openxmlformats.org/officeDocument/2006/relationships/header" Target="header6.xm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c.europa.eu/info/publications/communication-preparing-withdrawal-united-kingdom-european-union-30-march-2019-contingency-action-plan-13-11-2018_en" TargetMode="External"/><Relationship Id="rId27" Type="http://schemas.openxmlformats.org/officeDocument/2006/relationships/footer" Target="footer5.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uriserv:OJ.L_.2019.076.01.0001.01.ENG&amp;toc=OJ:L:2019:076:TOC" TargetMode="External"/><Relationship Id="rId13" Type="http://schemas.openxmlformats.org/officeDocument/2006/relationships/hyperlink" Target="https://eur-lex.europa.eu/legal-content/EN/TXT/?uri=uriserv:OJ.L_.2016.207.01.0001.01.ENG" TargetMode="External"/><Relationship Id="rId18" Type="http://schemas.openxmlformats.org/officeDocument/2006/relationships/hyperlink" Target="https://edpb.europa.eu/our-work-tools/our-documents/guidelines/guidelines-22018-derogations-article-49-under-regulation_lt" TargetMode="External"/><Relationship Id="rId3" Type="http://schemas.openxmlformats.org/officeDocument/2006/relationships/hyperlink" Target="https://eur-lex.europa.eu/legal-content/lt/TXT/?uri=CELEX:32002D0002" TargetMode="External"/><Relationship Id="rId7" Type="http://schemas.openxmlformats.org/officeDocument/2006/relationships/hyperlink" Target="https://eur-lex.europa.eu/legal-content/LT/TXT/?uri=CELEX:32004D0411" TargetMode="External"/><Relationship Id="rId12" Type="http://schemas.openxmlformats.org/officeDocument/2006/relationships/hyperlink" Target="https://eur-lex.europa.eu/legal-content/LT/TXT/?uri=CELEX:32012D0484" TargetMode="External"/><Relationship Id="rId17" Type="http://schemas.openxmlformats.org/officeDocument/2006/relationships/hyperlink" Target="https://edpb.europa.eu/our-work-tools/our-documents/other/information-note-data-transfers-under-gdpr-event-no-deal-brexit_en" TargetMode="External"/><Relationship Id="rId2" Type="http://schemas.openxmlformats.org/officeDocument/2006/relationships/hyperlink" Target="https://eur-lex.europa.eu/legal-content/LT/TXT/?uri=CELEX:32003D0490" TargetMode="External"/><Relationship Id="rId16" Type="http://schemas.openxmlformats.org/officeDocument/2006/relationships/hyperlink" Target="https://ec.europa.eu/info/sites/info/files/file_import/data_protection_lt.pdf" TargetMode="External"/><Relationship Id="rId1" Type="http://schemas.openxmlformats.org/officeDocument/2006/relationships/hyperlink" Target="https://eur-lex.europa.eu/legal-content/LT/TXT/?uri=CELEX:32010D0625" TargetMode="External"/><Relationship Id="rId6" Type="http://schemas.openxmlformats.org/officeDocument/2006/relationships/hyperlink" Target="https://eur-lex.europa.eu/legal-content/LT/TXT/?uri=CELEX:32011D0061" TargetMode="External"/><Relationship Id="rId11" Type="http://schemas.openxmlformats.org/officeDocument/2006/relationships/hyperlink" Target="https://eur-lex.europa.eu/legal-content/LT/TXT/?uri=CELEX:32000D0518" TargetMode="External"/><Relationship Id="rId5" Type="http://schemas.openxmlformats.org/officeDocument/2006/relationships/hyperlink" Target="https://eur-lex.europa.eu/legal-content/LT/TXT/?uri=CELEX:32003D0821" TargetMode="External"/><Relationship Id="rId15" Type="http://schemas.openxmlformats.org/officeDocument/2006/relationships/hyperlink" Target="https://ec.europa.eu/info/law/law-topic/data-protection/data-transfers-outside-eu/model-contracts-transfer-personal-data-third-countries_en" TargetMode="External"/><Relationship Id="rId10" Type="http://schemas.openxmlformats.org/officeDocument/2006/relationships/hyperlink" Target="https://eur-lex.europa.eu/legal-content/LT/ALL/?uri=CELEX:32013D0065" TargetMode="External"/><Relationship Id="rId19" Type="http://schemas.openxmlformats.org/officeDocument/2006/relationships/hyperlink" Target="https://edpb.europa.eu/our-work-tools/our-documents/other/draft-administrative-arrangement-transfer-personal-data-between_en" TargetMode="External"/><Relationship Id="rId4" Type="http://schemas.openxmlformats.org/officeDocument/2006/relationships/hyperlink" Target="https://eur-lex.europa.eu/legal-content/lt/ALL/?uri=CELEX:32010D0146" TargetMode="External"/><Relationship Id="rId9" Type="http://schemas.openxmlformats.org/officeDocument/2006/relationships/hyperlink" Target="https://eur-lex.europa.eu/legal-content/LT/TXT/?uri=CELEX:32008D0393" TargetMode="External"/><Relationship Id="rId14" Type="http://schemas.openxmlformats.org/officeDocument/2006/relationships/hyperlink" Target="https://ec.europa.eu/info/digital-economy-and-society/data-protection/data-transfers-outside-eu/eu-us-privacy-shield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EurolookProperties>
  <ProductCustomizationId>EC</ProductCustomizationId>
  <Created>
    <Version>10.0.38495.0</Version>
    <Date>2019-04-05T17:56:24</Date>
    <Language>EN</Language>
  </Created>
  <Edited>
    <Version>10.0.38495.0</Version>
    <Date>2019-04-10T12:50:08</Date>
  </Edited>
  <DocumentModel>
    <Id>6cbda13a-4db2-46c6-876a-ef72275827ef</Id>
    <Name>Report</Name>
  </DocumentModel>
  <DocumentDate>2019-04-05T17:56:24</DocumentDate>
  <DocumentVersion>0.1</DocumentVersion>
  <CompatibilityMode>Eurolook10</CompatibilityMode>
  <Address/>
</EurolookProperties>
</file>

<file path=customXml/item3.xml><?xml version="1.0" encoding="utf-8"?>
<Texts>
  <SecurityPersonalData>Personal data</SecurityPersonalData>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echHistoryVersion>Version</TechHistoryVersion>
  <TLPAmber>TLP: Amber</TLPAmber>
  <SecurityMedicalSecret>Medical secret</SecurityMedicalSecret>
  <Contacts>Contacts:</Contacts>
  <SecurityEmbargo>Embargo until</SecurityEmbargo>
  <DateFormatShort>dd/MM/yyyy</DateFormatShort>
  <DateFormatLong>d MMMM yyyy</DateFormatLong>
</Texts>
</file>

<file path=customXml/item4.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7.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8.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BA74005-01F3-4FBA-96CE-542E5DAC1761}">
  <ds:schemaRefs>
    <ds:schemaRef ds:uri="http://schemas.microsoft.com/sharepoint/v3/contenttype/forms"/>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EF3BA1D0-E751-44AD-85E9-0A503AE7213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5173920-bf43-43cc-9123-1897e847dfc2"/>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33073BC7-B523-4909-A03E-0444E3A52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E044946-5330-43F7-8D16-AA78684F2938}">
  <ds:schemaRefs/>
</ds:datastoreItem>
</file>

<file path=customXml/itemProps7.xml><?xml version="1.0" encoding="utf-8"?>
<ds:datastoreItem xmlns:ds="http://schemas.openxmlformats.org/officeDocument/2006/customXml" ds:itemID="{6D76941F-2406-4B07-9578-C0CA62D4DE8E}">
  <ds:schemaRefs>
    <ds:schemaRef ds:uri="office.server.policy"/>
  </ds:schemaRefs>
</ds:datastoreItem>
</file>

<file path=customXml/itemProps8.xml><?xml version="1.0" encoding="utf-8"?>
<ds:datastoreItem xmlns:ds="http://schemas.openxmlformats.org/officeDocument/2006/customXml" ds:itemID="{5FAC626C-0825-4C0A-A5EA-335CDC41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9</TotalTime>
  <Pages>5</Pages>
  <Words>1319</Words>
  <Characters>7256</Characters>
  <Application>Microsoft Office Word</Application>
  <DocSecurity>0</DocSecurity>
  <PresentationFormat>Microsoft Word 14.0</PresentationFormat>
  <Lines>60</Lines>
  <Paragraphs>17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THERACE Christine (SG)</dc:creator>
  <cp:keywords/>
  <dc:description/>
  <cp:lastModifiedBy>HEILEMANN Stefanie (SG)</cp:lastModifiedBy>
  <cp:revision>15</cp:revision>
  <cp:lastPrinted>2019-04-08T15:56:00Z</cp:lastPrinted>
  <dcterms:created xsi:type="dcterms:W3CDTF">2019-04-08T15:56:00Z</dcterms:created>
  <dcterms:modified xsi:type="dcterms:W3CDTF">2019-04-10T10:50:00Z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Level of sensitivity">
    <vt:lpwstr>Standard treatment</vt:lpwstr>
  </property>
  <property fmtid="{D5CDD505-2E9C-101B-9397-08002B2CF9AE}" pid="5" name="First annex">
    <vt:lpwstr>6</vt:lpwstr>
  </property>
  <property fmtid="{D5CDD505-2E9C-101B-9397-08002B2CF9AE}" pid="6" name="Last annex">
    <vt:lpwstr>6</vt:lpwstr>
  </property>
  <property fmtid="{D5CDD505-2E9C-101B-9397-08002B2CF9AE}" pid="7" name="Unique annex">
    <vt:lpwstr>0</vt:lpwstr>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y fmtid="{D5CDD505-2E9C-101B-9397-08002B2CF9AE}" pid="11" name="Created using">
    <vt:lpwstr>LW 6.0.1, Build 20180503</vt:lpwstr>
  </property>
  <property fmtid="{D5CDD505-2E9C-101B-9397-08002B2CF9AE}" pid="12" name="Last edited using">
    <vt:lpwstr>LW 6.0.1, Build 20180503</vt:lpwstr>
  </property>
  <property fmtid="{D5CDD505-2E9C-101B-9397-08002B2CF9AE}" pid="13" name="ContentTypeId">
    <vt:lpwstr>0x010100258AA79CEB83498886A3A0868112325000D33D44CF0C8FEB45875F235DEEF2E1B9</vt:lpwstr>
  </property>
</Properties>
</file>