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3EB8502-9317-4832-B50C-CE320D67C5E8" style="width:450.8pt;height:392.55pt">
            <v:imagedata r:id="rId9" o:title=""/>
          </v:shape>
        </w:pict>
      </w:r>
    </w:p>
    <w:bookmarkEnd w:id="0"/>
    <w:p>
      <w:pPr>
        <w:rPr>
          <w:noProof/>
          <w:lang w:val="en-GB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0"/>
          <w:cols w:space="720"/>
          <w:docGrid w:linePitch="360"/>
        </w:sectPr>
      </w:pPr>
    </w:p>
    <w:p>
      <w:pPr>
        <w:rPr>
          <w:b/>
          <w:noProof/>
          <w:color w:val="000000"/>
          <w:u w:val="single"/>
        </w:rPr>
      </w:pPr>
      <w:bookmarkStart w:id="1" w:name="_GoBack"/>
      <w:bookmarkEnd w:id="1"/>
      <w:r>
        <w:rPr>
          <w:b/>
          <w:noProof/>
          <w:color w:val="000000"/>
          <w:u w:val="single"/>
        </w:rPr>
        <w:lastRenderedPageBreak/>
        <w:t>Bilag 1</w:t>
      </w:r>
    </w:p>
    <w:p>
      <w:pPr>
        <w:rPr>
          <w:b/>
          <w:noProof/>
          <w:color w:val="000000"/>
          <w:sz w:val="20"/>
          <w:szCs w:val="20"/>
          <w:u w:val="single"/>
        </w:rPr>
      </w:pPr>
    </w:p>
    <w:p>
      <w:pPr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t>Kommissionens inspektioner pr. 31.12.2017 af kompetente myndigheder og lufthavne (indledende og opfølgende inspektioner)</w:t>
      </w:r>
    </w:p>
    <w:p>
      <w:pPr>
        <w:rPr>
          <w:b/>
          <w:noProof/>
          <w:color w:val="000000"/>
          <w:u w:val="single"/>
        </w:rPr>
      </w:pPr>
    </w:p>
    <w:tbl>
      <w:tblPr>
        <w:tblW w:w="0" w:type="auto"/>
        <w:tblInd w:w="1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118"/>
        <w:gridCol w:w="3118"/>
      </w:tblGrid>
      <w:tr>
        <w:tc>
          <w:tcPr>
            <w:tcW w:w="1626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Stat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Antal inspektioner fra</w:t>
            </w:r>
            <w:r>
              <w:rPr>
                <w:b/>
                <w:noProof/>
                <w:color w:val="000000"/>
                <w:sz w:val="18"/>
                <w:szCs w:val="18"/>
              </w:rPr>
              <w:br/>
              <w:t>januar 2017 til december 2017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Antal inspektioner i alt siden 2004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Østrig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Belgien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Bulgarien</w:t>
            </w: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Kroatien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Cypern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Tjekkiet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12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Danmark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Estland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Frankrig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Tyskland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Grækenland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ind w:right="163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Ungarn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Irland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Italien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Letland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Litauen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Luxembourg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Nederlandene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Polen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Rumænien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Slovakiet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Slovenien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Spanien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Sverige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Det Forenede Kongerige</w:t>
            </w: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30</w:t>
            </w:r>
          </w:p>
        </w:tc>
      </w:tr>
      <w:t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Ikke medlem af EU: Schweiz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I ALT: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449</w:t>
            </w: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  <w:lang w:val="en-GB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  <w:lang w:val="en-GB"/>
              </w:rPr>
            </w:pPr>
          </w:p>
        </w:tc>
      </w:tr>
    </w:tbl>
    <w:p>
      <w:pPr>
        <w:rPr>
          <w:b/>
          <w:noProof/>
          <w:color w:val="000000"/>
          <w:u w:val="single"/>
        </w:rPr>
      </w:pPr>
      <w:r>
        <w:rPr>
          <w:noProof/>
        </w:rPr>
        <w:br w:type="page"/>
      </w:r>
    </w:p>
    <w:p>
      <w:pPr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t>EFTA-Tilsynsmyndighedens inspektioner pr. 31. december 2017 af kompetente myndigheder og lufthavne (indledende og opfølgende inspektioner)</w:t>
      </w:r>
    </w:p>
    <w:p>
      <w:pPr>
        <w:rPr>
          <w:b/>
          <w:noProof/>
          <w:color w:val="000000"/>
          <w:u w:val="single"/>
        </w:rPr>
      </w:pPr>
    </w:p>
    <w:p>
      <w:pPr>
        <w:rPr>
          <w:b/>
          <w:noProof/>
          <w:color w:val="000000"/>
          <w:u w:val="single"/>
        </w:rPr>
      </w:pPr>
    </w:p>
    <w:tbl>
      <w:tblPr>
        <w:tblW w:w="0" w:type="auto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</w:tblGrid>
      <w:tr>
        <w:tc>
          <w:tcPr>
            <w:tcW w:w="2322" w:type="dxa"/>
            <w:shd w:val="clear" w:color="auto" w:fill="D9D9D9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Stat</w:t>
            </w:r>
          </w:p>
        </w:tc>
        <w:tc>
          <w:tcPr>
            <w:tcW w:w="2322" w:type="dxa"/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Antal inspektioner fra januar 2017 til december 2017</w:t>
            </w:r>
          </w:p>
        </w:tc>
        <w:tc>
          <w:tcPr>
            <w:tcW w:w="2322" w:type="dxa"/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Antal inspektioner i alt siden 2004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Island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14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Norge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52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I ALT: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  <w:szCs w:val="18"/>
              </w:rPr>
              <w:t>66</w:t>
            </w:r>
          </w:p>
        </w:tc>
      </w:tr>
    </w:tbl>
    <w:p>
      <w:pPr>
        <w:rPr>
          <w:noProof/>
          <w:color w:val="000000"/>
        </w:rPr>
      </w:pPr>
      <w:bookmarkStart w:id="2" w:name="_CopyToNewDocument_"/>
      <w:bookmarkEnd w:id="2"/>
    </w:p>
    <w:p>
      <w:pPr>
        <w:rPr>
          <w:noProof/>
          <w:lang w:val="en-GB"/>
        </w:rPr>
      </w:pPr>
    </w:p>
    <w:p>
      <w:pPr>
        <w:rPr>
          <w:noProof/>
          <w:lang w:val="en-GB"/>
        </w:rPr>
      </w:pPr>
    </w:p>
    <w:p>
      <w:pPr>
        <w:jc w:val="both"/>
        <w:rPr>
          <w:noProof/>
          <w:lang w:val="en-GB"/>
        </w:rPr>
      </w:pPr>
    </w:p>
    <w:p>
      <w:pPr>
        <w:rPr>
          <w:b/>
          <w:noProof/>
          <w:u w:val="single"/>
        </w:rPr>
      </w:pPr>
      <w:r>
        <w:rPr>
          <w:noProof/>
        </w:rPr>
        <w:br w:type="page"/>
      </w:r>
      <w:r>
        <w:rPr>
          <w:b/>
          <w:noProof/>
          <w:u w:val="single"/>
        </w:rPr>
        <w:t>Bilag 2</w:t>
      </w:r>
    </w:p>
    <w:p>
      <w:pPr>
        <w:rPr>
          <w:b/>
          <w:noProof/>
          <w:u w:val="single"/>
          <w:lang w:val="en-GB"/>
        </w:rPr>
      </w:pP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>Supplerende lovgivning vedtaget i 2017:</w:t>
      </w:r>
    </w:p>
    <w:p>
      <w:pPr>
        <w:rPr>
          <w:b/>
          <w:noProof/>
          <w:sz w:val="20"/>
          <w:szCs w:val="20"/>
          <w:u w:val="single"/>
          <w:lang w:val="en-GB"/>
        </w:rPr>
      </w:pPr>
    </w:p>
    <w:p>
      <w:pPr>
        <w:pStyle w:val="doc-ti"/>
        <w:jc w:val="both"/>
        <w:rPr>
          <w:noProof/>
        </w:rPr>
      </w:pPr>
      <w:r>
        <w:rPr>
          <w:noProof/>
        </w:rPr>
        <w:t>Kommissionens gennemførelsesforordning (EU) 2017/815 af 12. maj 2017 om ændring af gennemførelsesforordning (EU) 2015/1998 med henblik på afklaring, harmonisering og forenkling af visse specifikke luftfartssikkerhedsforanstaltninger (EØS-relevant tekst) (EUT L 122 af 13.5.2017, s. 1).</w:t>
      </w:r>
    </w:p>
    <w:p>
      <w:pPr>
        <w:pStyle w:val="doc-ti"/>
        <w:jc w:val="both"/>
        <w:rPr>
          <w:noProof/>
        </w:rPr>
      </w:pPr>
      <w:r>
        <w:rPr>
          <w:noProof/>
        </w:rPr>
        <w:t>Kommissionens gennemførelsesforordning (EU) 2017/837 af 17. maj 2017 om berigtigelse af den polske og svenske udgave af gennemførelsesforordning (EU) 2015/1998 om detaljerede foranstaltninger til gennemførelse af de fælles grundlæggende normer for luftfartssikkerhed (EØS-relevant tekst) (EUT L 125 af 18.5.2017, s. 3).</w:t>
      </w:r>
    </w:p>
    <w:p>
      <w:pPr>
        <w:pStyle w:val="doc-ti"/>
        <w:jc w:val="both"/>
        <w:rPr>
          <w:noProof/>
        </w:rPr>
      </w:pPr>
      <w:r>
        <w:rPr>
          <w:noProof/>
        </w:rPr>
        <w:t>Afgørelse C(2017) 3030 af 15. maj 2017 om ændring af gennemførelsesforordning C(2015) 8005 med henblik på afklaring, harmonisering og forenkling af visse specifikke luftfartssikkerhedsforanstaltninger.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lang w:val="en-GB"/>
      </w:rPr>
    </w:pPr>
  </w:p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792"/>
    <w:multiLevelType w:val="hybridMultilevel"/>
    <w:tmpl w:val="795AD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">
    <w:nsid w:val="75C26F71"/>
    <w:multiLevelType w:val="multilevel"/>
    <w:tmpl w:val="E01E770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F3EB8502-9317-4832-B50C-CE320D67C5E8"/>
    <w:docVar w:name="LW_COVERPAGE_TYPE" w:val="1"/>
    <w:docVar w:name="LW_CROSSREFERENCE" w:val="&lt;UNUSED&gt;"/>
    <w:docVar w:name="LW_DocType" w:val="NORMAL"/>
    <w:docVar w:name="LW_EMISSION" w:val="16.4.2019"/>
    <w:docVar w:name="LW_EMISSION_ISODATE" w:val="2019-04-16"/>
    <w:docVar w:name="LW_EMISSION_LOCATION" w:val="BRX"/>
    <w:docVar w:name="LW_EMISSION_PREFIX" w:val="Bruxelles, den "/>
    <w:docVar w:name="LW_EMISSION_SUFFIX" w:val=" "/>
    <w:docVar w:name="LW_ID_DOCTYPE_NONLW" w:val="CP-039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.CP" w:val="ÅRLIG RAPPORT FOR 2017 OM GENNEMFØRELSEN AF FORORDNING (EF) NR. 300/2008 OM FÆLLES BESTEMMELSER OM SIKKERHED (SECURITY) INDEN FOR CIVIL LUFTFART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1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_PREVIOUS" w:val="&lt;UNUSED&gt;"/>
    <w:docVar w:name="LW_TYPE.DOC.CP" w:val="BILAG_x000b_"/>
    <w:docVar w:name="LW_TYPEACTEPRINCIPAL.CP" w:val="RAPPORT FRA KOMMISSIONEN TIL EUROPA-PARLAMENTET OG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32"/>
      <w:lang w:eastAsia="en-US"/>
    </w:rPr>
  </w:style>
  <w:style w:type="paragraph" w:styleId="Heading2">
    <w:name w:val="heading 2"/>
    <w:basedOn w:val="Normal"/>
    <w:next w:val="Text1"/>
    <w:qFormat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iCs/>
      <w:szCs w:val="28"/>
      <w:lang w:eastAsia="en-US"/>
    </w:rPr>
  </w:style>
  <w:style w:type="paragraph" w:styleId="Heading3">
    <w:name w:val="heading 3"/>
    <w:basedOn w:val="Normal"/>
    <w:next w:val="Text1"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Cs/>
      <w:i/>
      <w:szCs w:val="26"/>
      <w:lang w:eastAsia="en-US"/>
    </w:rPr>
  </w:style>
  <w:style w:type="paragraph" w:styleId="Heading4">
    <w:name w:val="heading 4"/>
    <w:basedOn w:val="Normal"/>
    <w:next w:val="Text1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Cs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  <w:spacing w:before="120" w:after="120"/>
      <w:jc w:val="both"/>
    </w:pPr>
    <w:rPr>
      <w:lang w:eastAsia="en-US"/>
    </w:r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  <w:lang w:eastAsia="en-US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eastAsia="en-US"/>
    </w:rPr>
  </w:style>
  <w:style w:type="paragraph" w:customStyle="1" w:styleId="Bullet0">
    <w:name w:val="Bullet 0"/>
    <w:basedOn w:val="Normal"/>
    <w:pPr>
      <w:numPr>
        <w:numId w:val="2"/>
      </w:numPr>
      <w:spacing w:before="120" w:after="120"/>
      <w:jc w:val="both"/>
    </w:pPr>
    <w:rPr>
      <w:lang w:eastAsia="en-US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lang w:eastAsia="en-US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  <w:lang w:eastAsia="en-US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FootnoteTextChar">
    <w:name w:val="Footnote Text Char"/>
    <w:link w:val="FootnoteText"/>
    <w:semiHidden/>
    <w:rPr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da-DK" w:eastAsia="fr-FR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da-DK" w:eastAsia="fr-FR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da-DK" w:eastAsia="fr-FR"/>
    </w:rPr>
  </w:style>
  <w:style w:type="character" w:customStyle="1" w:styleId="Heading1Char">
    <w:name w:val="Heading 1 Char"/>
    <w:link w:val="Heading1"/>
    <w:rPr>
      <w:b/>
      <w:bCs/>
      <w:smallCaps/>
      <w:sz w:val="24"/>
      <w:szCs w:val="32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da-DK" w:eastAsia="fr-FR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da-DK" w:eastAsia="fr-FR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rPr>
      <w:sz w:val="24"/>
      <w:szCs w:val="24"/>
      <w:lang w:eastAsia="fr-FR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  <w:szCs w:val="24"/>
      <w:lang w:eastAsia="fr-FR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32"/>
      <w:lang w:eastAsia="en-US"/>
    </w:rPr>
  </w:style>
  <w:style w:type="paragraph" w:styleId="Heading2">
    <w:name w:val="heading 2"/>
    <w:basedOn w:val="Normal"/>
    <w:next w:val="Text1"/>
    <w:qFormat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iCs/>
      <w:szCs w:val="28"/>
      <w:lang w:eastAsia="en-US"/>
    </w:rPr>
  </w:style>
  <w:style w:type="paragraph" w:styleId="Heading3">
    <w:name w:val="heading 3"/>
    <w:basedOn w:val="Normal"/>
    <w:next w:val="Text1"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Cs/>
      <w:i/>
      <w:szCs w:val="26"/>
      <w:lang w:eastAsia="en-US"/>
    </w:rPr>
  </w:style>
  <w:style w:type="paragraph" w:styleId="Heading4">
    <w:name w:val="heading 4"/>
    <w:basedOn w:val="Normal"/>
    <w:next w:val="Text1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Cs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  <w:spacing w:before="120" w:after="120"/>
      <w:jc w:val="both"/>
    </w:pPr>
    <w:rPr>
      <w:lang w:eastAsia="en-US"/>
    </w:r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  <w:lang w:eastAsia="en-US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eastAsia="en-US"/>
    </w:rPr>
  </w:style>
  <w:style w:type="paragraph" w:customStyle="1" w:styleId="Bullet0">
    <w:name w:val="Bullet 0"/>
    <w:basedOn w:val="Normal"/>
    <w:pPr>
      <w:numPr>
        <w:numId w:val="2"/>
      </w:numPr>
      <w:spacing w:before="120" w:after="120"/>
      <w:jc w:val="both"/>
    </w:pPr>
    <w:rPr>
      <w:lang w:eastAsia="en-US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lang w:eastAsia="en-US"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  <w:lang w:eastAsia="en-US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FootnoteTextChar">
    <w:name w:val="Footnote Text Char"/>
    <w:link w:val="FootnoteText"/>
    <w:semiHidden/>
    <w:rPr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da-DK" w:eastAsia="fr-FR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da-DK" w:eastAsia="fr-FR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da-DK" w:eastAsia="fr-FR"/>
    </w:rPr>
  </w:style>
  <w:style w:type="character" w:customStyle="1" w:styleId="Heading1Char">
    <w:name w:val="Heading 1 Char"/>
    <w:link w:val="Heading1"/>
    <w:rPr>
      <w:b/>
      <w:bCs/>
      <w:smallCaps/>
      <w:sz w:val="24"/>
      <w:szCs w:val="32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da-DK" w:eastAsia="fr-FR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da-DK" w:eastAsia="fr-FR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rPr>
      <w:sz w:val="24"/>
      <w:szCs w:val="24"/>
      <w:lang w:eastAsia="fr-FR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  <w:szCs w:val="24"/>
      <w:lang w:eastAsia="fr-FR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9558-A33F-454B-8252-8BE946B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282</Words>
  <Characters>1561</Characters>
  <Application>Microsoft Office Word</Application>
  <DocSecurity>0</DocSecurity>
  <Lines>173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Cidalia (MOVE)</dc:creator>
  <cp:lastModifiedBy>WES PDFC Administrator</cp:lastModifiedBy>
  <cp:revision>10</cp:revision>
  <cp:lastPrinted>2018-04-30T15:23:00Z</cp:lastPrinted>
  <dcterms:created xsi:type="dcterms:W3CDTF">2019-01-17T10:22:00Z</dcterms:created>
  <dcterms:modified xsi:type="dcterms:W3CDTF">2019-04-10T14:23:00Z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irst annex">
    <vt:lpwstr>1</vt:lpwstr>
  </property>
  <property fmtid="{D5CDD505-2E9C-101B-9397-08002B2CF9AE}" pid="4" name="Last annex">
    <vt:lpwstr>2</vt:lpwstr>
  </property>
  <property fmtid="{D5CDD505-2E9C-101B-9397-08002B2CF9AE}" pid="5" name="Part">
    <vt:lpwstr>&lt;UNUSED&gt;</vt:lpwstr>
  </property>
  <property fmtid="{D5CDD505-2E9C-101B-9397-08002B2CF9AE}" pid="6" name="Total parts">
    <vt:lpwstr>&lt;UNUSED&gt;</vt:lpwstr>
  </property>
  <property fmtid="{D5CDD505-2E9C-101B-9397-08002B2CF9AE}" pid="7" name="DocStatus">
    <vt:lpwstr>Green</vt:lpwstr>
  </property>
  <property fmtid="{D5CDD505-2E9C-101B-9397-08002B2CF9AE}" pid="8" name="Level of sensitivity">
    <vt:lpwstr>Standard treatment</vt:lpwstr>
  </property>
  <property fmtid="{D5CDD505-2E9C-101B-9397-08002B2CF9AE}" pid="9" name="Unique annex">
    <vt:lpwstr>0</vt:lpwstr>
  </property>
  <property fmtid="{D5CDD505-2E9C-101B-9397-08002B2CF9AE}" pid="10" name="Last edited using">
    <vt:lpwstr>LW 6.0.1, Build 20180503</vt:lpwstr>
  </property>
  <property fmtid="{D5CDD505-2E9C-101B-9397-08002B2CF9AE}" pid="11" name="Created using">
    <vt:lpwstr>LW 6.0.1, Build 20180503</vt:lpwstr>
  </property>
</Properties>
</file>