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9916335-AF1A-4DB4-BBF8-AE701C6DA4EF" style="width:450.75pt;height:485.2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ListParagraph"/>
        <w:numPr>
          <w:ilvl w:val="0"/>
          <w:numId w:val="5"/>
        </w:numPr>
        <w:spacing w:line="240" w:lineRule="auto"/>
        <w:rPr>
          <w:b/>
          <w:bCs/>
          <w:noProof/>
          <w:sz w:val="28"/>
          <w:szCs w:val="28"/>
        </w:rPr>
      </w:pPr>
      <w:bookmarkStart w:id="1" w:name="_GoBack"/>
      <w:bookmarkEnd w:id="1"/>
      <w:r>
        <w:rPr>
          <w:b/>
          <w:noProof/>
          <w:sz w:val="28"/>
        </w:rPr>
        <w:lastRenderedPageBreak/>
        <w:t>Id-diskrepanzi fl-implimentazzjoni ambjentali jiswew lill-Ewropej madwar EUR 55 biljun fis-sena</w:t>
      </w:r>
    </w:p>
    <w:p>
      <w:pPr>
        <w:rPr>
          <w:rFonts w:cs="Times New Roman"/>
          <w:noProof/>
        </w:rPr>
      </w:pPr>
      <w:r>
        <w:rPr>
          <w:noProof/>
        </w:rPr>
        <w:t xml:space="preserve">L-implimentazzjoni tal-politika u l-liġi ambjentali tal-UE hija essenzjali għal ambjent b’saħħtu. Li tingħeleb id-diskrepanza bejn dak li jiġi deċiż u dak li fil-fatt jiġi implimentat huwa kritiku sabiex jiġu żgurati riżultati ambjentali tajbin għaċ-ċittadini, kif ukoll sabiex jiġu preservati kundizzjonijiet ekwi għall-operaturi ekonomiċi u biex jinħolqu opportunitajiet għall-innovazzjonijiet soċjali u teknoloġiċi u għall-iżvilupp ekonomiku. Studju ġdid jistma li l-kostijiet totali tad-diskrepanzi attwali fl-implimentazzjoni ambjentali, għas-soċjetà, huma </w:t>
      </w:r>
      <w:r>
        <w:rPr>
          <w:noProof/>
          <w:color w:val="000000" w:themeColor="text1"/>
        </w:rPr>
        <w:t>madwar EUR 55</w:t>
      </w:r>
      <w:r>
        <w:rPr>
          <w:noProof/>
        </w:rPr>
        <w:t xml:space="preserve"> biljun kull sena</w:t>
      </w:r>
      <w:r>
        <w:rPr>
          <w:noProof/>
        </w:rPr>
        <w:footnoteReference w:id="2"/>
      </w:r>
      <w:r>
        <w:rPr>
          <w:noProof/>
        </w:rPr>
        <w:t xml:space="preserve">. </w:t>
      </w:r>
    </w:p>
    <w:p>
      <w:pPr>
        <w:rPr>
          <w:rFonts w:cs="Times New Roman"/>
          <w:noProof/>
        </w:rPr>
      </w:pPr>
      <w:r>
        <w:rPr>
          <w:noProof/>
        </w:rPr>
        <w:t xml:space="preserve">L-Analiżi tal-Implimentazzjoni Ambjentali għandha l-għan li ttejjeb l-implimentazzjoni fil-qasam tal-politika u l-leġiżlazzjoni ambjentali tal-UE billi tidentifika l-kawżi tad-diskrepanzi fl-implimentazzjoni u tindirizza l-ostakoli sistemiċi għall-integrazzjoni ambjentali f'setturi ta’ politika differenti. Hija timmappja l-isfidi ewlenin għal kull Stat Membru, kif ukoll il-prattiki tajba u l-punti ta’ eċċellenza eżistenti. </w:t>
      </w:r>
    </w:p>
    <w:p>
      <w:pPr>
        <w:rPr>
          <w:rFonts w:cs="Times New Roman"/>
          <w:noProof/>
        </w:rPr>
      </w:pPr>
      <w:r>
        <w:rPr>
          <w:noProof/>
        </w:rPr>
        <w:t>L-ewwel pakkett tal-Analiżi tal-Implimentazzjoni Ambjentali ġie adottat fi Frar 2017</w:t>
      </w:r>
      <w:r>
        <w:rPr>
          <w:noProof/>
        </w:rPr>
        <w:footnoteReference w:id="3"/>
      </w:r>
      <w:r>
        <w:rPr>
          <w:noProof/>
        </w:rPr>
        <w:t>. Mill-adozzjoni tiegħu, bosta Stati Membri organizzaw djalogi nazzjonali ta’ Analiżi tal-Implimentazzjoni Ambjentali dwar it-temi ta’ prijorità identifikati fir-rapporti tagħhom. F’ħafna każijiet, kienu involuti l-awtoritajiet reġjonali u lokali u l-partijiet interessati ewlenin. Barra minn hekk, kienu organizzati diversi djalogi speċifiċi għas-settur. Ftit wara li ġie adottat l-ewwel pakkett, tnediet għodda TAIEX-EIR Peer to Peer biex tiffaċilita t-tagħlim bejn il-pari bejn l-Istati Membri, ir-reġjuni u l-muniċipalitajiet dwar kif itejbu l-prattiki ta’ implimentazzjoni tagħhom</w:t>
      </w:r>
      <w:r>
        <w:rPr>
          <w:noProof/>
        </w:rPr>
        <w:footnoteReference w:id="4"/>
      </w:r>
      <w:r>
        <w:rPr>
          <w:noProof/>
        </w:rPr>
        <w:t xml:space="preserve">. </w:t>
      </w:r>
    </w:p>
    <w:p>
      <w:pPr>
        <w:rPr>
          <w:rFonts w:cs="Times New Roman"/>
          <w:noProof/>
        </w:rPr>
      </w:pPr>
      <w:r>
        <w:rPr>
          <w:noProof/>
        </w:rPr>
        <w:t xml:space="preserve">Dan il-pakkett jinkludi l-Komunikazzjoni preżenti, anness li jelenka l-azzjonijiet ta’ politika ewlenin, dokument ta’ sfond tal-politika u 28 rapport tal-pajjiż li jiddeskrivu s-sitwazzjoni attwali fl-implimentazzjoni tal-oqsma u l-objettivi ewlenin tal-ġabra tar-regoli ambjentali tal-UE, kif ukoll l-isfidi u l-opportunitajiet ewlenin għal kull Stat Membru. </w:t>
      </w:r>
    </w:p>
    <w:p>
      <w:pPr>
        <w:rPr>
          <w:rFonts w:cs="Times New Roman"/>
          <w:noProof/>
        </w:rPr>
      </w:pPr>
      <w:r>
        <w:rPr>
          <w:noProof/>
        </w:rPr>
        <w:t>Il-proċeduri ta’ ksur jibqgħu għodda importanti biex tkun żgurata l-implimentazzjoni xierqa tal-obbligi legali</w:t>
      </w:r>
      <w:r>
        <w:rPr>
          <w:noProof/>
        </w:rPr>
        <w:footnoteReference w:id="5"/>
      </w:r>
      <w:r>
        <w:rPr>
          <w:noProof/>
        </w:rPr>
        <w:t xml:space="preserve"> u, għalhekk, l-Analiżi tal-Implimentazzjoni Ambjentali hija mingħajr preġudizzju għall-azzjonijiet ta’ infurzar mill-Kummissjoni skont it-Trattati, taħt il-kontroll tal-Qorti tal-Ġustizzja tal-Unjoni Ewropea</w:t>
      </w:r>
      <w:r>
        <w:rPr>
          <w:noProof/>
        </w:rPr>
        <w:footnoteReference w:id="6"/>
      </w:r>
      <w:r>
        <w:rPr>
          <w:noProof/>
        </w:rPr>
        <w:t>. L-Analiżi tal-Implimentazzjoni Ambjentali tagħmilha possibbli li tittejjeb il-konformità mal-liġijiet ambjentali tal-UE billi tindirizza l-kawżi prinċipali tal-implimentazzjoni fqira u tippromwovi applikazzjoni aktar effettiva, bil-kundizzjoni li l-Istati Membri jwettqu malajr u b’mod deċiż tal-anqas l-azzjonijiet ta’ prijorità.</w:t>
      </w:r>
    </w:p>
    <w:p>
      <w:pPr>
        <w:rPr>
          <w:rFonts w:cs="Times New Roman"/>
          <w:noProof/>
        </w:rPr>
      </w:pPr>
      <w:r>
        <w:rPr>
          <w:noProof/>
        </w:rPr>
        <w:t xml:space="preserve">Il-pakkett juri l-istat tal-implimentazzjoni ambjentali f’Jannar 2019 u għandu l-għan li jippromwovi l-kooperazzjoni bejn l-awtoritajiet pubbliċi u l-partijiet interessati sabiex jinstabu soluzzjonijiet imfasslin apposta biex id-diskrepanzi fl-implimentazzjoni jiġu indirizzati b’mod aktar effettiv. Ir-rapporti tal-pajjiżi tal-2019 ikopru wkoll diversi temi ġodda meta mqabbel mal-2017, b’mod partikolari bi tweġiba għall-feedback miksub mill-Istati Membri, il-Parlament Ewropew, il-Kumitat Ekonomiku u Soċjali, il-Kumitat tar-Reġjuni u partijiet interessati differenti fl-ewwel ċiklu: it-tibdil fil-klima, l-ispeċijiet aljeni invażivi, l-emissjonijiet industrijali u s-sustanzi kimiċi, kif ukoll informazzjoni ġdida. Madankollu, l-istruttura tibqa’ simili għar-rapporti tal-Analiżi tal-Implimentazzjoni Ambjentali tal-2017. </w:t>
      </w:r>
    </w:p>
    <w:p>
      <w:pPr>
        <w:spacing w:after="200" w:line="276" w:lineRule="auto"/>
        <w:jc w:val="left"/>
        <w:rPr>
          <w:rFonts w:cs="Times New Roman"/>
          <w:noProof/>
        </w:rPr>
      </w:pPr>
      <w:r>
        <w:rPr>
          <w:noProof/>
        </w:rPr>
        <w:br w:type="page"/>
      </w:r>
    </w:p>
    <w:p>
      <w:pPr>
        <w:pStyle w:val="ListParagraph"/>
        <w:numPr>
          <w:ilvl w:val="0"/>
          <w:numId w:val="5"/>
        </w:numPr>
        <w:spacing w:before="240"/>
        <w:rPr>
          <w:rFonts w:cs="Times New Roman"/>
          <w:noProof/>
          <w:sz w:val="28"/>
          <w:szCs w:val="28"/>
        </w:rPr>
      </w:pPr>
      <w:r>
        <w:rPr>
          <w:b/>
          <w:noProof/>
          <w:sz w:val="28"/>
        </w:rPr>
        <w:t>L-istat ta’ implimentazzjoni: il-prijoritajiet ewlenin</w:t>
      </w:r>
    </w:p>
    <w:p>
      <w:pPr>
        <w:pStyle w:val="ListParagraph"/>
        <w:ind w:left="360"/>
        <w:rPr>
          <w:rFonts w:cs="Times New Roman"/>
          <w:noProof/>
          <w:sz w:val="28"/>
        </w:rPr>
      </w:pPr>
    </w:p>
    <w:p>
      <w:pPr>
        <w:rPr>
          <w:rFonts w:cs="Times New Roman"/>
          <w:b/>
          <w:bCs/>
          <w:noProof/>
          <w:sz w:val="24"/>
          <w:szCs w:val="24"/>
        </w:rPr>
      </w:pPr>
      <w:r>
        <w:rPr>
          <w:noProof/>
          <w:lang w:val="en-GB" w:eastAsia="en-GB" w:bidi="ar-SA"/>
        </w:rPr>
        <w:drawing>
          <wp:anchor distT="0" distB="0" distL="114300" distR="114300" simplePos="0" relativeHeight="251662336" behindDoc="1" locked="0" layoutInCell="1" allowOverlap="1">
            <wp:simplePos x="0" y="0"/>
            <wp:positionH relativeFrom="column">
              <wp:posOffset>48260</wp:posOffset>
            </wp:positionH>
            <wp:positionV relativeFrom="paragraph">
              <wp:posOffset>84455</wp:posOffset>
            </wp:positionV>
            <wp:extent cx="2465705" cy="3525520"/>
            <wp:effectExtent l="0" t="0" r="0" b="0"/>
            <wp:wrapTight wrapText="bothSides">
              <wp:wrapPolygon edited="0">
                <wp:start x="0" y="0"/>
                <wp:lineTo x="0" y="21476"/>
                <wp:lineTo x="21361" y="21476"/>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465705" cy="3525520"/>
                    </a:xfrm>
                    <a:prstGeom prst="rect">
                      <a:avLst/>
                    </a:prstGeom>
                  </pic:spPr>
                </pic:pic>
              </a:graphicData>
            </a:graphic>
            <wp14:sizeRelH relativeFrom="page">
              <wp14:pctWidth>0</wp14:pctWidth>
            </wp14:sizeRelH>
            <wp14:sizeRelV relativeFrom="page">
              <wp14:pctHeight>0</wp14:pctHeight>
            </wp14:sizeRelV>
          </wp:anchor>
        </w:drawing>
      </w:r>
      <w:r>
        <w:rPr>
          <w:b/>
          <w:noProof/>
          <w:sz w:val="24"/>
        </w:rPr>
        <w:t>2.1. L-UE nagħmluha ekonomija ċirkolari, effiċjenti fir-riżorsi, ekoloġika u kompetittiva b’emissjonijiet baxxi tal-karbonju</w:t>
      </w:r>
    </w:p>
    <w:p>
      <w:pPr>
        <w:rPr>
          <w:rFonts w:cs="Times New Roman"/>
          <w:noProof/>
        </w:rPr>
      </w:pPr>
      <w:r>
        <w:rPr>
          <w:b/>
          <w:noProof/>
        </w:rPr>
        <w:t>It-tranżizzjoni minn ekonomija lineari għal ekonomija ċirkolari hija opportunità biex nittrasformaw l-ekonomija tagħna u nagħmluha aktar sostenibbli</w:t>
      </w:r>
      <w:r>
        <w:rPr>
          <w:noProof/>
        </w:rPr>
        <w:t xml:space="preserve">, billi naqilbu għal mudell fejn il-materjali u r-riżorsi jinżammu u jintużaw għall-itwal żmien possibbli. Il-prevenzjoni u l-immaniġġjar tajbin tal-iskart huma komponent essenzjali tal-ekonomija ċirkolari billi jgħinu kemm biex jiġi evitat li l-iskart ikollu impatt negattiv fuq l-ambjent u s-saħħa, kif ukoll jidderiġuh għal użi effiċjenti. </w:t>
      </w:r>
    </w:p>
    <w:p>
      <w:pPr>
        <w:rPr>
          <w:rFonts w:cs="Times New Roman"/>
          <w:noProof/>
        </w:rPr>
      </w:pPr>
      <w:r>
        <w:rPr>
          <w:noProof/>
        </w:rPr>
        <w:t>Mill-2017, il-Kummissjoni kompliet timplimenta l-pjan ta’ azzjoni tagħha għal Ekonomija Ċirkolari</w:t>
      </w:r>
      <w:r>
        <w:rPr>
          <w:noProof/>
          <w:vertAlign w:val="superscript"/>
        </w:rPr>
        <w:footnoteReference w:id="7"/>
      </w:r>
      <w:r>
        <w:rPr>
          <w:noProof/>
        </w:rPr>
        <w:t>, li kien jinkludi l-pubblikazzjoni tal-Istrateġija tal-UE għall-Plastiks f’Ekonomija Ċirkolari fi ħdan il-pakkett tal-Ekonomija Ċirkolari tal-2018</w:t>
      </w:r>
      <w:r>
        <w:rPr>
          <w:noProof/>
        </w:rPr>
        <w:footnoteReference w:id="8"/>
      </w:r>
      <w:r>
        <w:rPr>
          <w:noProof/>
        </w:rPr>
        <w:t xml:space="preserve"> u l-adozzjoni tal-emendi għal-leġiżlazzjoni dwar l-iskart mill-koleġiżlaturi</w:t>
      </w:r>
      <w:r>
        <w:rPr>
          <w:noProof/>
          <w:vertAlign w:val="superscript"/>
        </w:rPr>
        <w:footnoteReference w:id="9"/>
      </w:r>
      <w:r>
        <w:rPr>
          <w:noProof/>
        </w:rPr>
        <w:t>. Il-Kummissjoni adottat ukoll Qafas ta’ Monitoraġġ għall-ekonomija ċirkolari</w:t>
      </w:r>
      <w:r>
        <w:rPr>
          <w:noProof/>
        </w:rPr>
        <w:footnoteReference w:id="10"/>
      </w:r>
      <w:r>
        <w:rPr>
          <w:noProof/>
        </w:rPr>
        <w:t>, għodda ġdida li tippermetti lil dawk li jfasslu l-politika jidentifikaw prattiki tajba u jipprijoritizzaw l-oqsma fejn tkun meħtieġa aktar azzjoni. F’Ottubru 2018 inħarġet komunikazzjoni ġdida dwar bijoekonomija sostenibbli għall-Ewropa</w:t>
      </w:r>
      <w:r>
        <w:rPr>
          <w:noProof/>
        </w:rPr>
        <w:footnoteReference w:id="11"/>
      </w:r>
      <w:r>
        <w:rPr>
          <w:noProof/>
        </w:rPr>
        <w:t>, immirata lejn it-tisħiħ tal-konnessjonijiet bejn l-ekonomija, is-soċjetà u l-ambjent. Il-proposta tal-2018 sabiex jitnaqqas l-impatt ta’ ċerti plastiks fuq l-ambjent</w:t>
      </w:r>
      <w:r>
        <w:rPr>
          <w:noProof/>
        </w:rPr>
        <w:footnoteReference w:id="12"/>
      </w:r>
      <w:r>
        <w:rPr>
          <w:noProof/>
        </w:rPr>
        <w:t xml:space="preserve"> tkompli turi l-isforzi kombinati fl-UE sabiex jiġu indirizzati b’mod aktar effettiv il-problemi ambjentali marbuta mat-tfassil, il-produzzjoni u r-rimi tal-plastik; l-implimentazzjoni tagħha se tiġi valutata fiċ-ċikli tal-Analiżi tal-Implimentazzjoni Ambjentali li ġejjin. </w:t>
      </w:r>
    </w:p>
    <w:p>
      <w:pPr>
        <w:rPr>
          <w:rFonts w:cs="Times New Roman"/>
          <w:noProof/>
        </w:rPr>
      </w:pPr>
      <w:r>
        <w:rPr>
          <w:noProof/>
        </w:rPr>
        <w:t>Barra minn hekk, il-Kummissjoni dan l-aħħar ipproponiet diversi rekwiżiti li se jikkontribwixxu għall-estensjoni tal-ħajja tal-prodotti</w:t>
      </w:r>
      <w:r>
        <w:rPr>
          <w:noProof/>
        </w:rPr>
        <w:footnoteReference w:id="13"/>
      </w:r>
      <w:r>
        <w:rPr>
          <w:noProof/>
        </w:rPr>
        <w:t>. L-awtoritajiet għall-protezzjoni tal-konsumatur qed jiffukaw dejjem aktar fuq il-kwistjoni tal-obsolexxenza qabel iż-żmien tal-prodotti. Il-Kummissjoni se timmonitorja ulterjorment dawn l-iżviluppi fil-qafas tal-Kooperazzjoni għall-Protezzjoni tal-Konsumatur</w:t>
      </w:r>
      <w:r>
        <w:rPr>
          <w:noProof/>
        </w:rPr>
        <w:footnoteReference w:id="14"/>
      </w:r>
      <w:r>
        <w:rPr>
          <w:noProof/>
        </w:rPr>
        <w:t xml:space="preserve">. </w:t>
      </w:r>
    </w:p>
    <w:p>
      <w:pPr>
        <w:rPr>
          <w:rFonts w:cs="Times New Roman"/>
          <w:noProof/>
        </w:rPr>
      </w:pPr>
      <w:r>
        <w:rPr>
          <w:noProof/>
        </w:rPr>
        <w:t>F’termini ta’ progress, kien hemm xi titjib fl-issodisfar tar-rekwiżiti tal-UE dwar l-immaniġġjar tal-iskart. Fil-livell tal-UE, ir-rati ta’ riċiklaġġ żdiedu minn 43.7 % fl-2014 għal 46.4 % fl-2017 u l-volum tal-iskart muniċipali mormi f'landfills naqas b’20.6 % bejn l-2013 u l-2017</w:t>
      </w:r>
      <w:r>
        <w:rPr>
          <w:noProof/>
          <w:vertAlign w:val="superscript"/>
        </w:rPr>
        <w:footnoteReference w:id="15"/>
      </w:r>
      <w:r>
        <w:rPr>
          <w:noProof/>
        </w:rPr>
        <w:t>. Madankollu, is-sitwazzjoni tvarja b’mod konsiderevoli fost l-Istati Membri. L-obbligi dwar it-trattament tal-iskart għadhom mhumiex issodisfati b’mod sħiħ, b’diverġenzi kbar ta’ prestazzjoni fi ħdan l-UE.</w:t>
      </w:r>
    </w:p>
    <w:p>
      <w:pPr>
        <w:rPr>
          <w:rFonts w:cs="Times New Roman"/>
          <w:noProof/>
        </w:rPr>
      </w:pPr>
      <w:r>
        <w:rPr>
          <w:noProof/>
        </w:rPr>
        <w:t>Għall-pajjiżi f’riskju li ma jilħqux il-mira tagħhom għall-2020 ta’ preparazzjoni għall-użu mill-ġdid/riċiklaġġ tal-iskart muniċipali, il-Kummissjoni ppreżentat rapporti ta’ twissija bikrija</w:t>
      </w:r>
      <w:r>
        <w:rPr>
          <w:noProof/>
        </w:rPr>
        <w:footnoteReference w:id="16"/>
      </w:r>
      <w:r>
        <w:rPr>
          <w:noProof/>
        </w:rPr>
        <w:t xml:space="preserve"> bi pjanijiet ta’ azzjoni biex ilaħħqu mal-leġiżlazzjoni tal-UE dwar l-iskart. </w:t>
      </w:r>
    </w:p>
    <w:p>
      <w:pPr>
        <w:rPr>
          <w:rFonts w:cs="Times New Roman"/>
          <w:noProof/>
        </w:rPr>
      </w:pPr>
    </w:p>
    <w:p>
      <w:pPr>
        <w:spacing w:after="200" w:line="276" w:lineRule="auto"/>
        <w:rPr>
          <w:rFonts w:cs="Times New Roman"/>
          <w:i/>
          <w:iCs/>
          <w:noProof/>
        </w:rPr>
      </w:pPr>
      <w:r>
        <w:rPr>
          <w:i/>
          <w:noProof/>
        </w:rPr>
        <w:t>Sejbiet ta’ politika</w:t>
      </w:r>
    </w:p>
    <w:p>
      <w:pPr>
        <w:numPr>
          <w:ilvl w:val="0"/>
          <w:numId w:val="3"/>
        </w:numPr>
        <w:spacing w:after="200" w:line="240" w:lineRule="auto"/>
        <w:rPr>
          <w:rFonts w:cs="Times New Roman"/>
          <w:i/>
          <w:iCs/>
          <w:noProof/>
        </w:rPr>
      </w:pPr>
      <w:r>
        <w:rPr>
          <w:i/>
          <w:noProof/>
        </w:rPr>
        <w:t>B’mod ġenerali, il-qafas ta’ politika għal ekonomija ċirkolari ġie msaħħaħ mill-2017 ’l hawn. Madankollu, diversi Stati Membri</w:t>
      </w:r>
      <w:r>
        <w:rPr>
          <w:i/>
          <w:noProof/>
        </w:rPr>
        <w:footnoteReference w:id="17"/>
      </w:r>
      <w:r>
        <w:rPr>
          <w:i/>
          <w:noProof/>
        </w:rPr>
        <w:t xml:space="preserve"> jenħtieġ li jimplimentaw aħjar il-prinċipji tal-ekonomija ċirkolari f’oqsma differenti, pereżempju fir-rigward tal-iffrankar tal-ilma u l-enerġija, il-prevenzjoni tal-iskart, ir-riċiklaġġ tal-materjali, il-promozzjoni tal-użu mill-ġdid u t-tiswija, u l-użu ta’ materja prima sekondarja.</w:t>
      </w:r>
    </w:p>
    <w:p>
      <w:pPr>
        <w:numPr>
          <w:ilvl w:val="0"/>
          <w:numId w:val="3"/>
        </w:numPr>
        <w:spacing w:after="200" w:line="240" w:lineRule="auto"/>
        <w:rPr>
          <w:rFonts w:cs="Times New Roman"/>
          <w:b/>
          <w:bCs/>
          <w:i/>
          <w:iCs/>
          <w:noProof/>
        </w:rPr>
      </w:pPr>
      <w:r>
        <w:rPr>
          <w:i/>
          <w:noProof/>
        </w:rPr>
        <w:t>Xi Stati Membri</w:t>
      </w:r>
      <w:r>
        <w:rPr>
          <w:i/>
          <w:noProof/>
        </w:rPr>
        <w:footnoteReference w:id="18"/>
      </w:r>
      <w:r>
        <w:rPr>
          <w:i/>
          <w:noProof/>
        </w:rPr>
        <w:t xml:space="preserve"> jenħtieġ li jinċentivaw aktar miżuri dwar l-effiċjenza fir-riżorsi; itejbu l-prestazzjoni tagħhom fl-ekoinnovazzjoni; iżidu s-sensibilizzazzjoni u jippromwovu l-użu ta’ strumenti volontarji bħall-Ekotikketta u l-Iskemi ta’ Ekoġestjoni u Awditjar tal-UE; iżidu r-riċiklaġġ u l-miżuri ċirkolari fis-settur tal-SMEs; u/jew jiffaċilitaw l-investimenti ekoloġiċi u jħaffu l-aċċess għall-finanzjament. </w:t>
      </w:r>
    </w:p>
    <w:p>
      <w:pPr>
        <w:numPr>
          <w:ilvl w:val="0"/>
          <w:numId w:val="3"/>
        </w:numPr>
        <w:spacing w:line="240" w:lineRule="auto"/>
        <w:ind w:left="357" w:hanging="357"/>
        <w:rPr>
          <w:rFonts w:cs="Times New Roman"/>
          <w:i/>
          <w:iCs/>
          <w:noProof/>
        </w:rPr>
      </w:pPr>
      <w:r>
        <w:rPr>
          <w:i/>
          <w:noProof/>
        </w:rPr>
        <w:t>Il-prevenzjoni tal-iskart tibqa’ sfida importanti fl-Istati Membri kollha, inklużi dawk b’rati għoljin ta’ riċiklaġġ. Sitt Stati Membri jipproduċu mill-anqas id-doppju ta’ skart muniċipali għal kull abitant mill-Istat Membru bl-anqas ġenerazzjoni ta’ skart</w:t>
      </w:r>
      <w:r>
        <w:rPr>
          <w:i/>
          <w:noProof/>
        </w:rPr>
        <w:footnoteReference w:id="19"/>
      </w:r>
      <w:r>
        <w:rPr>
          <w:i/>
          <w:noProof/>
        </w:rPr>
        <w:t>. Barra minn hekk, il-ġenerazzjoni medja ta’ skart muniċipali fl-UE żdiedet mill-2014 ’l hawn: disa’ Stati Membri biss naqqsu l-ġenerazzjoni per capita tagħhom bejn l-2014 u l-2016</w:t>
      </w:r>
      <w:r>
        <w:rPr>
          <w:i/>
          <w:noProof/>
        </w:rPr>
        <w:footnoteReference w:id="20"/>
      </w:r>
      <w:r>
        <w:rPr>
          <w:i/>
          <w:noProof/>
        </w:rPr>
        <w:t>.</w:t>
      </w:r>
    </w:p>
    <w:p>
      <w:pPr>
        <w:numPr>
          <w:ilvl w:val="0"/>
          <w:numId w:val="3"/>
        </w:numPr>
        <w:spacing w:line="240" w:lineRule="auto"/>
        <w:ind w:left="357" w:hanging="357"/>
        <w:rPr>
          <w:rFonts w:cs="Times New Roman"/>
          <w:i/>
          <w:iCs/>
          <w:noProof/>
        </w:rPr>
      </w:pPr>
      <w:r>
        <w:rPr>
          <w:i/>
          <w:noProof/>
        </w:rPr>
        <w:t>Skont id-data rrappurtata lill-Kummissjoni, ftit Stati Membri biss diġà laħqu l-mira ta’ 50 % riċiklaġġ tal-iskart muniċipali sal-2020</w:t>
      </w:r>
      <w:r>
        <w:rPr>
          <w:i/>
          <w:noProof/>
        </w:rPr>
        <w:footnoteReference w:id="21"/>
      </w:r>
      <w:r>
        <w:rPr>
          <w:i/>
          <w:noProof/>
        </w:rPr>
        <w:t>, filwaqt li diversi Stati Membri ġew identifikati bħala f’riskju li ma jilħquhiex</w:t>
      </w:r>
      <w:r>
        <w:rPr>
          <w:i/>
          <w:noProof/>
          <w:vertAlign w:val="superscript"/>
        </w:rPr>
        <w:footnoteReference w:id="22"/>
      </w:r>
      <w:r>
        <w:rPr>
          <w:i/>
          <w:noProof/>
        </w:rPr>
        <w:t>. Hemm lok għall-introduzzjoni jew it-titjib tal-politiki, inklużi strumenti ekonomiċi (eż. taxxi fuq il-landfills, skemi ta’ Responsabbiltà Estiża tal-Produttur, Ħallas skont Kemm Tarmi), biex tiġi implimentata aktar il-ġerarkija tal-iskart u l-użu mill-ġdid u r-riċiklaġġ isiru aktar attraenti ekonomikament.</w:t>
      </w:r>
    </w:p>
    <w:tbl>
      <w:tblPr>
        <w:tblStyle w:val="TableGrid"/>
        <w:tblpPr w:leftFromText="180" w:rightFromText="180" w:vertAnchor="text" w:horzAnchor="margin" w:tblpY="1935"/>
        <w:tblW w:w="0" w:type="auto"/>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noProof/>
              </w:rPr>
            </w:pPr>
            <w:r>
              <w:rPr>
                <w:b/>
                <w:noProof/>
              </w:rPr>
              <w:t xml:space="preserve">Prattiki li rnexxew: </w:t>
            </w:r>
          </w:p>
          <w:p>
            <w:pPr>
              <w:rPr>
                <w:rFonts w:eastAsia="Calibri" w:cs="Times New Roman"/>
                <w:noProof/>
              </w:rPr>
            </w:pPr>
            <w:r>
              <w:rPr>
                <w:noProof/>
              </w:rPr>
              <w:t>Is-</w:t>
            </w:r>
            <w:r>
              <w:rPr>
                <w:b/>
                <w:noProof/>
              </w:rPr>
              <w:t>Slovenja</w:t>
            </w:r>
            <w:r>
              <w:rPr>
                <w:noProof/>
              </w:rPr>
              <w:t xml:space="preserve"> turi li l-politiki tal-ekonomija ċirkolari u t-titjib fl-immaniġġjar tal-iskart jistgħu jsiru fi żminijiet qosra. Strateġija komprensiva dwar iċ-ċirkolarità stimulat il-ġbir separat u r-riċiklaġġ, bil-għajnuna ta’ fondi tal-UE. </w:t>
            </w:r>
          </w:p>
          <w:p>
            <w:pPr>
              <w:spacing w:after="200" w:line="240" w:lineRule="auto"/>
              <w:rPr>
                <w:rFonts w:cs="Times New Roman"/>
                <w:noProof/>
              </w:rPr>
            </w:pPr>
            <w:r>
              <w:rPr>
                <w:noProof/>
              </w:rPr>
              <w:t>Id-</w:t>
            </w:r>
            <w:r>
              <w:rPr>
                <w:b/>
                <w:noProof/>
              </w:rPr>
              <w:t xml:space="preserve">Danimarka </w:t>
            </w:r>
            <w:r>
              <w:rPr>
                <w:noProof/>
              </w:rPr>
              <w:t>tipprovdi eżempju tajjeb ta’ kooperazzjoni miftuħa tul il-ktajjen tal-valur u l-innovazzjoni biex tiġi promossa l-ekonomija ċirkolari. Il-perċentwal tal-SMEs li joffru prodotti jew servizzi ekoloġiċi huwa konsiderevolment ogħla mill-medja tal-UE.</w:t>
            </w:r>
          </w:p>
          <w:p>
            <w:pPr>
              <w:spacing w:after="200" w:line="240" w:lineRule="auto"/>
              <w:rPr>
                <w:rFonts w:cs="Times New Roman"/>
                <w:noProof/>
              </w:rPr>
            </w:pPr>
            <w:r>
              <w:rPr>
                <w:b/>
                <w:noProof/>
              </w:rPr>
              <w:t>Franza</w:t>
            </w:r>
            <w:r>
              <w:rPr>
                <w:noProof/>
              </w:rPr>
              <w:t xml:space="preserve"> adottat pjan direzzjonali ambizzjuż għall-ekonomija ċirkolari</w:t>
            </w:r>
            <w:r>
              <w:rPr>
                <w:noProof/>
              </w:rPr>
              <w:footnoteReference w:id="23"/>
            </w:r>
            <w:r>
              <w:rPr>
                <w:noProof/>
              </w:rPr>
              <w:t xml:space="preserve"> fl-2018, b’azzjonijiet immirati sabiex inaqqsu l-użu tar-riżorsi bi 30 % sal-2030. Hija introduċiet mira ambizzjuża ta’ 100 % riċiklaġġ għall-plastik sal-2025, bi stima li jinħolqu 300 000 impjieg ekoloġiku ġdid. </w:t>
            </w:r>
          </w:p>
        </w:tc>
      </w:tr>
    </w:tbl>
    <w:p>
      <w:pPr>
        <w:numPr>
          <w:ilvl w:val="0"/>
          <w:numId w:val="3"/>
        </w:numPr>
        <w:spacing w:line="240" w:lineRule="auto"/>
        <w:ind w:left="357" w:hanging="357"/>
        <w:rPr>
          <w:rFonts w:cs="Times New Roman"/>
          <w:noProof/>
        </w:rPr>
      </w:pPr>
      <w:r>
        <w:rPr>
          <w:i/>
          <w:noProof/>
        </w:rPr>
        <w:t>Bosta Stati Membri</w:t>
      </w:r>
      <w:r>
        <w:rPr>
          <w:i/>
          <w:noProof/>
        </w:rPr>
        <w:footnoteReference w:id="24"/>
      </w:r>
      <w:r>
        <w:rPr>
          <w:i/>
          <w:noProof/>
        </w:rPr>
        <w:t xml:space="preserve"> jeħtieġ li jżidu l-effettività tal-ġbir tal-iskart separat, li huwa prerekwiżit għat-titjib tar-riċiklaġġ fir-rigward tal-kwantità u/jew tal-kwalità. Kwistjoni oħra hija l-inċinerazzjoni jew ir-rimi f’landfill ta’ skart riċiklabbli. Kważi l-Istati Membri kollha huma mħeġġa jimplimentaw miżuri ġodda mmirati sabiex jaqilbu l-iskart li jista’ jerġa’ jintuża u riċiklabbli mill-inċinerazzjoni u r-rimi f’landfill, u biex itejbu u jestendu s-sistemi tal-ġbir separat tagħhom.</w:t>
      </w:r>
      <w:r>
        <w:rPr>
          <w:noProof/>
        </w:rPr>
        <w:t xml:space="preserve"> </w:t>
      </w:r>
      <w:r>
        <w:rPr>
          <w:i/>
          <w:noProof/>
        </w:rPr>
        <w:t>L-għadd ta’ landfills mhux konformi mar-rekwiżiti tad-Direttiva dwar il-Landfills</w:t>
      </w:r>
      <w:r>
        <w:rPr>
          <w:i/>
          <w:noProof/>
        </w:rPr>
        <w:footnoteReference w:id="25"/>
      </w:r>
      <w:r>
        <w:rPr>
          <w:i/>
          <w:noProof/>
        </w:rPr>
        <w:t xml:space="preserve"> jibqa’ materja ta’ tħassib. </w:t>
      </w:r>
    </w:p>
    <w:p>
      <w:pPr>
        <w:pStyle w:val="ListParagraph"/>
        <w:numPr>
          <w:ilvl w:val="1"/>
          <w:numId w:val="5"/>
        </w:numPr>
        <w:spacing w:before="240" w:line="240" w:lineRule="auto"/>
        <w:rPr>
          <w:rFonts w:cs="Times New Roman"/>
          <w:b/>
          <w:bCs/>
          <w:noProof/>
          <w:sz w:val="24"/>
          <w:szCs w:val="24"/>
        </w:rPr>
      </w:pPr>
      <w:r>
        <w:rPr>
          <w:b/>
          <w:noProof/>
          <w:sz w:val="24"/>
        </w:rPr>
        <w:t>It-tibdil fil-klima u l-ambjent</w:t>
      </w:r>
    </w:p>
    <w:p>
      <w:pPr>
        <w:spacing w:before="240" w:line="240" w:lineRule="auto"/>
        <w:rPr>
          <w:rFonts w:cs="Times New Roman"/>
          <w:noProof/>
        </w:rPr>
      </w:pPr>
      <w:r>
        <w:rPr>
          <w:noProof/>
        </w:rPr>
        <w:t>Bosta ekosistemi, u xi wħud mis-servizzi li jipprovdu, diġà nbidlu minħabba t-tibdil fil-klima</w:t>
      </w:r>
      <w:r>
        <w:rPr>
          <w:noProof/>
        </w:rPr>
        <w:footnoteReference w:id="26"/>
      </w:r>
      <w:r>
        <w:rPr>
          <w:noProof/>
        </w:rPr>
        <w:t xml:space="preserve"> u qegħdin f’aktar riskju minħabba l-kundizzjonijiet klimatiċi li qegħdin jinbidlu.</w:t>
      </w:r>
    </w:p>
    <w:p>
      <w:pPr>
        <w:spacing w:line="240" w:lineRule="auto"/>
        <w:rPr>
          <w:rFonts w:cs="Times New Roman"/>
          <w:noProof/>
        </w:rPr>
      </w:pPr>
      <w:r>
        <w:rPr>
          <w:noProof/>
        </w:rPr>
        <w:t>L-azzjoni klimatika hija essenzjali biex jiġu indirizzati bosta sfidi ambjentali bħat-tniġġis tal-arja, il-bijodiversità, l-ilma jew l-ispeċijiet invażivi, fost oħrajn. Mill-banda l-oħra, it-teħid ta’ azzjoni f’bosta oqsma ambjentali jista’ jkollu benefiċċju dirett fuq il-klima; fost l-oħrajn, fuq l-agrikoltura u l-użu tal-art, l-iskart jew it-tniġġis tal-arja. Il-viżjoni strateġika fit-tul tal-Kummissjoni għal ekonomija għanja, moderna, kompetittiva u newtrali għall-klima</w:t>
      </w:r>
      <w:r>
        <w:rPr>
          <w:noProof/>
        </w:rPr>
        <w:footnoteReference w:id="27"/>
      </w:r>
      <w:r>
        <w:rPr>
          <w:noProof/>
        </w:rPr>
        <w:t xml:space="preserve"> tikkonferma l-impenn tal-Ewropa biex tmexxi l-azzjoni klimatika globali u tippreżenta viżjoni li tista’ twassal għall-kisba ta’ emissjonijiet ta’ gass serra żero netti sal-2050.</w:t>
      </w:r>
    </w:p>
    <w:p>
      <w:pPr>
        <w:rPr>
          <w:rFonts w:cs="Times New Roman"/>
          <w:noProof/>
        </w:rPr>
      </w:pPr>
      <w:r>
        <w:rPr>
          <w:noProof/>
        </w:rPr>
        <w:t>Fl-2018, l-UE adottat leġiżlazzjoni li għandha l-għan li tnaqqas l-emissjonijiet tal-gassijiet b’effett ta’ serra b’mill-anqas 40 % sal-2030, meta mqabbel mal-1990</w:t>
      </w:r>
      <w:r>
        <w:rPr>
          <w:noProof/>
        </w:rPr>
        <w:footnoteReference w:id="28"/>
      </w:r>
      <w:r>
        <w:rPr>
          <w:noProof/>
        </w:rPr>
        <w:t xml:space="preserve">. Għall-ewwel darba, il-qafas tal-UE jkopri kemm l-emissjonijiet kif ukoll it-tneħħija mill-art. Hija żiedet ukoll il-livell ta’ ambizzjoni dwar l-enerġija rinnovabbli u l-effiċjenza enerġetika. Meta l-leġiżlazzjoni maqbula tal-UE tiġi implimentata b’mod sħiħ, it-tnaqqis fl-emissjonijiet tal-UE huwa stmat li jlaħħaq madwar 45 % sal-2030. </w:t>
      </w:r>
    </w:p>
    <w:p>
      <w:pPr>
        <w:spacing w:line="240" w:lineRule="auto"/>
        <w:rPr>
          <w:rFonts w:cs="Times New Roman"/>
          <w:noProof/>
        </w:rPr>
      </w:pPr>
      <w:r>
        <w:rPr>
          <w:noProof/>
        </w:rPr>
        <w:t xml:space="preserve">Sal-aħħar tal-2018, l-Istati Membri kellhom jissottomettu l-abbozzi ta’ pjanijiet nazzjonali tagħhom dwar l-enerġija u l-klima, jaħdmu fuq l-abbozzi ta’ programmi nazzjonali tagħhom għall-kontroll tat-tniġġis tal-arja u fuq il-pjanijiet tagħhom għall-kontabilità tal-emissjonijiet tal-gassijiet b’effett ta’ serra u t-tneħħija mill-użu tal-art, it-tibdil fl-użu tal-art u l-forestrija. Dawn il-pjanijiet huma mistennija li jżidu l-konsistenza bejn il-politiki dwar il-klima, l-arja u l-enerġija u għalhekk jistgħu jsiru eżempji tajbin ta’ kif jintrabtu politiki speċifiċi għas-settur, bħall-agrikoltura-natura-ilma u t-trasport-arja-saħħa, biex jiġu indirizzati sfidi komuni. </w:t>
      </w:r>
    </w:p>
    <w:p>
      <w:pPr>
        <w:rPr>
          <w:rFonts w:cs="Times New Roman"/>
          <w:noProof/>
        </w:rPr>
      </w:pPr>
      <w:r>
        <w:rPr>
          <w:noProof/>
        </w:rPr>
        <w:t>L-approċċ tal-Kummissjoni għall-adattament għat-tibdil fil-klima għandu l-għan li jikkontribwixxi għal Ewropa aktar reżiljenti għall-klima permezz ta’ tħejjija aħjar u kapaċità aktar b’saħħitha ta’ risposta għall-impatti tat-tibdil fil-klima fil-livell lokali, reġjonali, nazzjonali u tal-UE. Il-Kummissjoni evalwat l-istrateġija ta’ adattament tal-UE tal-2013 fejn issuġġeriet oqsma fejn jeħtieġ li jsir aktar xogħol biex jiġu ppreparati r-reġjuni u s-setturi vulnerabbli</w:t>
      </w:r>
      <w:r>
        <w:rPr>
          <w:noProof/>
        </w:rPr>
        <w:footnoteReference w:id="29"/>
      </w:r>
      <w:r>
        <w:rPr>
          <w:noProof/>
        </w:rPr>
        <w:t>. Huma meħtieġa sinerġiji bejn l-adattament, l-iżvilupp sostenibbli u l-isforzi għat-tnaqqis tar-riskju ta’ diżastri biex tiġi evitata l-ħsara fil-ġejjieni.</w:t>
      </w:r>
    </w:p>
    <w:p>
      <w:pPr>
        <w:rPr>
          <w:rFonts w:cs="Times New Roman"/>
          <w:noProof/>
        </w:rPr>
      </w:pPr>
      <w:r>
        <w:rPr>
          <w:noProof/>
        </w:rPr>
        <w:t>B’mod ġenerali, l-Istati Membri għamlu progress tajjeb biex jiżviluppaw strateġija ta’ adattament Nazzjonali u/jew pjan ta’ adattament Nazzjonali. Dan il-progress jissuġġerixxi li hemm linja bażi konsiderevolment aktar għolja ta’ tħejjija u ta’ tiswir tal-politika ta’ adattament milli fl-2013. L-għanijiet ta’ adattament għandhom jiġu inklużi wkoll fil-pjanijiet nazzjonali dwar l-enerġija u l-klima fil-qafas ta’ governanza tal-unjoni tal-enerġija</w:t>
      </w:r>
      <w:r>
        <w:rPr>
          <w:noProof/>
        </w:rPr>
        <w:footnoteReference w:id="30"/>
      </w:r>
      <w:r>
        <w:rPr>
          <w:noProof/>
        </w:rPr>
        <w:t>.</w:t>
      </w:r>
    </w:p>
    <w:p>
      <w:pPr>
        <w:spacing w:after="200" w:line="240" w:lineRule="auto"/>
        <w:jc w:val="left"/>
        <w:rPr>
          <w:rFonts w:cs="Times New Roman"/>
          <w:i/>
          <w:iCs/>
          <w:noProof/>
        </w:rPr>
      </w:pPr>
      <w:r>
        <w:rPr>
          <w:i/>
          <w:noProof/>
        </w:rPr>
        <w:t>Sejbiet ta' politika:</w:t>
      </w:r>
    </w:p>
    <w:p>
      <w:pPr>
        <w:numPr>
          <w:ilvl w:val="0"/>
          <w:numId w:val="3"/>
        </w:numPr>
        <w:spacing w:line="240" w:lineRule="auto"/>
        <w:ind w:left="357" w:hanging="357"/>
        <w:rPr>
          <w:rFonts w:cs="Times New Roman"/>
          <w:i/>
          <w:iCs/>
          <w:noProof/>
        </w:rPr>
      </w:pPr>
      <w:r>
        <w:rPr>
          <w:i/>
          <w:noProof/>
        </w:rPr>
        <w:t xml:space="preserve">B’mod ġenerali, hemm livell tajjeb ta’ implimentazzjoni tal-leġiżlazzjoni klimatika fl-UE u għalhekk il-miri għall-2020 huma probabbli li jintlaħqu. </w:t>
      </w:r>
    </w:p>
    <w:p>
      <w:pPr>
        <w:numPr>
          <w:ilvl w:val="0"/>
          <w:numId w:val="3"/>
        </w:numPr>
        <w:spacing w:line="240" w:lineRule="auto"/>
        <w:ind w:left="357" w:hanging="357"/>
        <w:rPr>
          <w:rFonts w:cs="Times New Roman"/>
          <w:i/>
          <w:iCs/>
          <w:noProof/>
        </w:rPr>
      </w:pPr>
      <w:r>
        <w:rPr>
          <w:i/>
          <w:noProof/>
        </w:rPr>
        <w:t>L-Istati Membri kollha kkonformaw mal-obbligi tagħhom skont id-Deċiżjoni dwar il-Kondiviżjoni tal-Isforzi fil-perjodu 2013-2015. Xi Stati Membri</w:t>
      </w:r>
      <w:r>
        <w:rPr>
          <w:i/>
          <w:noProof/>
        </w:rPr>
        <w:footnoteReference w:id="31"/>
      </w:r>
      <w:r>
        <w:rPr>
          <w:i/>
          <w:noProof/>
        </w:rPr>
        <w:t xml:space="preserve"> jeħtieġ li jimmobilizzaw il-mekkaniżmi ta’ flessibbiltà previsti fil-leġiżlazzjoni sabiex jikkonformaw mal-obbligi attwali tagħhom. </w:t>
      </w:r>
    </w:p>
    <w:p>
      <w:pPr>
        <w:numPr>
          <w:ilvl w:val="0"/>
          <w:numId w:val="3"/>
        </w:numPr>
        <w:spacing w:line="240" w:lineRule="auto"/>
        <w:ind w:left="357" w:hanging="357"/>
        <w:rPr>
          <w:rFonts w:cs="Times New Roman"/>
          <w:i/>
          <w:iCs/>
          <w:noProof/>
        </w:rPr>
      </w:pPr>
      <w:r>
        <w:rPr>
          <w:i/>
          <w:noProof/>
        </w:rPr>
        <w:t xml:space="preserve">L-EU ETS għandha rata għolja ħafna ta’ konformità, billi kull sena l-installazzjonijiet ikopru madwar 99 % tal-emissjonijiet tagħhom bl-għadd meħtieġ ta’ kwoti ta’ emissjonijiet. </w:t>
      </w:r>
    </w:p>
    <w:p>
      <w:pPr>
        <w:numPr>
          <w:ilvl w:val="0"/>
          <w:numId w:val="3"/>
        </w:numPr>
        <w:spacing w:line="240" w:lineRule="auto"/>
        <w:ind w:left="357" w:hanging="357"/>
        <w:rPr>
          <w:rFonts w:cs="Times New Roman"/>
          <w:noProof/>
        </w:rPr>
      </w:pPr>
      <w:r>
        <w:rPr>
          <w:i/>
          <w:noProof/>
        </w:rPr>
        <w:t>Sa Ottubru 2018, ħamsa u għoxrin Stat Membru</w:t>
      </w:r>
      <w:r>
        <w:rPr>
          <w:i/>
          <w:noProof/>
        </w:rPr>
        <w:footnoteReference w:id="32"/>
      </w:r>
      <w:r>
        <w:rPr>
          <w:i/>
          <w:noProof/>
        </w:rPr>
        <w:t xml:space="preserve"> diġà żviluppaw Strateġiji Nazzjonali ta' Adattament filwaqt li komplew l-isforzi fit-tlieta li fadal biex jiffinalizzaw tagħhom.</w:t>
      </w:r>
    </w:p>
    <w:p>
      <w:pPr>
        <w:numPr>
          <w:ilvl w:val="0"/>
          <w:numId w:val="3"/>
        </w:numPr>
        <w:spacing w:line="240" w:lineRule="auto"/>
        <w:rPr>
          <w:rFonts w:cs="Times New Roman"/>
          <w:noProof/>
        </w:rPr>
      </w:pPr>
      <w:r>
        <w:rPr>
          <w:i/>
          <w:noProof/>
        </w:rPr>
        <w:t>L-isforzi ta’ adattament f’kull Stat Membru u fil-livell tal-UE jeħtieġ li jiġu intensifikati, billi azzjoni xierqa biex jiġi evitat u/jew minimizzat id-dannu li jista’ jiġi kkawżat mit-tibdil fil-klima, għandha benefiċċji ekonomiċi u soċjali sinifikanti.</w:t>
      </w:r>
    </w:p>
    <w:tbl>
      <w:tblPr>
        <w:tblStyle w:val="TableGrid"/>
        <w:tblpPr w:leftFromText="180" w:rightFromText="180" w:vertAnchor="text" w:horzAnchor="margin" w:tblpY="273"/>
        <w:tblOverlap w:val="never"/>
        <w:tblW w:w="9242" w:type="dxa"/>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Prattiki li rnexxew:</w:t>
            </w:r>
          </w:p>
          <w:p>
            <w:pPr>
              <w:spacing w:after="200" w:line="240" w:lineRule="auto"/>
              <w:rPr>
                <w:rFonts w:cs="Times New Roman"/>
                <w:noProof/>
              </w:rPr>
            </w:pPr>
            <w:r>
              <w:rPr>
                <w:noProof/>
              </w:rPr>
              <w:t xml:space="preserve">Skont id-Deċiżjoni dwar il-Kondiviżjoni tal-Isforzi, </w:t>
            </w:r>
            <w:r>
              <w:rPr>
                <w:b/>
                <w:noProof/>
              </w:rPr>
              <w:t xml:space="preserve">l-Iżvezja </w:t>
            </w:r>
            <w:r>
              <w:rPr>
                <w:noProof/>
              </w:rPr>
              <w:t xml:space="preserve">ma użatx l-allokazzjoni sħiħa tagħha u kkanċellat l-allokazzjoni annwali żejda tal-emissjonijiet biex ittejjeb l-integrità ambjentali tas-sistema sħiħa. </w:t>
            </w:r>
          </w:p>
          <w:p>
            <w:pPr>
              <w:rPr>
                <w:rFonts w:cs="Times New Roman"/>
                <w:noProof/>
              </w:rPr>
            </w:pPr>
            <w:r>
              <w:rPr>
                <w:noProof/>
              </w:rPr>
              <w:t>L-Istrateġija tal-UE għar-Reġjun tad-Danubju tpoġġi fokus speċjali fuq l-adattament għal avvenimenti estremi tat-temp u tipprovdi pjattaforma importanti biex tippromwovi l-kooperazzjoni bejn l-</w:t>
            </w:r>
            <w:r>
              <w:rPr>
                <w:b/>
                <w:noProof/>
              </w:rPr>
              <w:t>Awstrija, il-Bulgarija, il-Kroazja, ir-Repubblika Ċeka, il-Ġermanja, l-Ungerija, ir-Rumanija u s-Slovakkja</w:t>
            </w:r>
            <w:r>
              <w:rPr>
                <w:noProof/>
              </w:rPr>
              <w:t xml:space="preserve"> dwar il-monitoraġġ u l-ġestjoni konġunti tal-għargħar</w:t>
            </w:r>
            <w:r>
              <w:rPr>
                <w:noProof/>
              </w:rPr>
              <w:footnoteReference w:id="33"/>
            </w:r>
            <w:r>
              <w:rPr>
                <w:noProof/>
              </w:rPr>
              <w:t xml:space="preserve">. </w:t>
            </w:r>
          </w:p>
          <w:p>
            <w:pPr>
              <w:rPr>
                <w:rFonts w:cs="Times New Roman"/>
                <w:noProof/>
              </w:rPr>
            </w:pPr>
            <w:r>
              <w:rPr>
                <w:noProof/>
              </w:rPr>
              <w:t>Barra minn hekk, hemm fis-seħħ konvenzjonijiet internazzjonali dwar l-Alpi</w:t>
            </w:r>
            <w:r>
              <w:rPr>
                <w:noProof/>
              </w:rPr>
              <w:footnoteReference w:id="34"/>
            </w:r>
            <w:r>
              <w:rPr>
                <w:noProof/>
              </w:rPr>
              <w:t xml:space="preserve"> u l-Karpazji</w:t>
            </w:r>
            <w:r>
              <w:rPr>
                <w:noProof/>
              </w:rPr>
              <w:footnoteReference w:id="35"/>
            </w:r>
            <w:r>
              <w:rPr>
                <w:noProof/>
              </w:rPr>
              <w:t>. Hemm ukoll il-kooperazzjoni transkonfinali ma’ Stati mhux tal-UE dwar kwistjonijiet relatati mal-bijodiversità u l-adattament fit-Tramuntana tal-Ewropa. L-inizjattiva tal-Fennoscandia Green Belt tappoġġa kooperazzjoni konġunta għall-konservazzjoni tan-natura bejn il-</w:t>
            </w:r>
            <w:r>
              <w:rPr>
                <w:b/>
                <w:noProof/>
              </w:rPr>
              <w:t>Finlandja</w:t>
            </w:r>
            <w:r>
              <w:rPr>
                <w:noProof/>
              </w:rPr>
              <w:t xml:space="preserve">, in-Norveġja u r-Russja, fost punti ta’ fokus oħra dwar it-theddidiet għas-servizzi tal-ekosistema mit-tibdil fil-klima. </w:t>
            </w:r>
          </w:p>
        </w:tc>
      </w:tr>
    </w:tbl>
    <w:p>
      <w:pPr>
        <w:pStyle w:val="ListParagraph"/>
        <w:spacing w:before="240"/>
        <w:ind w:left="360"/>
        <w:rPr>
          <w:rFonts w:cs="Times New Roman"/>
          <w:b/>
          <w:bCs/>
          <w:noProof/>
          <w:sz w:val="24"/>
          <w:szCs w:val="24"/>
        </w:rPr>
      </w:pPr>
    </w:p>
    <w:p>
      <w:pPr>
        <w:pStyle w:val="ListParagraph"/>
        <w:numPr>
          <w:ilvl w:val="1"/>
          <w:numId w:val="5"/>
        </w:numPr>
        <w:spacing w:before="240"/>
        <w:rPr>
          <w:rFonts w:cs="Times New Roman"/>
          <w:b/>
          <w:bCs/>
          <w:noProof/>
          <w:sz w:val="24"/>
          <w:szCs w:val="24"/>
        </w:rPr>
      </w:pPr>
      <w:r>
        <w:rPr>
          <w:b/>
          <w:noProof/>
          <w:sz w:val="24"/>
        </w:rPr>
        <w:t xml:space="preserve">Il-protezzjoni, il-konservazzjoni u t-tisħiħ tal-kapital naturali </w:t>
      </w:r>
    </w:p>
    <w:p>
      <w:pPr>
        <w:rPr>
          <w:rFonts w:cs="Times New Roman"/>
          <w:noProof/>
        </w:rPr>
      </w:pPr>
      <w:r>
        <w:rPr>
          <w:noProof/>
        </w:rPr>
        <w:t>In-natura unika u rikka tal-Ewropa għandha valur intrinsiku u hija sors ta’ riżorsi u benefiċċji prezzjużi għaċ-ċittadini u għall-ekonomija. L-UE żviluppat sistema komprensiva ta’ regoli li jkopru l-protezzjoni tan-natura, il-bijodiversità, l-art u l-baħar, li huma fundamentali sabiex tintlaħaq il-mira ewlenija tal-Istrateġija għall-Bijodiversità sal-2020</w:t>
      </w:r>
      <w:r>
        <w:rPr>
          <w:noProof/>
        </w:rPr>
        <w:footnoteReference w:id="36"/>
      </w:r>
      <w:r>
        <w:rPr>
          <w:noProof/>
        </w:rPr>
        <w:t xml:space="preserve">, jiġifieri li jitwaqqaf it-telf tal-bijodiversità u tas-servizzi tal-ekosistema u li jiġu restawrati sa fejn possibbli. </w:t>
      </w:r>
    </w:p>
    <w:p>
      <w:pPr>
        <w:rPr>
          <w:rFonts w:cs="Times New Roman"/>
          <w:noProof/>
        </w:rPr>
      </w:pPr>
      <w:r>
        <w:rPr>
          <w:noProof/>
        </w:rPr>
        <w:t>Il-kisba ta’ status ta’ konservazzjoni favorevoli tal-ispeċijiet u l-ħabitats protetti tirrikjedi l-implimentazzjoni sħiħa tad-Direttivi dwar il-Ħabitats u l-Għasafar</w:t>
      </w:r>
      <w:r>
        <w:rPr>
          <w:noProof/>
        </w:rPr>
        <w:footnoteReference w:id="37"/>
      </w:r>
      <w:r>
        <w:rPr>
          <w:noProof/>
        </w:rPr>
        <w:t>. Il-Pjan ta’ Azzjoni għan-natura, għaċ-ċittadini u għall-ekonomija</w:t>
      </w:r>
      <w:r>
        <w:rPr>
          <w:noProof/>
        </w:rPr>
        <w:footnoteReference w:id="38"/>
      </w:r>
      <w:r>
        <w:rPr>
          <w:noProof/>
        </w:rPr>
        <w:t xml:space="preserve"> għandu l-għan li jtejjeb malajr l-implimentazzjoni prattika tad-Direttivi dwar in-Natura hawn fuq imsemmija u jħaffef il-progress lejn il-mira tal-UE għall-2020 li jitwaqqaf u jitreġġa’ lura t-telfien tal-bijodiversità u tas-servizzi tal-ekosistema</w:t>
      </w:r>
      <w:r>
        <w:rPr>
          <w:rFonts w:eastAsiaTheme="minorEastAsia"/>
          <w:noProof/>
        </w:rPr>
        <w:footnoteReference w:id="39"/>
      </w:r>
      <w:r>
        <w:rPr>
          <w:noProof/>
        </w:rPr>
        <w:t xml:space="preserve">. Kull sitt snin, l-Istati Membri jirrappurtaw dwar il-progress magħmul f’dan ir-rigward u, għalhekk, ma hix disponibbli informazzjoni ġdida għal dan iċ-ċiklu tal-Analiżi tal-Implimentazzjoni Ambjentali. Ir-rappurtar li għandu jsir aktar tard fl-2019 se jkun rifless fir-Rapport tal-Kummissjoni dwar l-Istat tan-Natura fl-2020. </w:t>
      </w:r>
    </w:p>
    <w:p>
      <w:pPr>
        <w:rPr>
          <w:rFonts w:cs="Times New Roman"/>
          <w:noProof/>
        </w:rPr>
      </w:pPr>
      <w:r>
        <w:rPr>
          <w:noProof/>
        </w:rPr>
        <w:t xml:space="preserve">B’mod ġenerali, filwaqt li għad hemm xi lakuni importanti, in-netwerk Natura 2000 kompla jespandi fiż-żoni tal-baħar u l-UE diġà laħqet il-mira ta’ Aichi għall-2020 ta’ 10 % taż-żoni kostali u tal-baħar koperti minn żoni protetti. Sar progress ukoll dwar l-adozzjoni tal-miżuri ta’ konservazzjoni neċessarji, bħall-pjanijiet ta’ ġestjoni tas-siti, għalkemm dawn għadhom ikopru biss 70 % tas-siti Natura 2000. Għad hemm bżonn ta’ sforzi kbar biex tiġi żgurata l-implimentazzjoni – inkluż il-finanzjament- ta’ tali miżuri fuq il-post u l-kisba tal-objettivi ta’ konservazzjoni tagħhom. Dan japplika wkoll għall-miżuri f’xi wħud mir-Reġjuni Ultraperiferiċi u l-Pajjiżi u t-Territorji Extra-Ewropej. </w:t>
      </w:r>
    </w:p>
    <w:p>
      <w:pPr>
        <w:rPr>
          <w:rFonts w:cs="Times New Roman"/>
          <w:noProof/>
        </w:rPr>
      </w:pPr>
      <w:r>
        <w:rPr>
          <w:noProof/>
        </w:rPr>
        <w:br/>
      </w:r>
      <w:r>
        <w:rPr>
          <w:noProof/>
        </w:rPr>
        <w:br/>
        <w:t>L-introduzzjoni u t-tixrid ta’ speċijiet aljeni invażivi tirrappreżenta theddida dejjem tiżdied għall-bijodiversità tal-Ewropa. Ir-Regolament dwar l-ispeċijiet aljeni invażivi jipprovdi sett ta’ miżuri li għandhom jittieħdu fl-UE fir-rigward tal-ispeċijiet inklużi fil-</w:t>
      </w:r>
      <w:hyperlink r:id="rId20">
        <w:r>
          <w:rPr>
            <w:noProof/>
          </w:rPr>
          <w:t>lista ta’ tħassib għall-Unjoni</w:t>
        </w:r>
      </w:hyperlink>
      <w:r>
        <w:rPr>
          <w:noProof/>
        </w:rPr>
        <w:footnoteReference w:id="40"/>
      </w:r>
      <w:r>
        <w:rPr>
          <w:noProof/>
        </w:rPr>
        <w:t xml:space="preserve">. </w:t>
      </w:r>
    </w:p>
    <w:p>
      <w:pPr>
        <w:rPr>
          <w:rFonts w:cs="Times New Roman"/>
          <w:noProof/>
        </w:rPr>
      </w:pPr>
      <w:r>
        <w:rPr>
          <w:noProof/>
        </w:rPr>
        <w:t xml:space="preserve">L-informazzjoni disponibbli tindika li l-ekosistemi tal-baħar u tal-art kif ukoll il-ħamrija għadhom affettwati minn diversi pressjonijiet, li jvarjaw minn prattiki agrikoli mhux xierqa, l-abbandun tal-art, it-tibdil fil-klima, l-iżvilupp infrastrutturali, it-tifrix urban, it-tniġġis tal-arja, tal-ħamrija u tal-ilma, għall-pressjonijiet dejjem jiżdiedu minn speċijiet aljeni invażivi. Biex tiġi indirizzata firxa daqstant wiesgħa ta’ pressjonijiet hemm bżonn, fost l-oħrajn, l-integrazzjoni effettiva tal-objettivi relatati mal-bijodiversità f’politiki oħra, speċjalment dawk relatati mal-finanzjament, u l-promozzjoni tad-djalogu bejn l-atturi. </w:t>
      </w:r>
    </w:p>
    <w:p>
      <w:pPr>
        <w:spacing w:after="200" w:line="276" w:lineRule="auto"/>
        <w:jc w:val="left"/>
        <w:rPr>
          <w:rFonts w:cs="Times New Roman"/>
          <w:i/>
          <w:iCs/>
          <w:noProof/>
        </w:rPr>
      </w:pPr>
      <w:r>
        <w:rPr>
          <w:i/>
          <w:noProof/>
        </w:rPr>
        <w:t>Sejbiet ta' politika:</w:t>
      </w:r>
    </w:p>
    <w:p>
      <w:pPr>
        <w:numPr>
          <w:ilvl w:val="0"/>
          <w:numId w:val="3"/>
        </w:numPr>
        <w:spacing w:line="240" w:lineRule="auto"/>
        <w:ind w:left="357" w:hanging="357"/>
        <w:rPr>
          <w:rFonts w:cs="Times New Roman"/>
          <w:i/>
          <w:iCs/>
          <w:noProof/>
        </w:rPr>
      </w:pPr>
      <w:r>
        <w:rPr>
          <w:i/>
          <w:noProof/>
        </w:rPr>
        <w:t xml:space="preserve">Id-diskrepanzi sinifikanti fl-implimentazzjoni, fl-infurzar, fil-finanzjament u fl-integrazzjoni tal-politiki qed jaffettwaw l-isforzi biex jiġu protetti l-ekosistemi Ewropej. Il-bijodiversità għadha tintilef fl-UE, anki jekk inkiseb xi progress fil-livell lokali. </w:t>
      </w:r>
    </w:p>
    <w:p>
      <w:pPr>
        <w:numPr>
          <w:ilvl w:val="0"/>
          <w:numId w:val="3"/>
        </w:numPr>
        <w:spacing w:line="240" w:lineRule="auto"/>
        <w:ind w:left="357" w:hanging="357"/>
        <w:rPr>
          <w:rFonts w:cs="Times New Roman"/>
          <w:i/>
          <w:iCs/>
          <w:noProof/>
        </w:rPr>
      </w:pPr>
      <w:r>
        <w:rPr>
          <w:i/>
          <w:noProof/>
        </w:rPr>
        <w:t>Minkejja xi progress mill-2017 ’l hawn fir-rigward tat-tlestija u l-ġestjoni ta’ Natura 2000, il-biċċa l-kbira tal-Istati Membri</w:t>
      </w:r>
      <w:r>
        <w:rPr>
          <w:i/>
          <w:noProof/>
          <w:vertAlign w:val="superscript"/>
        </w:rPr>
        <w:footnoteReference w:id="41"/>
      </w:r>
      <w:r>
        <w:rPr>
          <w:i/>
          <w:noProof/>
        </w:rPr>
        <w:t xml:space="preserve"> jridu jħaffu l-isforzi għat-tlestija tan-netwerks tagħhom, speċjalment fl-ambjent tal-baħar, u jlestu l-proċess ta’ deżinjazzjoni ta’ żoni speċjali ta’ konservazzjoni filwaqt li jiżviluppaw u jimplimentaw miżuri ta’ konservazzjoni aktar effettivi. Xi Stati Membri</w:t>
      </w:r>
      <w:r>
        <w:rPr>
          <w:noProof/>
          <w:vertAlign w:val="superscript"/>
        </w:rPr>
        <w:footnoteReference w:id="42"/>
      </w:r>
      <w:r>
        <w:rPr>
          <w:i/>
          <w:noProof/>
        </w:rPr>
        <w:t xml:space="preserve"> jenħtieġ li jiżviluppaw u jippromwovu wkoll approċċi aktar intelliġenti u aktar simplifikati għall-implimentazzjoni sabiex jiżguraw il-konformità. Hemm bżonn ta’ kapaċità aħjar fl-amministrazzjonijiet nazzjonali u ta’ finanzjament adegwat biex jiġi evitat id-deterjorament u tiġi żgurata ġestjoni tajba tas-siti Natura 2000</w:t>
      </w:r>
      <w:r>
        <w:rPr>
          <w:i/>
          <w:noProof/>
        </w:rPr>
        <w:footnoteReference w:id="43"/>
      </w:r>
      <w:r>
        <w:rPr>
          <w:i/>
          <w:noProof/>
        </w:rPr>
        <w:t>.</w:t>
      </w:r>
    </w:p>
    <w:p>
      <w:pPr>
        <w:numPr>
          <w:ilvl w:val="0"/>
          <w:numId w:val="3"/>
        </w:numPr>
        <w:spacing w:line="240" w:lineRule="auto"/>
        <w:ind w:left="357" w:hanging="357"/>
        <w:rPr>
          <w:rFonts w:cs="Times New Roman"/>
          <w:i/>
          <w:iCs/>
          <w:noProof/>
        </w:rPr>
      </w:pPr>
      <w:r>
        <w:rPr>
          <w:i/>
          <w:noProof/>
        </w:rPr>
        <w:t>L-immappjar tal-ekosistemi u tas-servizzi tagħhom b’mod ġenerali tjieb mill-2017 ’l hawn, iżda xi Stati Membri</w:t>
      </w:r>
      <w:r>
        <w:rPr>
          <w:i/>
          <w:noProof/>
        </w:rPr>
        <w:footnoteReference w:id="44"/>
      </w:r>
      <w:r>
        <w:rPr>
          <w:i/>
          <w:noProof/>
        </w:rPr>
        <w:t xml:space="preserve"> għadhom lura. </w:t>
      </w:r>
    </w:p>
    <w:p>
      <w:pPr>
        <w:numPr>
          <w:ilvl w:val="0"/>
          <w:numId w:val="3"/>
        </w:numPr>
        <w:spacing w:line="240" w:lineRule="auto"/>
        <w:ind w:left="357" w:hanging="357"/>
        <w:rPr>
          <w:rFonts w:eastAsia="Times New Roman,Calibri" w:cs="Times New Roman"/>
          <w:i/>
          <w:iCs/>
          <w:noProof/>
        </w:rPr>
      </w:pPr>
      <w:r>
        <w:rPr>
          <w:i/>
          <w:noProof/>
        </w:rPr>
        <w:t>Xi Stati Membri</w:t>
      </w:r>
      <w:r>
        <w:rPr>
          <w:i/>
          <w:noProof/>
        </w:rPr>
        <w:footnoteReference w:id="45"/>
      </w:r>
      <w:r>
        <w:rPr>
          <w:i/>
          <w:noProof/>
        </w:rPr>
        <w:t xml:space="preserve"> jenħtieġ li jtejbu l-protezzjoni tagħhom tal-ħabitats forestali u tal-bwar permezz ta’ inċentivi għall-forestiera u l-bdiewa, skont l-Istrateġija tal-UE għall-Foresti tal-2013</w:t>
      </w:r>
      <w:r>
        <w:rPr>
          <w:i/>
          <w:noProof/>
        </w:rPr>
        <w:footnoteReference w:id="46"/>
      </w:r>
      <w:r>
        <w:rPr>
          <w:i/>
          <w:noProof/>
        </w:rPr>
        <w:t>. Il-ġestjoni sostenibbli tal-foresti u l-użu effiċjenti tal-bijomassa huma fundamentali għal użu sostenibbli tar-riżorsi naturali.</w:t>
      </w:r>
    </w:p>
    <w:p>
      <w:pPr>
        <w:numPr>
          <w:ilvl w:val="0"/>
          <w:numId w:val="3"/>
        </w:numPr>
        <w:spacing w:line="240" w:lineRule="auto"/>
        <w:ind w:left="357" w:hanging="357"/>
        <w:rPr>
          <w:rFonts w:eastAsia="Times New Roman,Calibri" w:cs="Times New Roman"/>
          <w:i/>
          <w:iCs/>
          <w:noProof/>
        </w:rPr>
      </w:pPr>
      <w:r>
        <w:rPr>
          <w:i/>
          <w:noProof/>
        </w:rPr>
        <w:t>Xi Stati Membri</w:t>
      </w:r>
      <w:r>
        <w:rPr>
          <w:i/>
          <w:noProof/>
          <w:vertAlign w:val="superscript"/>
        </w:rPr>
        <w:footnoteReference w:id="47"/>
      </w:r>
      <w:r>
        <w:rPr>
          <w:i/>
          <w:noProof/>
        </w:rPr>
        <w:t xml:space="preserve"> ma adottawx leġiżlazzjoni nazzjonali biex jikkonformaw mar-Regolament dwar l-ispeċijiet aljeni invażivi u/jew naqsu milli jinnotifikaw fil-ħin il-miżuri ta' eradikazzjoni lill-Kummissjoni</w:t>
      </w:r>
      <w:r>
        <w:rPr>
          <w:i/>
          <w:noProof/>
          <w:vertAlign w:val="superscript"/>
        </w:rPr>
        <w:footnoteReference w:id="48"/>
      </w:r>
      <w:r>
        <w:rPr>
          <w:i/>
          <w:noProof/>
        </w:rPr>
        <w:t xml:space="preserve">. </w:t>
      </w:r>
    </w:p>
    <w:p>
      <w:pPr>
        <w:numPr>
          <w:ilvl w:val="0"/>
          <w:numId w:val="3"/>
        </w:numPr>
        <w:spacing w:line="240" w:lineRule="auto"/>
        <w:rPr>
          <w:rFonts w:eastAsia="Times New Roman,Calibri" w:cs="Times New Roman"/>
          <w:i/>
          <w:iCs/>
          <w:noProof/>
        </w:rPr>
      </w:pPr>
      <w:r>
        <w:rPr>
          <w:i/>
          <w:noProof/>
        </w:rPr>
        <w:t>Id-data, il-monitoraġġ u r-rappurtar insuffiċjenti qed jaffettwaw l-evalwazzjoni tal-miżuri protettivi għaż-żoni tal-baħar. Xi pajjiżi</w:t>
      </w:r>
      <w:r>
        <w:rPr>
          <w:i/>
          <w:noProof/>
          <w:vertAlign w:val="superscript"/>
        </w:rPr>
        <w:footnoteReference w:id="49"/>
      </w:r>
      <w:r>
        <w:rPr>
          <w:i/>
          <w:noProof/>
        </w:rPr>
        <w:t xml:space="preserve"> naqsu milli jirrappurtaw fil-ħin</w:t>
      </w:r>
      <w:r>
        <w:rPr>
          <w:i/>
          <w:noProof/>
        </w:rPr>
        <w:footnoteReference w:id="50"/>
      </w:r>
      <w:r>
        <w:rPr>
          <w:i/>
          <w:noProof/>
        </w:rPr>
        <w:t>, filwaqt li bosta oħrajn</w:t>
      </w:r>
      <w:r>
        <w:rPr>
          <w:i/>
          <w:noProof/>
          <w:vertAlign w:val="superscript"/>
        </w:rPr>
        <w:footnoteReference w:id="51"/>
      </w:r>
      <w:r>
        <w:rPr>
          <w:i/>
          <w:noProof/>
        </w:rPr>
        <w:t xml:space="preserve"> jeħtieġ li jtejbu l-programmi ta’ kooperazzjoni u monitoraġġ tagħhom.</w:t>
      </w:r>
    </w:p>
    <w:p>
      <w:pPr>
        <w:spacing w:line="240" w:lineRule="auto"/>
        <w:ind w:left="360"/>
        <w:rPr>
          <w:rFonts w:cs="Times New Roman"/>
          <w:i/>
          <w:iCs/>
          <w:noProof/>
        </w:rPr>
      </w:pPr>
    </w:p>
    <w:p>
      <w:pPr>
        <w:spacing w:line="240" w:lineRule="auto"/>
        <w:ind w:left="360"/>
        <w:rPr>
          <w:rFonts w:cs="Times New Roman"/>
          <w:i/>
          <w:iCs/>
          <w:noProof/>
        </w:rPr>
      </w:pPr>
    </w:p>
    <w:p>
      <w:pPr>
        <w:spacing w:line="240" w:lineRule="auto"/>
        <w:ind w:left="360"/>
        <w:rPr>
          <w:rFonts w:cs="Times New Roman"/>
          <w:i/>
          <w:iCs/>
          <w:noProof/>
        </w:rPr>
      </w:pPr>
    </w:p>
    <w:p>
      <w:pPr>
        <w:spacing w:line="240" w:lineRule="auto"/>
        <w:ind w:left="360"/>
        <w:rPr>
          <w:rFonts w:eastAsia="Times New Roman,Calibri" w:cs="Times New Roman"/>
          <w:i/>
          <w:iCs/>
          <w:noProof/>
        </w:rPr>
      </w:pPr>
    </w:p>
    <w:tbl>
      <w:tblPr>
        <w:tblStyle w:val="TableGrid"/>
        <w:tblpPr w:leftFromText="180" w:rightFromText="180" w:vertAnchor="text" w:horzAnchor="margin" w:tblpY="242"/>
        <w:tblW w:w="0" w:type="auto"/>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Prattiki li rnexxew:</w:t>
            </w:r>
          </w:p>
          <w:p>
            <w:pPr>
              <w:spacing w:after="200" w:line="240" w:lineRule="auto"/>
              <w:rPr>
                <w:rFonts w:cs="Times New Roman"/>
                <w:noProof/>
              </w:rPr>
            </w:pPr>
            <w:r>
              <w:rPr>
                <w:noProof/>
              </w:rPr>
              <w:t>Fir-</w:t>
            </w:r>
            <w:r>
              <w:rPr>
                <w:b/>
                <w:noProof/>
              </w:rPr>
              <w:t>Rumanija</w:t>
            </w:r>
            <w:r>
              <w:rPr>
                <w:noProof/>
              </w:rPr>
              <w:t>, il-proġett LIFE ‘Connect Carpathians’</w:t>
            </w:r>
            <w:r>
              <w:rPr>
                <w:noProof/>
              </w:rPr>
              <w:footnoteReference w:id="52"/>
            </w:r>
            <w:r>
              <w:rPr>
                <w:noProof/>
              </w:rPr>
              <w:t xml:space="preserve"> għandu l-għan li jtejjeb il-konnettività tal-pajsaġġ fi ħdan il-kurituri ekoloġiċi tas-siti Natura 2000 fil-Punent tar-Rumanija. Dawn is-siti huma żoni fejn speċijiet emblematiċi bħall-orsijiet u l-ilpup jistgħu jiċċaqilqu mingħajr ir-riskju li jiġu kkaċċjati jew maqtula b’mod aċċidentali. Il-proġett huwa kkumplimentat b’diversi attivitajiet sabiex titjieb il-kapaċità amministrattiva, jiġu involuti partijiet interessati lokali u tiġi żgurata art biex jiġu żviluppati kurituri ta’ konnessjoni. </w:t>
            </w:r>
          </w:p>
          <w:p>
            <w:pPr>
              <w:spacing w:after="200" w:line="240" w:lineRule="auto"/>
              <w:rPr>
                <w:rFonts w:cs="Times New Roman"/>
                <w:noProof/>
              </w:rPr>
            </w:pPr>
            <w:r>
              <w:rPr>
                <w:b/>
                <w:noProof/>
              </w:rPr>
              <w:t>Ċipru</w:t>
            </w:r>
            <w:r>
              <w:rPr>
                <w:noProof/>
              </w:rPr>
              <w:t xml:space="preserve"> huwa wieħed mill-pajjiżi b’implimentazzjoni avvanzata tar-Regolament tal-UE dwar l-Injam. Minkejja d-daqs żgħir tiegħu, il-pajjiż wettaq aktar kontrolli fuq l-operaturi domestiċi u barranin tal-injam milli kwalunkwe Stat Membru ieħor. 100 % tal-operaturi nazzjonali rċevew taħriġ dwar l-obbligi legali tagħhom u l-multi applikabbli għall-ksur huma fost l-ogħla fl-UE.</w:t>
            </w:r>
          </w:p>
        </w:tc>
      </w:tr>
    </w:tbl>
    <w:p>
      <w:pPr>
        <w:pStyle w:val="ListParagraph"/>
        <w:numPr>
          <w:ilvl w:val="1"/>
          <w:numId w:val="5"/>
        </w:numPr>
        <w:spacing w:before="240"/>
        <w:rPr>
          <w:rFonts w:eastAsia="Calibri" w:cs="Times New Roman"/>
          <w:b/>
          <w:noProof/>
          <w:sz w:val="24"/>
          <w:szCs w:val="24"/>
        </w:rPr>
      </w:pPr>
      <w:r>
        <w:rPr>
          <w:b/>
          <w:noProof/>
          <w:sz w:val="24"/>
        </w:rPr>
        <w:t xml:space="preserve"> Niżguraw is-saħħa u l-kwalità tal-ħajja taċ-ċittadini</w:t>
      </w:r>
    </w:p>
    <w:p>
      <w:pPr>
        <w:spacing w:line="240" w:lineRule="auto"/>
        <w:rPr>
          <w:rFonts w:eastAsia="Calibri" w:cs="Times New Roman"/>
          <w:b/>
          <w:i/>
          <w:noProof/>
        </w:rPr>
      </w:pPr>
      <w:r>
        <w:rPr>
          <w:b/>
          <w:i/>
          <w:noProof/>
        </w:rPr>
        <w:t>Il-kwalità tal-arja u l-istorbju</w:t>
      </w:r>
    </w:p>
    <w:p>
      <w:pPr>
        <w:spacing w:line="240" w:lineRule="auto"/>
        <w:rPr>
          <w:rFonts w:cs="Times New Roman"/>
          <w:noProof/>
        </w:rPr>
      </w:pPr>
      <w:r>
        <w:rPr>
          <w:noProof/>
        </w:rPr>
        <w:t>Il-kwalità tal-arja fl-Ewropa tjiebet matul dawn l-aħħar deċennji, bis-saħħa tal-isforzi konġunti mill-awtoritajiet tal-UE u nazzjonali, reġjonali u lokali</w:t>
      </w:r>
      <w:r>
        <w:rPr>
          <w:noProof/>
          <w:vertAlign w:val="superscript"/>
        </w:rPr>
        <w:footnoteReference w:id="53"/>
      </w:r>
      <w:r>
        <w:rPr>
          <w:noProof/>
        </w:rPr>
        <w:t>. Mill-2000 ’l hawn, il-Prodott Domestiku Gross tal-UE kiber bi 32 % filwaqt li l-emissjonijiet tas-sustanzi ewlenin li jniġġsu l-arja naqsu bejn 10 % u 70 %, skont is-sustanza niġġiesa. Il-konċentrazzjonijiet ambjentali għall-biċċa l-kbira tas-sustanzi li jniġġsu l-arja wkoll naqsu f’dawn l-aħħar snin. Madankollu, fil-biċċa l-kbira tal-Istati Membri, il-kwalità tal-ħajja taċ-ċittadini għadha mxekkla, billi l-</w:t>
      </w:r>
      <w:r>
        <w:rPr>
          <w:rStyle w:val="st"/>
          <w:noProof/>
        </w:rPr>
        <w:t>konċentrazzjoni ta’ ċerti sustanzi li jniġġsu l-</w:t>
      </w:r>
      <w:r>
        <w:rPr>
          <w:rStyle w:val="Emphasis"/>
          <w:i w:val="0"/>
          <w:noProof/>
        </w:rPr>
        <w:t>arja</w:t>
      </w:r>
      <w:r>
        <w:rPr>
          <w:rStyle w:val="st"/>
          <w:noProof/>
        </w:rPr>
        <w:t xml:space="preserve"> hija ogħla mill-istandards tal-kwalità tal-arja tal-</w:t>
      </w:r>
      <w:r>
        <w:rPr>
          <w:rStyle w:val="Emphasis"/>
          <w:i w:val="0"/>
          <w:noProof/>
        </w:rPr>
        <w:t>UE</w:t>
      </w:r>
      <w:r>
        <w:rPr>
          <w:noProof/>
        </w:rPr>
        <w:t xml:space="preserve">. Is-sitwazzjoni hija partikolarment severa fiż-żoni urbani, fejn jgħixu l-maġġoranza tal-Ewropej. </w:t>
      </w:r>
    </w:p>
    <w:p>
      <w:pPr>
        <w:spacing w:line="240" w:lineRule="auto"/>
        <w:rPr>
          <w:rFonts w:cs="Times New Roman"/>
          <w:noProof/>
        </w:rPr>
      </w:pPr>
      <w:r>
        <w:rPr>
          <w:noProof/>
        </w:rPr>
        <w:t xml:space="preserve">Fl-2018, il-Kummissjoni ppreżentat il-Komunikazzjoni </w:t>
      </w:r>
      <w:r>
        <w:rPr>
          <w:i/>
          <w:noProof/>
        </w:rPr>
        <w:t>“Ewropa li tipproteġi: Arja nadifa għal kulħadd”</w:t>
      </w:r>
      <w:r>
        <w:rPr>
          <w:noProof/>
        </w:rPr>
        <w:t>, li spjegat il-miżuri disponibbli biex l-Istati Membri jiġu megħjuna jiġġieldu t-tniġġis tal-arja u jqanqlu aktar Djalogi nazzjonali ta’ livell għoli dwar l-Arja Nadifa</w:t>
      </w:r>
      <w:r>
        <w:rPr>
          <w:noProof/>
        </w:rPr>
        <w:footnoteReference w:id="54"/>
      </w:r>
      <w:r>
        <w:rPr>
          <w:noProof/>
        </w:rPr>
        <w:t>. Bħalissa għaddej kontroll tal-idoneità taż-żewġ Direttivi tal-UE dwar il-Kwalità tal-Arja Ċirkostanti, li qiegħed jevalwa r-rilevanza, l-effettività, l-effiċjenza, il-koerenza u l-valur miżjud tagħhom</w:t>
      </w:r>
      <w:r>
        <w:rPr>
          <w:noProof/>
        </w:rPr>
        <w:footnoteReference w:id="55"/>
      </w:r>
      <w:r>
        <w:rPr>
          <w:noProof/>
        </w:rPr>
        <w:t>. L-Istati Membri bdew jikkompilaw il-programmi ta’ kontroll tat-tniġġis tal-arja nazzjonali tagħhom, li huma mistennija fl-2019. Barra minn hekk, tnedew inizjattivi ta’ Riċerka u Innovazzjoni biex jgħinu lill-awtoritajiet nazzjonali u lokali jifhmu u jiġġieldu t-tniġġis tal-arja</w:t>
      </w:r>
      <w:r>
        <w:rPr>
          <w:noProof/>
        </w:rPr>
        <w:footnoteReference w:id="56"/>
      </w:r>
      <w:r>
        <w:rPr>
          <w:noProof/>
        </w:rPr>
        <w:t>.</w:t>
      </w:r>
    </w:p>
    <w:p>
      <w:pPr>
        <w:spacing w:line="240" w:lineRule="auto"/>
        <w:rPr>
          <w:rFonts w:cs="Times New Roman"/>
          <w:noProof/>
        </w:rPr>
      </w:pPr>
      <w:r>
        <w:rPr>
          <w:noProof/>
        </w:rPr>
        <w:t>Bħala parti mill-isforz sabiex jiġi indirizzat it-tniġġis akustiku, l-UE stabbiliet approċċ komuni għall-prevenzjoni jew it-tnaqqis tal-effetti dannużi tal-esponiment għall-istorbju ambjentali. Dan l-approċċ huwa bbażat fuq l-użu ta’ metodi komuni għall-immappjar tal-istorbju, fuq l-għoti ta’ informazzjoni lill-pubbliku u fuq l-adozzjoni u l-implimentazzjoni ta’ pjanijiet ta’ azzjoni mfasslin apposta fil-livell lokali.</w:t>
      </w:r>
    </w:p>
    <w:p>
      <w:pPr>
        <w:spacing w:after="200" w:line="276" w:lineRule="auto"/>
        <w:jc w:val="left"/>
        <w:rPr>
          <w:rFonts w:cs="Times New Roman"/>
          <w:i/>
          <w:iCs/>
          <w:noProof/>
        </w:rPr>
      </w:pPr>
      <w:r>
        <w:rPr>
          <w:i/>
          <w:noProof/>
        </w:rPr>
        <w:t>Sejbiet ta' politika:</w:t>
      </w:r>
    </w:p>
    <w:p>
      <w:pPr>
        <w:pStyle w:val="ListParagraph"/>
        <w:numPr>
          <w:ilvl w:val="0"/>
          <w:numId w:val="3"/>
        </w:numPr>
        <w:rPr>
          <w:rFonts w:cs="Times New Roman"/>
          <w:i/>
          <w:iCs/>
          <w:noProof/>
        </w:rPr>
      </w:pPr>
      <w:r>
        <w:rPr>
          <w:i/>
          <w:noProof/>
        </w:rPr>
        <w:t>Hemm ir-riskju li t-tniġġis tal-arja qed jiġi stmat anqas milli hu fir-realtà f’xi każijiet minħabba li jista’ jkun li mhux dejjem jiġi mmonitorjat fil-postijiet korretti</w:t>
      </w:r>
      <w:r>
        <w:rPr>
          <w:i/>
          <w:noProof/>
        </w:rPr>
        <w:footnoteReference w:id="57"/>
      </w:r>
      <w:r>
        <w:rPr>
          <w:i/>
          <w:noProof/>
        </w:rPr>
        <w:t>. Il-postijiet tal-kampjunar għandhom ikunu pożizzjonati kemm “fejn iseħħu l-ogħla konċentrazzjonijiet” kif ukoll f’żoni “rappreżentattivi tal-espożizzjoni tal-popolazzjoni ġenerali”, sabiex titkejjel il-kwalità tal-arja anki qrib industriji ewlenin jew rotot prinċipali tat-traffiku urban.</w:t>
      </w:r>
    </w:p>
    <w:p>
      <w:pPr>
        <w:numPr>
          <w:ilvl w:val="0"/>
          <w:numId w:val="3"/>
        </w:numPr>
        <w:spacing w:line="240" w:lineRule="auto"/>
        <w:ind w:left="357" w:hanging="357"/>
        <w:rPr>
          <w:rFonts w:cs="Times New Roman"/>
          <w:i/>
          <w:iCs/>
          <w:noProof/>
        </w:rPr>
      </w:pPr>
      <w:r>
        <w:rPr>
          <w:i/>
          <w:noProof/>
        </w:rPr>
        <w:t>Għalkemm is-sitwazzjoni tjiebet f’xi wħud minn dawn il-pajjiżi, tmintax-il Stat Membru</w:t>
      </w:r>
      <w:r>
        <w:rPr>
          <w:i/>
          <w:noProof/>
        </w:rPr>
        <w:footnoteReference w:id="58"/>
      </w:r>
      <w:r>
        <w:rPr>
          <w:i/>
          <w:noProof/>
        </w:rPr>
        <w:t xml:space="preserve"> għad iridu jaċċelleraw it-tnaqqis fl-emissjonijiet tal-ossidu tan-nitroġenu (Nox)</w:t>
      </w:r>
      <w:r>
        <w:rPr>
          <w:i/>
          <w:noProof/>
          <w:vertAlign w:val="subscript"/>
        </w:rPr>
        <w:t>x</w:t>
      </w:r>
      <w:r>
        <w:rPr>
          <w:i/>
          <w:noProof/>
        </w:rPr>
        <w:t>) u fil-konċentrazzjonijiet tad-diossidu tan-nitroġenu (NO</w:t>
      </w:r>
      <w:r>
        <w:rPr>
          <w:i/>
          <w:noProof/>
          <w:vertAlign w:val="subscript"/>
        </w:rPr>
        <w:t>2</w:t>
      </w:r>
      <w:r>
        <w:rPr>
          <w:i/>
          <w:noProof/>
        </w:rPr>
        <w:t>) billi jnaqqsu ulterjorment l-emissjonijiet mit-trasport, b’mod partikolari fiż-żoni urbani. Dan jista’ jirrikjedi wkoll restrizzjonijiet proporzjonati u mmirati fuq l-aċċess tal-vetturi għal żoni urbani u/jew inċentivi fiskali. Fejn l-eċċessi jippersistu, il-Kummissjoni bdiet kawżi ta’ ksur, inkluż ir-rinviju ta’ diversi Stati Membri lill-Qorti tal-Ġustizzja tal-Unjoni Ewropea.</w:t>
      </w:r>
      <w:r>
        <w:rPr>
          <w:i/>
          <w:noProof/>
          <w:color w:val="70AD47"/>
        </w:rPr>
        <w:t xml:space="preserve"> </w:t>
      </w:r>
    </w:p>
    <w:p>
      <w:pPr>
        <w:numPr>
          <w:ilvl w:val="0"/>
          <w:numId w:val="3"/>
        </w:numPr>
        <w:spacing w:line="240" w:lineRule="auto"/>
        <w:ind w:left="357" w:hanging="357"/>
        <w:rPr>
          <w:rFonts w:cs="Times New Roman"/>
          <w:i/>
          <w:iCs/>
          <w:noProof/>
        </w:rPr>
      </w:pPr>
      <w:r>
        <w:rPr>
          <w:i/>
          <w:noProof/>
        </w:rPr>
        <w:t>Hija meħtieġa aċċellerazzjoni tat-tnaqqis fil-materja partikolata (PM</w:t>
      </w:r>
      <w:r>
        <w:rPr>
          <w:i/>
          <w:noProof/>
          <w:vertAlign w:val="subscript"/>
        </w:rPr>
        <w:t>2.5</w:t>
      </w:r>
      <w:r>
        <w:rPr>
          <w:i/>
          <w:noProof/>
        </w:rPr>
        <w:t xml:space="preserve"> u PM</w:t>
      </w:r>
      <w:r>
        <w:rPr>
          <w:i/>
          <w:noProof/>
          <w:vertAlign w:val="subscript"/>
        </w:rPr>
        <w:t>10</w:t>
      </w:r>
      <w:r>
        <w:rPr>
          <w:i/>
          <w:noProof/>
        </w:rPr>
        <w:t>) fi ħmistax-il Stat Membru tal-UE</w:t>
      </w:r>
      <w:r>
        <w:rPr>
          <w:i/>
          <w:noProof/>
        </w:rPr>
        <w:footnoteReference w:id="59"/>
      </w:r>
      <w:r>
        <w:rPr>
          <w:i/>
          <w:noProof/>
        </w:rPr>
        <w:t>, fost l-oħrajn billi tiġi promossa produzzjoni aktar nadifa tal-enerġija u tisħin distrettwali effiċjenti u nadif. F’dan ir-rigward, hemm diversi kawżi ta’ ksur pendenti. Xi wħud mill-Istati Membri kkonċernati ġew riferuti lill-Qorti tal-Ġustizzja tal-UE minħabba livelli għolja persistenti ta’ materja partikolata (PM</w:t>
      </w:r>
      <w:r>
        <w:rPr>
          <w:i/>
          <w:noProof/>
          <w:vertAlign w:val="subscript"/>
        </w:rPr>
        <w:t>10</w:t>
      </w:r>
      <w:r>
        <w:rPr>
          <w:i/>
          <w:noProof/>
        </w:rPr>
        <w:t xml:space="preserve">) u l-Qorti diġà ddeċidiet fi tnejn minn dawn il-każijiet. </w:t>
      </w:r>
    </w:p>
    <w:p>
      <w:pPr>
        <w:numPr>
          <w:ilvl w:val="0"/>
          <w:numId w:val="3"/>
        </w:numPr>
        <w:spacing w:line="240" w:lineRule="auto"/>
        <w:ind w:left="357" w:hanging="357"/>
        <w:rPr>
          <w:rFonts w:cs="Times New Roman"/>
          <w:i/>
          <w:iCs/>
          <w:noProof/>
        </w:rPr>
      </w:pPr>
      <w:r>
        <w:rPr>
          <w:i/>
          <w:noProof/>
        </w:rPr>
        <w:t>It-tnaqqis fl-emissjonijiet tal-ammonijaka (NH</w:t>
      </w:r>
      <w:r>
        <w:rPr>
          <w:i/>
          <w:noProof/>
          <w:vertAlign w:val="subscript"/>
        </w:rPr>
        <w:t>3</w:t>
      </w:r>
      <w:r>
        <w:rPr>
          <w:i/>
          <w:noProof/>
        </w:rPr>
        <w:t>) f’sitt Stati Membri</w:t>
      </w:r>
      <w:r>
        <w:rPr>
          <w:i/>
          <w:noProof/>
        </w:rPr>
        <w:footnoteReference w:id="60"/>
      </w:r>
      <w:r>
        <w:rPr>
          <w:i/>
          <w:noProof/>
        </w:rPr>
        <w:t xml:space="preserve"> jirrikjedi tnaqqis fl-emissjonijiet mill-agrikoltura. Dan jista’ jinkiseb billi jiġu introdotti tekniki agrikoli b’emissjonijiet baxxi, inkluż għall-ġestjoni tal-bhejjem, tad-demel u tal-fertilizzanti. </w:t>
      </w:r>
    </w:p>
    <w:p>
      <w:pPr>
        <w:numPr>
          <w:ilvl w:val="0"/>
          <w:numId w:val="3"/>
        </w:numPr>
        <w:spacing w:line="240" w:lineRule="auto"/>
        <w:rPr>
          <w:rFonts w:cs="Times New Roman"/>
          <w:i/>
          <w:iCs/>
          <w:noProof/>
        </w:rPr>
      </w:pPr>
      <w:r>
        <w:rPr>
          <w:i/>
          <w:noProof/>
        </w:rPr>
        <w:t>Il-pjanijiet ta’ azzjoni għall-ġestjoni tal-istorbju għadhom neqsin fi tlettax-il Stat Membru</w:t>
      </w:r>
      <w:r>
        <w:rPr>
          <w:i/>
          <w:noProof/>
        </w:rPr>
        <w:footnoteReference w:id="61"/>
      </w:r>
      <w:r>
        <w:rPr>
          <w:i/>
          <w:noProof/>
        </w:rPr>
        <w:t xml:space="preserve"> u seba’ pajjiżi</w:t>
      </w:r>
      <w:r>
        <w:rPr>
          <w:i/>
          <w:noProof/>
        </w:rPr>
        <w:footnoteReference w:id="62"/>
      </w:r>
      <w:r>
        <w:rPr>
          <w:i/>
          <w:noProof/>
        </w:rPr>
        <w:t xml:space="preserve"> għad iridu jadottaw il-mapep tal-istorbju meħtieġa.</w:t>
      </w:r>
    </w:p>
    <w:tbl>
      <w:tblPr>
        <w:tblStyle w:val="TableGrid"/>
        <w:tblpPr w:leftFromText="180" w:rightFromText="180" w:vertAnchor="text" w:horzAnchor="margin" w:tblpY="222"/>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Prattiki li rnexxew:</w:t>
            </w:r>
          </w:p>
          <w:p>
            <w:pPr>
              <w:spacing w:after="200" w:line="240" w:lineRule="auto"/>
              <w:rPr>
                <w:rFonts w:cs="Times New Roman"/>
                <w:noProof/>
              </w:rPr>
            </w:pPr>
            <w:r>
              <w:rPr>
                <w:noProof/>
              </w:rPr>
              <w:t>Mill-2017, l-Istati Membri u l-Kummissjoni kienu impenjati f’sensiela ta’ djalogi ffukati fuq il-kwalità tal-arja. Sal-aħħar tal-2018, kienu ġew organizzati sitt “Djalogi dwar l-Arja Nadifa” biex jiġu indirizzati sfidi speċifiċi fir-</w:t>
            </w:r>
            <w:r>
              <w:rPr>
                <w:b/>
                <w:noProof/>
              </w:rPr>
              <w:t>Repubblika Ċeka, l-Ungerija, l-Irlanda, il-Lussemburgu, is-Slovakkja u Spanja</w:t>
            </w:r>
            <w:r>
              <w:rPr>
                <w:noProof/>
              </w:rPr>
              <w:t>. Dawn l-isforzi kienu kkumplimentati mill-organizzazzjoni ta’ workshops tematiċi bl-appoġġ tal-mekkaniżmu TAIEX-EIR Peer2Peer tal-Kummissjoni Ewropea.</w:t>
            </w:r>
          </w:p>
          <w:p>
            <w:pPr>
              <w:spacing w:after="200" w:line="240" w:lineRule="auto"/>
              <w:rPr>
                <w:rFonts w:cs="Times New Roman"/>
                <w:b/>
                <w:bCs/>
                <w:noProof/>
              </w:rPr>
            </w:pPr>
            <w:r>
              <w:rPr>
                <w:noProof/>
              </w:rPr>
              <w:t>Fil-</w:t>
            </w:r>
            <w:r>
              <w:rPr>
                <w:b/>
                <w:noProof/>
              </w:rPr>
              <w:t>Polonja</w:t>
            </w:r>
            <w:r>
              <w:rPr>
                <w:noProof/>
              </w:rPr>
              <w:t>, il-proġett LIFE “Reġjun ta’ Małopolska”</w:t>
            </w:r>
            <w:r>
              <w:rPr>
                <w:noProof/>
              </w:rPr>
              <w:footnoteReference w:id="63"/>
            </w:r>
            <w:r>
              <w:rPr>
                <w:noProof/>
              </w:rPr>
              <w:t xml:space="preserve"> jipprovdi appoġġ u servizzi ta’ konsulenza biex jiġu implimentati miżuri li jindirizzaw it-tniġġis sever tal-arja fir-reġjun.</w:t>
            </w:r>
          </w:p>
        </w:tc>
      </w:tr>
    </w:tbl>
    <w:p>
      <w:pPr>
        <w:spacing w:before="240"/>
        <w:rPr>
          <w:rFonts w:eastAsia="Calibri" w:cs="Times New Roman"/>
          <w:b/>
          <w:i/>
          <w:noProof/>
        </w:rPr>
      </w:pPr>
      <w:r>
        <w:rPr>
          <w:b/>
          <w:i/>
          <w:noProof/>
        </w:rPr>
        <w:t>Emissjonijiet industrijali</w:t>
      </w:r>
    </w:p>
    <w:p>
      <w:pPr>
        <w:spacing w:line="240" w:lineRule="auto"/>
        <w:rPr>
          <w:rFonts w:cs="Times New Roman"/>
          <w:noProof/>
        </w:rPr>
      </w:pPr>
      <w:r>
        <w:rPr>
          <w:noProof/>
        </w:rPr>
        <w:t>L-industrija hija responsabbli għal 24 % tal-Prodott Domestiku Gross tal-UE u timpjega 50 miljun ruħ, u għalhekk tagħmel kontribut sinifikanti għall-benesseri ekonomiku u għall-iżvilupp tal-kontinent tagħna</w:t>
      </w:r>
      <w:r>
        <w:rPr>
          <w:noProof/>
        </w:rPr>
        <w:footnoteReference w:id="64"/>
      </w:r>
      <w:r>
        <w:rPr>
          <w:noProof/>
        </w:rPr>
        <w:t>. Madankollu, it-tniġġis mill-attivitajiet industrijali jistgħu jaffettwaw b’mod negattiv lill-persuni u lill-ambjent. Għalhekk huwa essenzjali settur industrijali nadif. Permezz ta’ approċċ komprensiv – immexxi mid-Direttiva dwar l-Emissjonijiet Industrijali</w:t>
      </w:r>
      <w:r>
        <w:rPr>
          <w:noProof/>
        </w:rPr>
        <w:footnoteReference w:id="65"/>
      </w:r>
      <w:r>
        <w:rPr>
          <w:noProof/>
        </w:rPr>
        <w:t xml:space="preserve"> – l-UE għandha l-għan li tiżgura livell għoli ta’ protezzjoni għas-saħħa tal-bniedem u għall-ambjent, filwaqt li ssaħħaħ l-innovazzjoni u l-kompetittività.</w:t>
      </w:r>
    </w:p>
    <w:p>
      <w:pPr>
        <w:spacing w:line="240" w:lineRule="auto"/>
        <w:rPr>
          <w:rFonts w:cs="Times New Roman"/>
          <w:noProof/>
        </w:rPr>
      </w:pPr>
      <w:r>
        <w:rPr>
          <w:noProof/>
        </w:rPr>
        <w:t>Attwalment, l-industrija titfa’ 40 % tas-sustanzi niġġiesa totali fl-arja u 20 % tas-sustanzi niġġiesa totali fl-ilma</w:t>
      </w:r>
      <w:r>
        <w:rPr>
          <w:noProof/>
        </w:rPr>
        <w:footnoteReference w:id="66"/>
      </w:r>
      <w:r>
        <w:rPr>
          <w:noProof/>
        </w:rPr>
        <w:t xml:space="preserve">. Id-Direttiva dwar l-Emissjonijiet Industrijali tindirizza dawn l-emissjonijiet billi timmonitorja l-impatt ambjentali tal-akbar 50 elf installazzjoni industrijali u tistabbilixxi limiti ta’ emissjonijiet għal aktar minn 80 sustanza niġġiesa tal-arja u tal-ilma. L-impatt ambjentali tal-industrija huwa mnaqqas ukoll permezz ta’ standards tal-prestazzjoni. Id-Direttiva tistabbilixxi l-prinċipji ewlenin għall-permess u l-kontroll tal-installazzjonijiet abbażi ta’ approċċ integrat u l-applikazzjoni tal-aqwa tekniki disponibbli sabiex jinkiseb livell għoli ta’ ħarsien tal-ambjent, b’kont meħud tal-kostijiet u l-benefiċċji. Diġà qed jintużaw bosta teknoloġiji rivoluzzjonarji li kapaċi jiksbu tnaqqis sinifikanti fil-gassijiet b’effett ta’ serra u s-sustanzi niġġiesa, ħafna drabi kombinati ma’ teknoloġiji għall-industrija ċirkolari. </w:t>
      </w:r>
    </w:p>
    <w:p>
      <w:pPr>
        <w:spacing w:after="200" w:line="276" w:lineRule="auto"/>
        <w:jc w:val="left"/>
        <w:rPr>
          <w:rFonts w:cs="Times New Roman"/>
          <w:i/>
          <w:iCs/>
          <w:noProof/>
        </w:rPr>
      </w:pPr>
      <w:r>
        <w:rPr>
          <w:i/>
          <w:noProof/>
        </w:rPr>
        <w:t>Sejbiet ta' politika:</w:t>
      </w:r>
    </w:p>
    <w:p>
      <w:pPr>
        <w:pStyle w:val="ListParagraph"/>
        <w:numPr>
          <w:ilvl w:val="0"/>
          <w:numId w:val="3"/>
        </w:numPr>
        <w:spacing w:line="240" w:lineRule="auto"/>
        <w:contextualSpacing w:val="0"/>
        <w:rPr>
          <w:rFonts w:cs="Times New Roman"/>
          <w:noProof/>
        </w:rPr>
      </w:pPr>
      <w:r>
        <w:rPr>
          <w:i/>
          <w:noProof/>
        </w:rPr>
        <w:t>L-Istati Membri kollha tal-UE jeħtieġ li jirrieżaminaw il-permessi mogħtija fir-rigward tal-konformità tagħhom mal-konklużjonijiet adottati ġodda tal-aqwa tekniki disponibbli kif ukoll isaħħu l-kontroll u l-infurzar fuq il-post.</w:t>
      </w:r>
    </w:p>
    <w:p>
      <w:pPr>
        <w:pStyle w:val="ListParagraph"/>
        <w:numPr>
          <w:ilvl w:val="0"/>
          <w:numId w:val="3"/>
        </w:numPr>
        <w:spacing w:line="240" w:lineRule="auto"/>
        <w:contextualSpacing w:val="0"/>
        <w:rPr>
          <w:rFonts w:cs="Times New Roman"/>
          <w:noProof/>
        </w:rPr>
      </w:pPr>
      <w:r>
        <w:rPr>
          <w:i/>
          <w:noProof/>
        </w:rPr>
        <w:t>It-tniġġis tal-arja u/jew tal-ilma relatat mal-emissjonijiet minn installazzjonijiet fis-settur tal-enerġija huwa s-sors prinċipali ta’ tniġġis għal ħdax-il Stat Membru tal-UE</w:t>
      </w:r>
      <w:r>
        <w:rPr>
          <w:i/>
          <w:noProof/>
        </w:rPr>
        <w:footnoteReference w:id="67"/>
      </w:r>
      <w:r>
        <w:rPr>
          <w:i/>
          <w:noProof/>
        </w:rPr>
        <w:t>. Għal seba’ pajjiżi</w:t>
      </w:r>
      <w:r>
        <w:rPr>
          <w:i/>
          <w:noProof/>
        </w:rPr>
        <w:footnoteReference w:id="68"/>
      </w:r>
      <w:r>
        <w:rPr>
          <w:i/>
          <w:noProof/>
        </w:rPr>
        <w:t>, l-emissjonijiet mis-settur tat-trobbija intensiva tal-pollam u tal-majjali jirrappreżentaw l-akbar proporzjon ta’ emissjonijiet. Barra minn hekk, is-sitwazzjoni attwali f’żewġ Stati Membri</w:t>
      </w:r>
      <w:r>
        <w:rPr>
          <w:i/>
          <w:noProof/>
        </w:rPr>
        <w:footnoteReference w:id="69"/>
      </w:r>
      <w:r>
        <w:rPr>
          <w:i/>
          <w:noProof/>
        </w:rPr>
        <w:t xml:space="preserve"> fir-rigward tal-emissjonijiet ta’ sustanzi niġġiesa fl-arja mill-impjanti tal-ħadid u l-azzar hija kawża serja għat-tħassib. L-emissjonijiet mill-attivitajiet tat-trattament tal-iskart għadhom ta’ tħassib fi tliet Stati Membri</w:t>
      </w:r>
      <w:r>
        <w:rPr>
          <w:i/>
          <w:noProof/>
        </w:rPr>
        <w:footnoteReference w:id="70"/>
      </w:r>
      <w:r>
        <w:rPr>
          <w:i/>
          <w:noProof/>
        </w:rPr>
        <w:t>.</w:t>
      </w:r>
    </w:p>
    <w:p>
      <w:pPr>
        <w:spacing w:before="240"/>
        <w:rPr>
          <w:rFonts w:eastAsia="Calibri" w:cs="Times New Roman"/>
          <w:b/>
          <w:i/>
          <w:noProof/>
        </w:rPr>
      </w:pPr>
      <w:r>
        <w:rPr>
          <w:b/>
          <w:i/>
          <w:noProof/>
        </w:rPr>
        <w:t>Il-kwalità tal-ilma, l-għargħar u l-immaniġġjar tal-ilma</w:t>
      </w:r>
    </w:p>
    <w:p>
      <w:pPr>
        <w:widowControl w:val="0"/>
        <w:autoSpaceDE w:val="0"/>
        <w:spacing w:line="240" w:lineRule="auto"/>
        <w:rPr>
          <w:rFonts w:cs="Times New Roman"/>
          <w:noProof/>
        </w:rPr>
      </w:pPr>
      <w:r>
        <w:rPr>
          <w:noProof/>
        </w:rPr>
        <w:t>Il-protezzjoni tar-riżorsi tal-ilma, tal-ekosistemi tal-ilma ħelu u tal-ilma baħar, u tal-ilma tax-xorb u għall-għawm, hija komponent importanti tal-ħarsien tal-ambjent fl-Ewropa. Il-korp eżistenti tal-liġi tal-UE dwar l-ilma</w:t>
      </w:r>
      <w:r>
        <w:rPr>
          <w:noProof/>
          <w:vertAlign w:val="superscript"/>
        </w:rPr>
        <w:footnoteReference w:id="71"/>
      </w:r>
      <w:r>
        <w:rPr>
          <w:noProof/>
        </w:rPr>
        <w:t xml:space="preserve"> stabbilixxa qafas għall-ġestjoni tal-ilma ħelu u tal-ilma baħar kif ukoll indirizza sorsi speċifiċi ta’ tniġġis. Il-Politika Komuni tas-Sajd għandha l-għan li tillimita l-impatt tas-sajd għal livelli xierqa biex jiġi maħsud b’mod sostenibbli l-potenzjal produttiv tal-istokkijiet filwaqt li jiġi limitat l-impatt fuq l-ekosistemi. </w:t>
      </w:r>
    </w:p>
    <w:p>
      <w:pPr>
        <w:widowControl w:val="0"/>
        <w:autoSpaceDE w:val="0"/>
        <w:spacing w:line="240" w:lineRule="auto"/>
        <w:rPr>
          <w:rFonts w:cs="Times New Roman"/>
          <w:noProof/>
        </w:rPr>
      </w:pPr>
      <w:r>
        <w:rPr>
          <w:noProof/>
        </w:rPr>
        <w:t>L-ilmijiet tal-Ewropa qed jiġu affettwati dejjem aktar mit-tibdil fil-klima. Il-konformità mal-liġi tal-UE dwar l-ilma diġà qed tgħin biex jiġu mmaniġġjati l-effetti ta’ klima li qiegħda tinbidel, billi tantiċipa aktar nixfiet u għargħar. Il-politika tal-UE dwar l-ilma għandha potenzjal konsiderevoli biex timmitiga t-tibdil fil-klima, bil-kundizzjoni li tittieħed azzjoni effettiva issa. Barra minn hekk, il-politika tal-UE dwar l-ilma għenet sabiex jiġi żviluppat settur tal-ilma dinamiku minn ta’ quddiem nett fid-dinja li jinkludi 9 000 intrapriża żgħar u medji u jipprovdi kważi nofs miljun impjieg full-time</w:t>
      </w:r>
      <w:r>
        <w:rPr>
          <w:noProof/>
          <w:vertAlign w:val="superscript"/>
        </w:rPr>
        <w:footnoteReference w:id="72"/>
      </w:r>
      <w:r>
        <w:rPr>
          <w:noProof/>
        </w:rPr>
        <w:t xml:space="preserve">. </w:t>
      </w:r>
    </w:p>
    <w:p>
      <w:pPr>
        <w:spacing w:line="240" w:lineRule="auto"/>
        <w:rPr>
          <w:rFonts w:cs="Times New Roman"/>
          <w:noProof/>
        </w:rPr>
      </w:pPr>
      <w:r>
        <w:rPr>
          <w:noProof/>
        </w:rPr>
        <w:t>Il-valutazzjoni, min-naħa tal-Kummissjoni, tat-tieni pjanijiet ta’ mmaniġġjar tal-baċini tax-xmajjar tal-Istati Membri skont id-Direttiva Qafas dwar l-Ilma, ikkonkludiet li l-għarfien u r-rappurtar dwar id-Direttiva Qafas dwar l-Ilma tjiebu b’mod sinifikanti. Il-valutazzjoni, min-naħa tal-Kummissjoni, tal-ewwel pjanijiet ta’ ġestjoni tar-riskju ta’ għargħar tal-Istati Membri skont id-Direttiva dwar l-Għargħar, ikkonkludiet li ttieħdu passi importanti, anki jekk il-grad prattiku ta’ elaborazzjoni jvarja. Il-Kummissjoni kkunsidrat ir-riżultati tal-Konferenza tal-UE dwar l-Ilma tal-2018 fi Vjenna</w:t>
      </w:r>
      <w:r>
        <w:rPr>
          <w:noProof/>
        </w:rPr>
        <w:footnoteReference w:id="73"/>
      </w:r>
      <w:r>
        <w:rPr>
          <w:noProof/>
        </w:rPr>
        <w:t xml:space="preserve">, li ppermettiet firxa ta’ partijiet interessati u lill-Istati Membri jipprovdu input dwar l-implimentazzjoni tal-leġiżlazzjoni tal-UE dwar l-ilma, li wriet stampa mħallta. </w:t>
      </w:r>
    </w:p>
    <w:p>
      <w:pPr>
        <w:spacing w:line="240" w:lineRule="auto"/>
        <w:rPr>
          <w:rFonts w:cs="Times New Roman"/>
          <w:i/>
          <w:iCs/>
          <w:noProof/>
        </w:rPr>
      </w:pPr>
      <w:r>
        <w:rPr>
          <w:i/>
          <w:noProof/>
        </w:rPr>
        <w:t>Sejbiet ta' politika:</w:t>
      </w:r>
    </w:p>
    <w:p>
      <w:pPr>
        <w:pStyle w:val="ListParagraph"/>
        <w:numPr>
          <w:ilvl w:val="0"/>
          <w:numId w:val="3"/>
        </w:numPr>
        <w:spacing w:line="240" w:lineRule="auto"/>
        <w:contextualSpacing w:val="0"/>
        <w:rPr>
          <w:rFonts w:cs="Times New Roman"/>
          <w:i/>
          <w:iCs/>
          <w:noProof/>
        </w:rPr>
      </w:pPr>
      <w:r>
        <w:rPr>
          <w:i/>
          <w:noProof/>
        </w:rPr>
        <w:t>Abbażi tat-tieni ġenerazzjoni ta’ pjanijiet ta’ mmaniġġjar tal-baċini tax-xmajjar tal-Istati Membri</w:t>
      </w:r>
      <w:r>
        <w:rPr>
          <w:i/>
          <w:noProof/>
          <w:vertAlign w:val="superscript"/>
        </w:rPr>
        <w:footnoteReference w:id="74"/>
      </w:r>
      <w:r>
        <w:rPr>
          <w:i/>
          <w:noProof/>
        </w:rPr>
        <w:t>, il-Kummissjoni vvalutat il-konformità mal-objettivi tad-Direttiva Qafas dwar l-Ilma u kkonkludiet li din qiegħda gradwalment tiżdied. Madankollu, it-triq lejn konformità sħiħa mal-objettivi tad-Direttiva Qafas dwar l-Ilma sal-2027, li suċċessivament il-possibbiltajiet ta’ eżenzjoni huma limitati, tidher ta’ sfida kbira f’dan l-istadju.</w:t>
      </w:r>
    </w:p>
    <w:p>
      <w:pPr>
        <w:pStyle w:val="ListParagraph"/>
        <w:numPr>
          <w:ilvl w:val="0"/>
          <w:numId w:val="3"/>
        </w:numPr>
        <w:spacing w:line="240" w:lineRule="auto"/>
        <w:contextualSpacing w:val="0"/>
        <w:rPr>
          <w:rFonts w:cs="Times New Roman"/>
          <w:i/>
          <w:iCs/>
          <w:noProof/>
        </w:rPr>
      </w:pPr>
      <w:r>
        <w:rPr>
          <w:i/>
          <w:noProof/>
        </w:rPr>
        <w:t xml:space="preserve">Għad baqa’ ħafna xi jsir biex jintlaħqu b’mod sħiħ l-objettivi tad-Direttiva Qafas dwar l-Ilma u Direttivi oħra relatati. Żieda fl-investimenti hija essenzjali sabiex jintlaħqu dawn l-objettivi. L-Istati Membri jibbenefikaw minn involviment akbar tal-atturi rilevanti kollha tas-suq u tas-soċjetà ċivili sabiex jiġi żgurat infurzar aħjar tal-prinċipju ta’ min iniġġes iħallas. Il-fondi tal-UE se jkomplu jappoġġaw dawn l-isforzi ta’ implimentazzjoni. </w:t>
      </w:r>
    </w:p>
    <w:p>
      <w:pPr>
        <w:pStyle w:val="ListParagraph"/>
        <w:numPr>
          <w:ilvl w:val="0"/>
          <w:numId w:val="3"/>
        </w:numPr>
        <w:spacing w:line="240" w:lineRule="auto"/>
        <w:contextualSpacing w:val="0"/>
        <w:rPr>
          <w:rFonts w:cs="Times New Roman"/>
          <w:i/>
          <w:iCs/>
          <w:noProof/>
        </w:rPr>
      </w:pPr>
      <w:r>
        <w:rPr>
          <w:i/>
          <w:noProof/>
        </w:rPr>
        <w:t xml:space="preserve">Għalkemm għadd ta’ Stati Membri ħadu miżuri tajba ta’ politika, inklużi investimenti, it-titjib fil-kwalità tal-ilma xorta se jieħu xi ftit taż-żmien għal bosta baċini tax-xmajjar. </w:t>
      </w:r>
    </w:p>
    <w:p>
      <w:pPr>
        <w:pStyle w:val="ListParagraph"/>
        <w:numPr>
          <w:ilvl w:val="0"/>
          <w:numId w:val="3"/>
        </w:numPr>
        <w:spacing w:line="240" w:lineRule="auto"/>
        <w:contextualSpacing w:val="0"/>
        <w:rPr>
          <w:rFonts w:cs="Times New Roman"/>
          <w:i/>
          <w:iCs/>
          <w:noProof/>
        </w:rPr>
      </w:pPr>
      <w:r>
        <w:rPr>
          <w:i/>
          <w:noProof/>
        </w:rPr>
        <w:t xml:space="preserve">Filwaqt li maġġoranza kbira ta’ korpi tal-ilma ta’ taħt l-art kisbu status tajjeb, anqas minn nofs il-korpi tal-ilma tal-wiċċ huma fi status tajjeb. Madankollu, ix-xejriet f’diversi elementi u sustanzi ta’ kwalità individwali sottostanti huma aktar pożittivi. </w:t>
      </w:r>
    </w:p>
    <w:p>
      <w:pPr>
        <w:pStyle w:val="ListParagraph"/>
        <w:numPr>
          <w:ilvl w:val="0"/>
          <w:numId w:val="3"/>
        </w:numPr>
        <w:spacing w:line="240" w:lineRule="auto"/>
        <w:contextualSpacing w:val="0"/>
        <w:rPr>
          <w:rFonts w:cs="Times New Roman"/>
          <w:i/>
          <w:iCs/>
          <w:noProof/>
        </w:rPr>
      </w:pPr>
      <w:r>
        <w:rPr>
          <w:i/>
          <w:noProof/>
        </w:rPr>
        <w:t>Biex jintlaħaq l-objettiv tad-Direttiva dwar l-Għargħar li jitnaqqsu l-konsegwenzi negattivi potenzjali minn għargħar sinifikanti, se jkunu meħtieġa sforzi sostnuti mill-Istati Membri fiċ-ċikli li ġejjin.</w:t>
      </w:r>
    </w:p>
    <w:p>
      <w:pPr>
        <w:pStyle w:val="ListParagraph"/>
        <w:numPr>
          <w:ilvl w:val="0"/>
          <w:numId w:val="3"/>
        </w:numPr>
        <w:spacing w:line="240" w:lineRule="auto"/>
        <w:contextualSpacing w:val="0"/>
        <w:rPr>
          <w:rFonts w:cs="Times New Roman"/>
          <w:i/>
          <w:iCs/>
          <w:noProof/>
        </w:rPr>
      </w:pPr>
      <w:r>
        <w:rPr>
          <w:i/>
          <w:noProof/>
        </w:rPr>
        <w:t>L-ilma mormi urban għadu mhux ittrattat kif għandu jkun f’bosta Stati Membri</w:t>
      </w:r>
      <w:r>
        <w:rPr>
          <w:i/>
          <w:noProof/>
          <w:vertAlign w:val="superscript"/>
        </w:rPr>
        <w:footnoteReference w:id="75"/>
      </w:r>
      <w:r>
        <w:rPr>
          <w:i/>
          <w:noProof/>
        </w:rPr>
        <w:t>, li hija r-raġuni għaliex ħafna minnhom għadhom qed jiffaċċjaw proċeduri ta’ ksur u ftit minnhom kienu soġġetti għal penali finanzjarji. Il-progress jiddependi mill-Istati Membri li jipprijoritizzaw l-investimenti għal impjanti tat-trattament tal-ilma mormi urban, inkluż permezz tal-użu effiċjenti tal-finanzjament tal-Politika ta’ Koeżjoni fejn disponibbli, u self mill-Bank Ewropew tal-Investiment.</w:t>
      </w:r>
    </w:p>
    <w:p>
      <w:pPr>
        <w:pStyle w:val="ListParagraph"/>
        <w:numPr>
          <w:ilvl w:val="0"/>
          <w:numId w:val="3"/>
        </w:numPr>
        <w:spacing w:line="240" w:lineRule="auto"/>
        <w:contextualSpacing w:val="0"/>
        <w:rPr>
          <w:rFonts w:cs="Times New Roman"/>
          <w:i/>
          <w:iCs/>
          <w:noProof/>
        </w:rPr>
      </w:pPr>
      <w:r>
        <w:rPr>
          <w:i/>
          <w:noProof/>
        </w:rPr>
        <w:t>It-tniġġis tal-ilma min-nitrati, ikkawżat minn prattiki agrikoli intensivi, naqas fl-Ewropa f’dawn l-aħħar żewġ deċennji. Madankollu, minkejja din ix-xejra ġenerali pożittiva, it-tniġġis min-nitrati u l-ewtrofikazzjoni għadhom jikkawżaw problemi f’bosta Stati Membri</w:t>
      </w:r>
      <w:r>
        <w:rPr>
          <w:i/>
          <w:noProof/>
        </w:rPr>
        <w:footnoteReference w:id="76"/>
      </w:r>
      <w:r>
        <w:rPr>
          <w:i/>
          <w:noProof/>
        </w:rPr>
        <w:t>, hekk kif il-pressjonijiet agrikoli fuq il-kwalità tal-ilma għadhom qegħdin jiżdiedu f’xi żoni. L-Istati Membri jenħtieġ li jżidu l-isforzi tagħhom sabiex jindirizzaw it-tniġġis mifrux min-nitrati u l-fosfati.</w:t>
      </w:r>
      <w:r>
        <w:rPr>
          <w:noProof/>
          <w:color w:val="404040"/>
          <w:sz w:val="23"/>
        </w:rPr>
        <w:t xml:space="preserve"> </w:t>
      </w:r>
    </w:p>
    <w:tbl>
      <w:tblPr>
        <w:tblStyle w:val="TableGrid"/>
        <w:tblW w:w="0" w:type="auto"/>
        <w:shd w:val="clear" w:color="auto" w:fill="EAF1DD" w:themeFill="accent3" w:themeFillTint="33"/>
        <w:tblLook w:val="04A0" w:firstRow="1" w:lastRow="0" w:firstColumn="1" w:lastColumn="0" w:noHBand="0" w:noVBand="1"/>
      </w:tblPr>
      <w:tblGrid>
        <w:gridCol w:w="9196"/>
      </w:tblGrid>
      <w:tr>
        <w:tc>
          <w:tcPr>
            <w:tcW w:w="9196" w:type="dxa"/>
            <w:shd w:val="clear" w:color="auto" w:fill="EAF1DD" w:themeFill="accent3" w:themeFillTint="33"/>
          </w:tcPr>
          <w:p>
            <w:pPr>
              <w:spacing w:line="240" w:lineRule="auto"/>
              <w:rPr>
                <w:rFonts w:cs="Times New Roman"/>
                <w:b/>
                <w:noProof/>
              </w:rPr>
            </w:pPr>
            <w:r>
              <w:rPr>
                <w:b/>
                <w:noProof/>
              </w:rPr>
              <w:t>Prattiki li rnexxew:</w:t>
            </w:r>
          </w:p>
          <w:p>
            <w:pPr>
              <w:widowControl w:val="0"/>
              <w:rPr>
                <w:rFonts w:eastAsiaTheme="minorEastAsia" w:cs="Times New Roman"/>
                <w:noProof/>
              </w:rPr>
            </w:pPr>
            <w:r>
              <w:rPr>
                <w:rFonts w:eastAsiaTheme="minorEastAsia"/>
                <w:noProof/>
                <w:color w:val="000000" w:themeColor="text1"/>
              </w:rPr>
              <w:t>L-infrastruttura ekoloġika qed tiġi ffinanzjata fi ħdan il-pjan SIGMA II għall-estwarju ta’ Scheldt fil-</w:t>
            </w:r>
            <w:r>
              <w:rPr>
                <w:rFonts w:eastAsiaTheme="minorEastAsia"/>
                <w:b/>
                <w:noProof/>
              </w:rPr>
              <w:t>Belġju</w:t>
            </w:r>
            <w:r>
              <w:rPr>
                <w:noProof/>
              </w:rPr>
              <w:t>.</w:t>
            </w:r>
          </w:p>
          <w:p>
            <w:pPr>
              <w:widowControl w:val="0"/>
              <w:rPr>
                <w:rFonts w:eastAsiaTheme="minorEastAsia" w:cs="Times New Roman"/>
                <w:noProof/>
                <w:color w:val="000000" w:themeColor="text1"/>
              </w:rPr>
            </w:pPr>
            <w:r>
              <w:rPr>
                <w:noProof/>
              </w:rPr>
              <w:t>Il-</w:t>
            </w:r>
            <w:r>
              <w:rPr>
                <w:rFonts w:eastAsiaTheme="minorEastAsia"/>
                <w:b/>
                <w:noProof/>
                <w:color w:val="000000" w:themeColor="text1"/>
              </w:rPr>
              <w:t>Lussemburgu</w:t>
            </w:r>
            <w:r>
              <w:rPr>
                <w:rFonts w:eastAsiaTheme="minorEastAsia"/>
                <w:noProof/>
                <w:color w:val="000000" w:themeColor="text1"/>
              </w:rPr>
              <w:t xml:space="preserve"> u l-</w:t>
            </w:r>
            <w:r>
              <w:rPr>
                <w:rFonts w:eastAsiaTheme="minorEastAsia"/>
                <w:b/>
                <w:noProof/>
                <w:color w:val="000000" w:themeColor="text1"/>
              </w:rPr>
              <w:t>Portugall</w:t>
            </w:r>
            <w:r>
              <w:rPr>
                <w:rFonts w:eastAsiaTheme="minorEastAsia"/>
                <w:noProof/>
                <w:color w:val="000000" w:themeColor="text1"/>
              </w:rPr>
              <w:t xml:space="preserve"> dan l-aħħar kisbu livelli sodisfaċenti ta’ konformità mar-rekwiżiti tad-Direttiva dwar it-Trattament tal-Ilma Urban Mormi minkejja d-diffikultajiet fil-passat.</w:t>
            </w:r>
            <w:r>
              <w:rPr>
                <w:noProof/>
              </w:rPr>
              <w:t xml:space="preserve"> Dawn huma eżempji tajbin ta’ kif investimenti pubbliċi deċiżivi li jindirizzaw kwistjonijiet ta’ konformità jistgħu jnaqqsu r-riskji ambjentali u jipproteġu liċ-ċittadini fil-ħajja tagħhom ta’ kuljum. </w:t>
            </w:r>
          </w:p>
        </w:tc>
      </w:tr>
    </w:tbl>
    <w:p>
      <w:pPr>
        <w:spacing w:before="240" w:after="200" w:line="276" w:lineRule="auto"/>
        <w:rPr>
          <w:rFonts w:cs="Times New Roman"/>
          <w:b/>
          <w:bCs/>
          <w:i/>
          <w:iCs/>
          <w:noProof/>
        </w:rPr>
      </w:pPr>
      <w:r>
        <w:rPr>
          <w:b/>
          <w:i/>
          <w:noProof/>
        </w:rPr>
        <w:t>Is-sustanzi kimiċi</w:t>
      </w:r>
    </w:p>
    <w:p>
      <w:pPr>
        <w:widowControl w:val="0"/>
        <w:suppressAutoHyphens/>
        <w:spacing w:line="240" w:lineRule="auto"/>
        <w:rPr>
          <w:rFonts w:cs="Times New Roman"/>
          <w:noProof/>
        </w:rPr>
      </w:pPr>
      <w:r>
        <w:rPr>
          <w:noProof/>
        </w:rPr>
        <w:t>L-immaniġġjar ambjentalment korrett u l-użu sigur tas-sustanzi kimiċi fis-Suq Uniku huwa l-fokus primarju tal-leġiżlazzjoni tal-UE dwar is-sustanzi kimiċi. Ir-regolamenti dwar ir-Reġistrazzjoni, il-Valutazzjoni, l-Awtorizzazzjoni u r-Restrizzjoni ta’ Sustanzi Kimiċi (REACH)</w:t>
      </w:r>
      <w:r>
        <w:rPr>
          <w:noProof/>
        </w:rPr>
        <w:footnoteReference w:id="77"/>
      </w:r>
      <w:r>
        <w:rPr>
          <w:noProof/>
        </w:rPr>
        <w:t xml:space="preserve"> u dwar il-Klassifikazzjoni, l-Ittikkettar u l-Imballaġġ tas-sustanzi u t-taħlitiet (CLP)</w:t>
      </w:r>
      <w:r>
        <w:rPr>
          <w:noProof/>
        </w:rPr>
        <w:footnoteReference w:id="78"/>
      </w:r>
      <w:r>
        <w:rPr>
          <w:noProof/>
        </w:rPr>
        <w:t xml:space="preserve"> huma l-ixprun ta’ din il-leġiżlazzjoni. Madankollu, gruppi speċifiċi ta’ prodotti, bħall-bijoċidi, il-pestiċidi, il-prodotti farmaċewtiċi jew il-kożmetiċi</w:t>
      </w:r>
      <w:r>
        <w:rPr>
          <w:noProof/>
        </w:rPr>
        <w:footnoteReference w:id="79"/>
      </w:r>
      <w:r>
        <w:rPr>
          <w:noProof/>
        </w:rPr>
        <w:t xml:space="preserve">, huma koperti mil-leġiżlazzjoni proprja tagħhom. </w:t>
      </w:r>
    </w:p>
    <w:p>
      <w:pPr>
        <w:widowControl w:val="0"/>
        <w:suppressAutoHyphens/>
        <w:spacing w:line="240" w:lineRule="auto"/>
        <w:rPr>
          <w:rFonts w:cs="Times New Roman"/>
          <w:noProof/>
        </w:rPr>
      </w:pPr>
      <w:r>
        <w:rPr>
          <w:noProof/>
        </w:rPr>
        <w:t>Il-leġiżlazzjoni direttament applikabbli tiżgura ċ-ċirkolazzjoni libera tas-sustanzi fis-suq intern filwaqt li żżid il-kompetittività u tinkoraġġixxi l-innovazzjoni. Ġunju 2018 immarka l-iskadenza għar-reġistrazzjoni tal-aħħar lott ta’ sustanzi eżistenti taħt REACH, jiġifieri dawk immanifatturati jew impurtati f’tunnellata jew aktar. Dan ifisser li REACH sar kompletament operattiv biss fl-2018 bl-ewwel rapport ta’ implimentazzjoni mistenni fl-2021 li għandu jipprovdi stampa sħiħa tal-implimentazzjoni fl-Istati Membri.</w:t>
      </w:r>
    </w:p>
    <w:p>
      <w:pPr>
        <w:widowControl w:val="0"/>
        <w:suppressAutoHyphens/>
        <w:spacing w:line="240" w:lineRule="auto"/>
        <w:rPr>
          <w:rFonts w:cs="Times New Roman"/>
          <w:noProof/>
        </w:rPr>
      </w:pPr>
      <w:r>
        <w:rPr>
          <w:noProof/>
        </w:rPr>
        <w:t>L-Aġenzija Ewropea għas-Sustanzi Kimiċi (ECHA) twettaq kontrolli mmirati tal-konformità biex iġġib id-dossiers ta’ reġistrazzjoni konformi mar-rekwiżiti ta’ informazzjoni. Madankollu, kienu identifikati nuqqasijiet f’dan il-proċess fil-Komunikazzjoni tal-Kummissjoni “Rapport dwar l-operat tar-REACH”</w:t>
      </w:r>
      <w:r>
        <w:rPr>
          <w:noProof/>
          <w:vertAlign w:val="superscript"/>
        </w:rPr>
        <w:footnoteReference w:id="80"/>
      </w:r>
      <w:r>
        <w:rPr>
          <w:noProof/>
        </w:rPr>
        <w:t>, u l-ECHA kienet mitluba żżid b’mod sinifikanti l-effiċjenza tal-proċeduri ta’ evalwazzjoni sal-2019 permezz ta’ azzjonijiet differenti.</w:t>
      </w:r>
    </w:p>
    <w:p>
      <w:pPr>
        <w:widowControl w:val="0"/>
        <w:suppressAutoHyphens/>
        <w:spacing w:line="240" w:lineRule="auto"/>
        <w:rPr>
          <w:rFonts w:cs="Times New Roman"/>
          <w:noProof/>
        </w:rPr>
      </w:pPr>
      <w:r>
        <w:rPr>
          <w:noProof/>
        </w:rPr>
        <w:t xml:space="preserve">Filwaqt li hija disponibbli </w:t>
      </w:r>
      <w:r>
        <w:rPr>
          <w:i/>
          <w:noProof/>
        </w:rPr>
        <w:t>data</w:t>
      </w:r>
      <w:r>
        <w:rPr>
          <w:noProof/>
        </w:rPr>
        <w:t xml:space="preserve"> dwar il-proprjetajiet tas-sustanzi fil-livell tal-UE, il-Komunikazzjoni hawn fuq imsemmija kkonkludiet ukoll li “l-infurzar tal-obbligi fuq l-atturi kollha, inklużi r-reġistranti, l-utenti downstream u b’mod partikolari għall-importaturi” jeħtieġ li jissaħħaħ. Sabiex jikkoordinaw u jevalwaw proġetti ta’ infurzar armonizzati u spezzjonijiet konġunti, l-Istati Membri jikkooperaw fil-Forum għall-Iskambju ta’ Informazzjoni dwar l-Infurzar stabbilit taħt REACH. Kompitu ġejjieni importanti se jkun l-integrazzjoni aħjar tal-kontrolli doganali fil-fruntieri sabiex jiġi prevenut li sustanzi pprojbiti jidħlu fis-suq intern waħedhom jew f’oġġetti mmanifatturati.</w:t>
      </w:r>
    </w:p>
    <w:p>
      <w:pPr>
        <w:widowControl w:val="0"/>
        <w:suppressAutoHyphens/>
        <w:spacing w:line="240" w:lineRule="auto"/>
        <w:rPr>
          <w:rFonts w:cs="Times New Roman"/>
          <w:noProof/>
        </w:rPr>
      </w:pPr>
      <w:r>
        <w:rPr>
          <w:noProof/>
        </w:rPr>
        <w:t xml:space="preserve">Iċ-ċikli li ġejjin tal-Analiżi tal-Implimentazzjoni Ambjentali se jfittxu li jinkludu aktar informazzjoni dwar il-konformità fil-livell tal-Istati Membri, billi jittrattaw kwistjonijiet bħall-għadd u l-kwalità tal-kontrolli doganali mill-awtoritajiet nazzjonali u l-kapaċità tal-ispettorati nazzjonali. </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Prattiki li rnexxew:</w:t>
            </w:r>
          </w:p>
          <w:p>
            <w:pPr>
              <w:spacing w:line="240" w:lineRule="auto"/>
              <w:rPr>
                <w:rFonts w:cs="Times New Roman"/>
                <w:noProof/>
              </w:rPr>
            </w:pPr>
            <w:r>
              <w:rPr>
                <w:noProof/>
              </w:rPr>
              <w:t>L-</w:t>
            </w:r>
            <w:r>
              <w:rPr>
                <w:b/>
                <w:noProof/>
              </w:rPr>
              <w:t>Italja</w:t>
            </w:r>
            <w:r>
              <w:rPr>
                <w:noProof/>
              </w:rPr>
              <w:t xml:space="preserve"> qiegħda tuża n-Netwerk Enterprise Europe tal-Kummissjoni biex ittejjeb l-għarfien tal-kumpaniji dwar ir-rwoli u l-obbligi tagħhom skont REACH, sfida partikolari meta wieħed iqis l-għadd kbir ta’ intrapriżi mikro, żgħar u ta’ daqs medju fis-settur kimiku f’dan il-pajjiż. </w:t>
            </w:r>
          </w:p>
          <w:p>
            <w:pPr>
              <w:widowControl w:val="0"/>
              <w:suppressAutoHyphens/>
              <w:spacing w:line="240" w:lineRule="auto"/>
              <w:rPr>
                <w:rFonts w:cs="Times New Roman"/>
                <w:noProof/>
              </w:rPr>
            </w:pPr>
            <w:r>
              <w:rPr>
                <w:noProof/>
              </w:rPr>
              <w:t xml:space="preserve">Il-gvern </w:t>
            </w:r>
            <w:r>
              <w:rPr>
                <w:b/>
                <w:noProof/>
              </w:rPr>
              <w:t xml:space="preserve">Olandiż </w:t>
            </w:r>
            <w:r>
              <w:rPr>
                <w:noProof/>
              </w:rPr>
              <w:t>qiegħed iħejji “Aġenda nazzjonali ta’ innovazzjoni għal sustanzi kimiċi siguri” (SCIA), inizjattiva mfassla biex tippromwovi materjali u prodotti siguri li jistgħu jissostitwixxu sustanzi kimiċi perikolużi. Din l-aġenda ta’ riċerka għandha l-għan li sservi bħala gwida għall-politiki ta’ R&amp;Ż fil-livell tal-UE u tal-Istati Membri</w:t>
            </w:r>
            <w:r>
              <w:rPr>
                <w:rFonts w:eastAsiaTheme="minorEastAsia"/>
                <w:noProof/>
              </w:rPr>
              <w:footnoteReference w:id="81"/>
            </w:r>
            <w:r>
              <w:rPr>
                <w:noProof/>
              </w:rPr>
              <w:t>.</w:t>
            </w:r>
          </w:p>
        </w:tc>
      </w:tr>
    </w:tbl>
    <w:p>
      <w:pPr>
        <w:spacing w:line="240" w:lineRule="auto"/>
        <w:rPr>
          <w:rFonts w:cs="Times New Roman"/>
          <w:noProof/>
        </w:rPr>
      </w:pPr>
    </w:p>
    <w:p>
      <w:pPr>
        <w:pStyle w:val="ListParagraph"/>
        <w:numPr>
          <w:ilvl w:val="1"/>
          <w:numId w:val="5"/>
        </w:numPr>
        <w:rPr>
          <w:rFonts w:cs="Times New Roman"/>
          <w:b/>
          <w:bCs/>
          <w:noProof/>
          <w:sz w:val="24"/>
          <w:szCs w:val="24"/>
        </w:rPr>
      </w:pPr>
      <w:r>
        <w:rPr>
          <w:b/>
          <w:noProof/>
          <w:sz w:val="24"/>
        </w:rPr>
        <w:t xml:space="preserve"> It-tassazzjoni ekoloġika, l-akkwist pubbliku ekoloġiku u l-finanzjament ambjentali</w:t>
      </w:r>
    </w:p>
    <w:p>
      <w:pPr>
        <w:rPr>
          <w:rFonts w:cs="Times New Roman"/>
          <w:noProof/>
        </w:rPr>
      </w:pPr>
      <w:r>
        <w:rPr>
          <w:noProof/>
          <w:lang w:val="en-GB" w:eastAsia="en-GB" w:bidi="ar-SA"/>
        </w:rPr>
        <w:drawing>
          <wp:anchor distT="0" distB="0" distL="114300" distR="114300" simplePos="0" relativeHeight="251664384" behindDoc="1" locked="0" layoutInCell="1" allowOverlap="1">
            <wp:simplePos x="0" y="0"/>
            <wp:positionH relativeFrom="column">
              <wp:posOffset>3781425</wp:posOffset>
            </wp:positionH>
            <wp:positionV relativeFrom="paragraph">
              <wp:posOffset>148590</wp:posOffset>
            </wp:positionV>
            <wp:extent cx="1968500" cy="2839720"/>
            <wp:effectExtent l="0" t="0" r="0" b="0"/>
            <wp:wrapTight wrapText="bothSides">
              <wp:wrapPolygon edited="0">
                <wp:start x="0" y="0"/>
                <wp:lineTo x="0" y="21445"/>
                <wp:lineTo x="21321" y="21445"/>
                <wp:lineTo x="213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68500" cy="283972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L-inċentivi finanzjarji u l-istrumenti ekonomiċi joffru mod effettiv u effiċjenti sabiex jintlaħqu l-objettivi tal-politika ambjentali. Ir-rapporti tal-pajjiżi jipprovdu analiżi tat-tassazzjoni ambjentali, tal-eliminazzjoni gradwali tas-sussidji li jagħmlu ħsara lill-ambjent u tal-akkwist pubbliku ekoloġiku. Il-Kummissjoni tiddiskuti l-użu ta’ dawn l-istrumenti ekonomiċi fil-kuntest aktar wiesa’ tas-Semestru Ewropew u għalhekk hawnhekk ma hija inkluża l-ebda azzjoni ta’ prijorità ġdida speċifika. </w:t>
      </w:r>
    </w:p>
    <w:p>
      <w:pPr>
        <w:rPr>
          <w:rFonts w:cs="Times New Roman"/>
          <w:noProof/>
        </w:rPr>
      </w:pPr>
      <w:r>
        <w:rPr>
          <w:noProof/>
        </w:rPr>
        <w:t>Ħafna drabi huwa neċessarju finanzjament iddedikat sabiex jintlaħqu l-għanijiet ambjentali. Tali finanzjament jista’ jiġi minn fondi pubbliċi tal-UE u nazzjonali kif ukoll minn self mill-BEI u minn banek nazzjonali, u jista' jikkomplementa l-investimenti privati neċessarji. L-analiżi fir-rapporti tal-pajjiżi tipprova tirrifletti d-diversi sorsi ta’ investiment pubbliku u tpoġġihom f’perspettiva, pereżempju bħala perċentwal tal-PDG</w:t>
      </w:r>
      <w:r>
        <w:rPr>
          <w:noProof/>
          <w:vertAlign w:val="superscript"/>
        </w:rPr>
        <w:footnoteReference w:id="82"/>
      </w:r>
      <w:r>
        <w:rPr>
          <w:noProof/>
        </w:rPr>
        <w:t>.</w:t>
      </w:r>
    </w:p>
    <w:p>
      <w:pPr>
        <w:spacing w:after="200" w:line="276" w:lineRule="auto"/>
        <w:jc w:val="left"/>
        <w:rPr>
          <w:rFonts w:cs="Times New Roman"/>
          <w:i/>
          <w:iCs/>
          <w:noProof/>
        </w:rPr>
      </w:pPr>
      <w:r>
        <w:rPr>
          <w:i/>
          <w:noProof/>
        </w:rPr>
        <w:t>Sejbiet ta' politika:</w:t>
      </w:r>
    </w:p>
    <w:p>
      <w:pPr>
        <w:pStyle w:val="ListParagraph"/>
        <w:numPr>
          <w:ilvl w:val="0"/>
          <w:numId w:val="3"/>
        </w:numPr>
        <w:spacing w:line="240" w:lineRule="auto"/>
        <w:contextualSpacing w:val="0"/>
        <w:rPr>
          <w:rFonts w:cs="Times New Roman"/>
          <w:i/>
          <w:iCs/>
          <w:noProof/>
        </w:rPr>
      </w:pPr>
      <w:r>
        <w:rPr>
          <w:i/>
          <w:noProof/>
        </w:rPr>
        <w:t>Il-proporzjon tat-taxxi ambjentali għall-PDG ivarja minn madwar 1.7 % għal 4 %. Fl-2017 diversi Stati Membri introduċew taxxi relatati mal-ambjent, inkluża ż-żieda fil-prezz tad-diżil</w:t>
      </w:r>
      <w:r>
        <w:rPr>
          <w:i/>
          <w:noProof/>
          <w:vertAlign w:val="superscript"/>
        </w:rPr>
        <w:footnoteReference w:id="83"/>
      </w:r>
      <w:r>
        <w:rPr>
          <w:i/>
          <w:noProof/>
        </w:rPr>
        <w:t>, jew it-tnaqqis tas-sussidji li jagħmlu ħsara lill-ambjent. Madankollu, f’diversi Stati Membri għad hemm vantaġġi fiskali għall-użu privat tal-karozzi tal-kumpaniji li jxekklu l-progress biex jiġu indirizzati l-konġestjoni tat-traffiku u t-tniġġis tal-arja</w:t>
      </w:r>
      <w:r>
        <w:rPr>
          <w:i/>
          <w:noProof/>
          <w:vertAlign w:val="superscript"/>
        </w:rPr>
        <w:footnoteReference w:id="84"/>
      </w:r>
      <w:r>
        <w:rPr>
          <w:i/>
          <w:noProof/>
        </w:rPr>
        <w:t>.</w:t>
      </w:r>
    </w:p>
    <w:p>
      <w:pPr>
        <w:pStyle w:val="ListParagraph"/>
        <w:numPr>
          <w:ilvl w:val="0"/>
          <w:numId w:val="3"/>
        </w:numPr>
        <w:spacing w:line="240" w:lineRule="auto"/>
        <w:contextualSpacing w:val="0"/>
        <w:rPr>
          <w:rFonts w:cs="Times New Roman"/>
          <w:i/>
          <w:iCs/>
          <w:noProof/>
        </w:rPr>
      </w:pPr>
      <w:r>
        <w:rPr>
          <w:i/>
          <w:noProof/>
        </w:rPr>
        <w:t>Fi ħdan il-Fondi Strutturali u ta’ Investiment Ewropej (FSIE), ‘il-ħarsien tal-ambjent u l-effiċjenza fir-riżorsi’ tikkostitwixxi l-akbar allokazzjoni fil-perjodu 2014-20 fi 12-il Stat Membru</w:t>
      </w:r>
      <w:r>
        <w:rPr>
          <w:i/>
          <w:noProof/>
        </w:rPr>
        <w:footnoteReference w:id="85"/>
      </w:r>
      <w:r>
        <w:rPr>
          <w:i/>
          <w:noProof/>
        </w:rPr>
        <w:t>. Barra minn hekk, l-allokazzjonijiet tal-UE għall-ambjent kienu ogħla min-nefqa pubblika tal-gvernijiet nazzjonali fuq l-ambjent fil-perjodu 2014-2018 għal 11-il Stat Membru</w:t>
      </w:r>
      <w:r>
        <w:rPr>
          <w:i/>
          <w:noProof/>
        </w:rPr>
        <w:footnoteReference w:id="86"/>
      </w:r>
      <w:r>
        <w:rPr>
          <w:i/>
          <w:noProof/>
        </w:rPr>
        <w:t xml:space="preserve">. </w:t>
      </w:r>
    </w:p>
    <w:tbl>
      <w:tblPr>
        <w:tblStyle w:val="TableGrid"/>
        <w:tblpPr w:leftFromText="180" w:rightFromText="180" w:vertAnchor="text" w:horzAnchor="margin" w:tblpY="1470"/>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Prattiki li rnexxew:</w:t>
            </w:r>
          </w:p>
          <w:p>
            <w:pPr>
              <w:rPr>
                <w:rFonts w:cs="Times New Roman"/>
                <w:noProof/>
              </w:rPr>
            </w:pPr>
            <w:r>
              <w:rPr>
                <w:noProof/>
              </w:rPr>
              <w:t>It-taxxa fuq il-landfills fir-</w:t>
            </w:r>
            <w:r>
              <w:rPr>
                <w:b/>
                <w:noProof/>
              </w:rPr>
              <w:t>Renju Unit</w:t>
            </w:r>
            <w:r>
              <w:rPr>
                <w:noProof/>
              </w:rPr>
              <w:t xml:space="preserve"> bdiet tipproduċi impatti ċari fuq it-tnaqqis tar-rimi f’landfills. Iż-żieda fit-taxxa fuq il-landfills – attwalment waħda mill-ogħla fl-Ewropa - effettivament naqqset ir-rimi tal-iskart, u b’hekk immassimizzat ir-riċiklaġġ tal-materjal xott u tal-iskart tal-ikel.</w:t>
            </w:r>
          </w:p>
          <w:p>
            <w:pPr>
              <w:rPr>
                <w:rFonts w:cs="Times New Roman"/>
                <w:noProof/>
              </w:rPr>
            </w:pPr>
            <w:r>
              <w:rPr>
                <w:noProof/>
              </w:rPr>
              <w:t>L-</w:t>
            </w:r>
            <w:r>
              <w:rPr>
                <w:b/>
                <w:noProof/>
              </w:rPr>
              <w:t>Awstrija</w:t>
            </w:r>
            <w:r>
              <w:rPr>
                <w:noProof/>
              </w:rPr>
              <w:t xml:space="preserve"> stabbiliet pjattaforma u helpdesk biex tiffaċilita l-iskambju ta’ esperjenzi bejn l-uffiċjali tal-akkwist pubbliku ekoloġiku f’livelli differenti tal-gvern. </w:t>
            </w:r>
          </w:p>
          <w:p>
            <w:pPr>
              <w:spacing w:line="240" w:lineRule="auto"/>
              <w:rPr>
                <w:rFonts w:cs="Times New Roman"/>
                <w:noProof/>
              </w:rPr>
            </w:pPr>
            <w:r>
              <w:rPr>
                <w:noProof/>
              </w:rPr>
              <w:t>Il-</w:t>
            </w:r>
            <w:r>
              <w:rPr>
                <w:b/>
                <w:noProof/>
              </w:rPr>
              <w:t>Polonja</w:t>
            </w:r>
            <w:r>
              <w:rPr>
                <w:noProof/>
              </w:rPr>
              <w:t xml:space="preserve"> għandha tariffa fuq l-ilma mormi, li d-dħul minnha jintuża għal investimenti għall-ħarsien tal-ambjent. L-</w:t>
            </w:r>
            <w:r>
              <w:rPr>
                <w:b/>
                <w:noProof/>
              </w:rPr>
              <w:t>Iżvezja</w:t>
            </w:r>
            <w:r>
              <w:rPr>
                <w:noProof/>
              </w:rPr>
              <w:t xml:space="preserve"> għandha fis-seħħ taxxi fuq l-NO</w:t>
            </w:r>
            <w:r>
              <w:rPr>
                <w:noProof/>
                <w:vertAlign w:val="subscript"/>
              </w:rPr>
              <w:t>x</w:t>
            </w:r>
            <w:r>
              <w:rPr>
                <w:noProof/>
              </w:rPr>
              <w:t xml:space="preserve"> u l-SO</w:t>
            </w:r>
            <w:r>
              <w:rPr>
                <w:noProof/>
                <w:vertAlign w:val="subscript"/>
              </w:rPr>
              <w:t>2</w:t>
            </w:r>
            <w:r>
              <w:rPr>
                <w:noProof/>
              </w:rPr>
              <w:t>, li wassal għat-tnaqqis ta’ dawn is-sustanzi li jniġġsu l-arja; u fl-2018 ġew introdotti taxxi fuq is-sustanzi kimiċi, l-ivvjaġġar bl-ajru kif ukoll sistema ta’ indiċjar tat-taxxi ambjentali. Il-</w:t>
            </w:r>
            <w:r>
              <w:rPr>
                <w:b/>
                <w:noProof/>
              </w:rPr>
              <w:t>Kroazja</w:t>
            </w:r>
            <w:r>
              <w:rPr>
                <w:noProof/>
              </w:rPr>
              <w:t xml:space="preserve"> għandha Tariffa għall-Funzjoni ta’ Benefiċċju Pubbliku tal-Foresti, li tirrikjedi lill-kumpaniji jikkontribwixxu finanzjarjament għall-ġestjoni tal-foresti. Baden-Wurttemberg (</w:t>
            </w:r>
            <w:r>
              <w:rPr>
                <w:b/>
                <w:noProof/>
              </w:rPr>
              <w:t>Ġermanja</w:t>
            </w:r>
            <w:r>
              <w:rPr>
                <w:noProof/>
              </w:rPr>
              <w:t>) jagħti remunerazzjoni lill-bdiewa talli jkollhom speċijiet ta’ fjuri selvaġġi fil-bur tagħhom.</w:t>
            </w:r>
          </w:p>
        </w:tc>
      </w:tr>
    </w:tbl>
    <w:p>
      <w:pPr>
        <w:pStyle w:val="ListParagraph"/>
        <w:numPr>
          <w:ilvl w:val="0"/>
          <w:numId w:val="3"/>
        </w:numPr>
        <w:spacing w:line="240" w:lineRule="auto"/>
        <w:contextualSpacing w:val="0"/>
        <w:rPr>
          <w:rFonts w:cs="Times New Roman"/>
          <w:i/>
          <w:iCs/>
          <w:noProof/>
        </w:rPr>
      </w:pPr>
      <w:r>
        <w:rPr>
          <w:i/>
          <w:noProof/>
        </w:rPr>
        <w:t>F’diversi Stati Membri, l-isfida prinċipali għall-finanzjament ambjentali hija li jkun żgurat li dan jibqa’ f’livell adegwat</w:t>
      </w:r>
      <w:r>
        <w:rPr>
          <w:noProof/>
          <w:vertAlign w:val="superscript"/>
        </w:rPr>
        <w:footnoteReference w:id="87"/>
      </w:r>
      <w:r>
        <w:rPr>
          <w:i/>
          <w:noProof/>
        </w:rPr>
        <w:t>. F’xi Stati Membri, hemm kwistjoni bl-użu effettiv tal-fondi tal-UE</w:t>
      </w:r>
      <w:r>
        <w:rPr>
          <w:noProof/>
          <w:vertAlign w:val="superscript"/>
        </w:rPr>
        <w:footnoteReference w:id="88"/>
      </w:r>
      <w:r>
        <w:rPr>
          <w:i/>
          <w:noProof/>
        </w:rPr>
        <w:t>, xi drabi kkawżata mill-kapaċità insuffiċjenti tal-amministrazzjonijiet. L-indirizzar mill-ġdid tal-fondi għal proġetti mhux ambjentali jista’ jevita li jintilfu l-flus, iżda dan jista’ jwassal għal dewmien fir-rigward tal-implimentazzjoni ambjentali.</w:t>
      </w:r>
    </w:p>
    <w:p>
      <w:pPr>
        <w:spacing w:before="240"/>
        <w:rPr>
          <w:rFonts w:cs="Times New Roman"/>
          <w:b/>
          <w:bCs/>
          <w:noProof/>
          <w:sz w:val="24"/>
          <w:szCs w:val="24"/>
        </w:rPr>
      </w:pPr>
      <w:r>
        <w:rPr>
          <w:b/>
          <w:noProof/>
          <w:sz w:val="24"/>
        </w:rPr>
        <w:t xml:space="preserve">2.6. </w:t>
      </w:r>
      <w:r>
        <w:rPr>
          <w:noProof/>
        </w:rPr>
        <w:tab/>
      </w:r>
      <w:r>
        <w:rPr>
          <w:b/>
          <w:noProof/>
          <w:sz w:val="24"/>
        </w:rPr>
        <w:t>Appoġġ għal azzjoni multilaterali</w:t>
      </w:r>
    </w:p>
    <w:p>
      <w:pPr>
        <w:rPr>
          <w:rFonts w:cs="Times New Roman"/>
          <w:noProof/>
        </w:rPr>
      </w:pPr>
      <w:r>
        <w:rPr>
          <w:noProof/>
        </w:rPr>
        <w:t xml:space="preserve">L-UE hija impenjata li ssaħħaħ il-liġijiet ambjentali u l-implimentazzjoni tagħhom b’mod globali, fost l-oħrajn billi tappoġġa l-Patt Globali għall-proċess dwar l-Ambjent, li ġie approvat mill-Assemblea Ġenerali tan-Nazzjonijiet Uniti (NU) f’Mejju 2018. Il-Ftehim ta’ Pariġi dwar it-tibdil fil-klima huwa wkoll ta’ importanza kruċjali, u kemm il-Kummissjoni kif ukoll l-Istati Membri jaħdmu attivament fuq l-implimentazzjoni sħiħa tiegħu. Barra minn hekk, bħala parti mill-obbligi internazzjonali tagħha u fid-dawl tan-natura globali tal-isfidi u l-opportunitajiet ambjentali, l-UE hija impenjata li tappoġġa l-ħarsien tal-ambjent fil-pajjiżi sħab permezz tal-mekkaniżmi ta’ kooperazzjoni u żvilupp internazzjonali tagħha. </w:t>
      </w:r>
    </w:p>
    <w:p>
      <w:pPr>
        <w:rPr>
          <w:rFonts w:cs="Times New Roman"/>
          <w:noProof/>
        </w:rPr>
      </w:pPr>
      <w:r>
        <w:rPr>
          <w:noProof/>
        </w:rPr>
        <w:t xml:space="preserve">L-Analiżi tal-Implimentazzjoni Ambjentali hija waħda mill-għodod sabiex ikun żgurat li l-Istati Membri jagħtu eżempju tajjeb billi jirrispettaw il-politiki, il-liġijiet u l-ftehimiet internazzjonali Ewropej, u għalhekk tkompli timmonitorja l-istatus ta’ ratifika u l-implimentazzjoni tal-ftehimiet internazzjonali. </w:t>
      </w:r>
    </w:p>
    <w:p>
      <w:pPr>
        <w:rPr>
          <w:rFonts w:cs="Times New Roman"/>
          <w:noProof/>
        </w:rPr>
      </w:pPr>
      <w:r>
        <w:rPr>
          <w:noProof/>
        </w:rPr>
        <w:t>Ir-rapporti l-ġodda tal-pajjiżi jeżaminaw ukoll l-oqfsa amministrattivi sabiex jiġu indirizzati l-kummerċ internazzjonali ta’ injam tropikali, l-aċċess għar-riżorsi ġenetiċi u l-kummerċ internazzjonali ta’ organiżmi selvaġġi. Ir-Regolament tal-UE dwar l-Injam huwa eżempju ta’ appoġġ konkret mill-Kummissjoni Ewropea; fl-2018, ġew organizzati żewġ workshops għal diversi pajjiżi dwar kif tista’ tittejjeb l-implimentazzjoni tiegħu, fl-ambitu tal-għodda TAIEX-EIR Peer to Peer, bil-parteċipazzjoni ta’ tnax-il Stat Membru.</w:t>
      </w:r>
    </w:p>
    <w:p>
      <w:pPr>
        <w:rPr>
          <w:rFonts w:cs="Times New Roman"/>
          <w:noProof/>
        </w:rPr>
      </w:pPr>
      <w:r>
        <w:rPr>
          <w:noProof/>
        </w:rPr>
        <w:t>L-implimentazzjoni ambjentali tajba fi ħdan l-UE hija essenzjali sabiex tinkiseb implimentazzjoni sħiħa tal-Għanijiet ta’ Żvilupp Sostenibbli (SDGs), li kienu maqbula fl-2015. Dan jirrigwarda b’mod partikolari l-għanijiet dwar il-ħarsien tal-ekosistemi tal-ilma mit-tniġġis u l-użu tal-ilma b’mod sostenibbli (SDG6), il-konsum u l-produzzjoni sostenibbli (SDG12), l-azzjoni klimatika (SDG13), il-ħarsien tal-ekosistemi tal-baħar (SDG14), u l-indirizzar tal-pressjonijiet fuq il-kapital naturali tal-Ewropa (SDG15). Sabiex jiġu indirizzati d-diskrepanzi fl-implimentazzjoni ambjentali, huwa essenzjali li jkun hemm istituzzjonijiet u governanza effettivi (SDG16), u li tittejjeb il-koerenza tal-politiki u tiġi stimulata l-kooperazzjoni fi sħubijiet bejn diversi partijiet interessati (SDG17). L-għanijiet ta’ żvilupp sostenibbli jistimulaw ukoll l-integrazzjoni ambjentali minħabba li jgħaqqdu l-politiki ambjentali, soċjali u ekonomiċi f’qafas koerenti.</w:t>
      </w:r>
    </w:p>
    <w:p>
      <w:pPr>
        <w:rPr>
          <w:rFonts w:cs="Times New Roman"/>
          <w:i/>
          <w:iCs/>
          <w:noProof/>
        </w:rPr>
      </w:pPr>
      <w:r>
        <w:rPr>
          <w:i/>
          <w:noProof/>
        </w:rPr>
        <w:t>Sejbiet ta' politika:</w:t>
      </w:r>
    </w:p>
    <w:p>
      <w:pPr>
        <w:pStyle w:val="ListParagraph"/>
        <w:numPr>
          <w:ilvl w:val="0"/>
          <w:numId w:val="3"/>
        </w:numPr>
        <w:spacing w:line="240" w:lineRule="auto"/>
        <w:contextualSpacing w:val="0"/>
        <w:rPr>
          <w:rFonts w:cs="Times New Roman"/>
          <w:i/>
          <w:iCs/>
          <w:noProof/>
        </w:rPr>
      </w:pPr>
      <w:r>
        <w:rPr>
          <w:i/>
          <w:noProof/>
        </w:rPr>
        <w:t>Bosta Stati Membri għad iridu jiffirmaw u jirratifikaw ftehim ambjentali multilaterali wieħed jew aktar</w:t>
      </w:r>
      <w:r>
        <w:rPr>
          <w:noProof/>
          <w:vertAlign w:val="superscript"/>
        </w:rPr>
        <w:footnoteReference w:id="89"/>
      </w:r>
      <w:r>
        <w:rPr>
          <w:i/>
          <w:noProof/>
        </w:rPr>
        <w:t>.</w:t>
      </w:r>
    </w:p>
    <w:p>
      <w:pPr>
        <w:pStyle w:val="ListParagraph"/>
        <w:numPr>
          <w:ilvl w:val="0"/>
          <w:numId w:val="3"/>
        </w:numPr>
        <w:spacing w:line="240" w:lineRule="auto"/>
        <w:contextualSpacing w:val="0"/>
        <w:rPr>
          <w:rFonts w:cs="Times New Roman"/>
          <w:i/>
          <w:iCs/>
          <w:noProof/>
        </w:rPr>
      </w:pPr>
      <w:r>
        <w:rPr>
          <w:i/>
          <w:noProof/>
        </w:rPr>
        <w:t xml:space="preserve">Xi Stati Membri jenħtieġ li jtejbu l-implimentazzjoni tagħhom tar-regoli tal-UE dwar l-użu tar-riżorsi ġenetiċi, u diversi pajjiżi għadhom mhumiex qegħdin jimplimentaw b’mod sħiħ ir-regoli dwar l-injam tropikali. </w:t>
      </w:r>
    </w:p>
    <w:tbl>
      <w:tblPr>
        <w:tblStyle w:val="TableGrid"/>
        <w:tblpPr w:leftFromText="180" w:rightFromText="180" w:vertAnchor="text" w:horzAnchor="margin" w:tblpY="67"/>
        <w:tblOverlap w:val="never"/>
        <w:tblW w:w="9242" w:type="dxa"/>
        <w:shd w:val="clear" w:color="auto" w:fill="EAF1DD" w:themeFill="accent3" w:themeFillTint="33"/>
        <w:tblLook w:val="04A0" w:firstRow="1" w:lastRow="0" w:firstColumn="1" w:lastColumn="0" w:noHBand="0" w:noVBand="1"/>
      </w:tblPr>
      <w:tblGrid>
        <w:gridCol w:w="9242"/>
      </w:tblGrid>
      <w:tr>
        <w:trPr>
          <w:trHeight w:val="1550"/>
        </w:trPr>
        <w:tc>
          <w:tcPr>
            <w:tcW w:w="9242" w:type="dxa"/>
            <w:shd w:val="clear" w:color="auto" w:fill="EAF1DD" w:themeFill="accent3" w:themeFillTint="33"/>
          </w:tcPr>
          <w:p>
            <w:pPr>
              <w:spacing w:after="200" w:line="240" w:lineRule="auto"/>
              <w:jc w:val="left"/>
              <w:rPr>
                <w:rFonts w:cs="Times New Roman"/>
                <w:b/>
                <w:bCs/>
                <w:noProof/>
              </w:rPr>
            </w:pPr>
            <w:r>
              <w:rPr>
                <w:b/>
                <w:noProof/>
              </w:rPr>
              <w:t>Prattiki li rnexxew:</w:t>
            </w:r>
          </w:p>
          <w:p>
            <w:pPr>
              <w:pStyle w:val="CommentText"/>
              <w:rPr>
                <w:rFonts w:cs="Times New Roman"/>
                <w:noProof/>
              </w:rPr>
            </w:pPr>
            <w:r>
              <w:rPr>
                <w:noProof/>
                <w:sz w:val="22"/>
              </w:rPr>
              <w:t xml:space="preserve">Il-koordinazzjoni orizzontali tal-azzjonijiet sabiex jintlaħqu l-SDGs qiegħda żżid fil-momentum fl-Ewropa. </w:t>
            </w:r>
            <w:r>
              <w:rPr>
                <w:b/>
                <w:noProof/>
                <w:sz w:val="22"/>
              </w:rPr>
              <w:t>Spanja</w:t>
            </w:r>
            <w:r>
              <w:rPr>
                <w:noProof/>
                <w:sz w:val="22"/>
              </w:rPr>
              <w:t xml:space="preserve"> ħatret Kummissarju Għoli għall-Aġenda 2030, li jirrapporta direttament lill-President tal-Gvern. </w:t>
            </w:r>
            <w:r>
              <w:rPr>
                <w:b/>
                <w:noProof/>
                <w:sz w:val="22"/>
              </w:rPr>
              <w:t>Franza</w:t>
            </w:r>
            <w:r>
              <w:rPr>
                <w:noProof/>
                <w:sz w:val="22"/>
              </w:rPr>
              <w:t xml:space="preserve"> ħatret Delegat Interministerjali għall-Iżvilupp Sostenibbli taħt l-awtorità tal-Prim Ministru.</w:t>
            </w:r>
          </w:p>
        </w:tc>
      </w:tr>
    </w:tbl>
    <w:p>
      <w:pPr>
        <w:pStyle w:val="ListParagraph"/>
        <w:numPr>
          <w:ilvl w:val="0"/>
          <w:numId w:val="5"/>
        </w:numPr>
        <w:spacing w:before="240"/>
        <w:rPr>
          <w:rFonts w:cs="Times New Roman"/>
          <w:b/>
          <w:bCs/>
          <w:noProof/>
          <w:sz w:val="28"/>
          <w:szCs w:val="28"/>
        </w:rPr>
      </w:pPr>
      <w:r>
        <w:rPr>
          <w:b/>
          <w:noProof/>
          <w:sz w:val="28"/>
        </w:rPr>
        <w:t>Tisħiħ tal-governanza ambjentali</w:t>
      </w:r>
    </w:p>
    <w:p>
      <w:pPr>
        <w:pStyle w:val="ListParagraph"/>
        <w:ind w:left="360"/>
        <w:rPr>
          <w:rFonts w:cs="Times New Roman"/>
          <w:b/>
          <w:noProof/>
          <w:sz w:val="24"/>
        </w:rPr>
      </w:pPr>
    </w:p>
    <w:p>
      <w:pPr>
        <w:pStyle w:val="ListParagraph"/>
        <w:numPr>
          <w:ilvl w:val="1"/>
          <w:numId w:val="18"/>
        </w:numPr>
        <w:rPr>
          <w:rFonts w:cs="Times New Roman"/>
          <w:b/>
          <w:bCs/>
          <w:noProof/>
          <w:sz w:val="24"/>
          <w:szCs w:val="24"/>
        </w:rPr>
      </w:pPr>
      <w:r>
        <w:rPr>
          <w:b/>
          <w:noProof/>
          <w:sz w:val="24"/>
        </w:rPr>
        <w:t xml:space="preserve"> Il-governanza ambjentali</w:t>
      </w:r>
    </w:p>
    <w:p>
      <w:pPr>
        <w:rPr>
          <w:rFonts w:cs="Times New Roman"/>
          <w:noProof/>
        </w:rPr>
      </w:pPr>
      <w:r>
        <w:rPr>
          <w:noProof/>
        </w:rPr>
        <w:t>Il-kwalità tal-amministrazzjoni pubblika tal-Istati Membri għandha impatt sinifikanti fuq ir-riżultati tal-politiki tal-UE. Skont studju tal-2018</w:t>
      </w:r>
      <w:r>
        <w:rPr>
          <w:noProof/>
        </w:rPr>
        <w:footnoteReference w:id="90"/>
      </w:r>
      <w:r>
        <w:rPr>
          <w:noProof/>
        </w:rPr>
        <w:t xml:space="preserve">, il-kwalità tas-servizzi pubbliċi ta’ pajjiż tikkorrelata mal-livell ta’ fiduċja fl-amministrazzjoni pubblika, il-faċilità li biha jitwettaq in-negozju u l-benesseri tas-soċjetà. </w:t>
      </w:r>
    </w:p>
    <w:p>
      <w:pPr>
        <w:rPr>
          <w:rFonts w:cs="Times New Roman"/>
          <w:noProof/>
        </w:rPr>
      </w:pPr>
      <w:r>
        <w:rPr>
          <w:noProof/>
        </w:rPr>
        <w:t>L-Analiżi tal-Implimentazzjoni Ambjentali tal-2017 identifikat għadd ta’ kawżi ewlenin komuni tad-diskrepanzi fl-implimentazzjoni relatati mal-governanza</w:t>
      </w:r>
      <w:r>
        <w:rPr>
          <w:noProof/>
        </w:rPr>
        <w:footnoteReference w:id="91"/>
      </w:r>
      <w:r>
        <w:rPr>
          <w:noProof/>
        </w:rPr>
        <w:t>, iżda kienet meħtieġa analiżi aktar sistematika. Tnediet valutazzjoni tal-prestazzjoni fil-governanza ambjentali tal-Istati Membri bħala l-ewwel pass lejn it-tagħlim reċiproku u s-sejbien ta’ soluzzjonijiet imfasslin apposta</w:t>
      </w:r>
      <w:r>
        <w:rPr>
          <w:noProof/>
        </w:rPr>
        <w:footnoteReference w:id="92"/>
      </w:r>
      <w:r>
        <w:rPr>
          <w:noProof/>
        </w:rPr>
        <w:t>. Il-Kummissjoni se tiddiskuti, fi ħdan il-Forum dwar il-Konformità u l-Governanza Ambjentali</w:t>
      </w:r>
      <w:r>
        <w:rPr>
          <w:noProof/>
        </w:rPr>
        <w:footnoteReference w:id="93"/>
      </w:r>
      <w:r>
        <w:rPr>
          <w:noProof/>
        </w:rPr>
        <w:t xml:space="preserve"> u fil-grupp ta’ esperti tal-Analiżi tal-Implimentazzjoni Ambjentali</w:t>
      </w:r>
      <w:r>
        <w:rPr>
          <w:noProof/>
        </w:rPr>
        <w:footnoteReference w:id="94"/>
      </w:r>
      <w:r>
        <w:rPr>
          <w:noProof/>
        </w:rPr>
        <w:t>, kif ir-riżultati u d-</w:t>
      </w:r>
      <w:r>
        <w:rPr>
          <w:i/>
          <w:noProof/>
        </w:rPr>
        <w:t>data</w:t>
      </w:r>
      <w:r>
        <w:rPr>
          <w:noProof/>
        </w:rPr>
        <w:t xml:space="preserve"> miġbura fi ħdan il-proġett jistgħu jintużaw u jiġu aġġornati biex jappoġġaw iċ-ċikli futuri tal-Analiżi tal-Implimentazzjoni Ambjentali.</w:t>
      </w:r>
    </w:p>
    <w:p>
      <w:pPr>
        <w:rPr>
          <w:rFonts w:cs="Times New Roman"/>
          <w:noProof/>
        </w:rPr>
      </w:pPr>
      <w:r>
        <w:rPr>
          <w:noProof/>
        </w:rPr>
        <w:t>F’termini ta’ progress mill-2017 ’l hawn, l-istandards importanti għat-trasparenza, il-parteċipazzjoni pubblika u l-aċċess għall-ġustizzja stabbiliti mill-Konvenzjoni ta’ Aarhus</w:t>
      </w:r>
      <w:r>
        <w:rPr>
          <w:noProof/>
        </w:rPr>
        <w:footnoteReference w:id="95"/>
      </w:r>
      <w:r>
        <w:rPr>
          <w:noProof/>
        </w:rPr>
        <w:t xml:space="preserve"> għadhom ma ġewx realizzati b’mod sħiħ madwar l-UE. Aktar sforzi f’dawn l-oqsma jkunu ta’ benefiċċju għaċ-ċittadini, għan-negozji u għall-amministrazzjonijiet. Id-dritt tal-partijiet interessati kkonċernati, li jippreżentaw kontestazzjonijiet legali quddiem il-qrati nazzjonali, ħafna drabi bbażati fuq is-sentenzi tal-Qorti tal-Ġustizzja tal-Unjoni Ewropea, huwa rikonoxxut dejjem aktar. Sabiex tiġi faċilitata l-azzjoni ġudizzjarja minn persuni fiżiċi u ġuridiċi, fl-2017 ġiet adottata komunikazzjoni interpretattiva dwar l-aċċess għall-ġustizzja fi kwistjonijiet ambjentali</w:t>
      </w:r>
      <w:r>
        <w:rPr>
          <w:noProof/>
        </w:rPr>
        <w:footnoteReference w:id="96"/>
      </w:r>
      <w:r>
        <w:rPr>
          <w:noProof/>
        </w:rPr>
        <w:t xml:space="preserve">. </w:t>
      </w:r>
    </w:p>
    <w:p>
      <w:pPr>
        <w:rPr>
          <w:rFonts w:cs="Times New Roman"/>
          <w:noProof/>
        </w:rPr>
      </w:pPr>
      <w:r>
        <w:rPr>
          <w:noProof/>
        </w:rPr>
        <w:t>Barra minn hekk, il-Pjan ta’ Azzjoni dwar l-Assigurazzjoni tal-Kwalità</w:t>
      </w:r>
      <w:r>
        <w:rPr>
          <w:noProof/>
        </w:rPr>
        <w:footnoteReference w:id="97"/>
      </w:r>
      <w:r>
        <w:rPr>
          <w:noProof/>
        </w:rPr>
        <w:t xml:space="preserve"> li ġie adottat fil-bidu tal-2018 għandu jipprovdi prattiki tajba u gwida dwar kif għandhom jiġu ttrattati l-ilmenti, jiġu miġġielda r-reati ambjentali u tiġi żgurata l-konformità f’żoni rurali, kif ukoll qafas aktar wiesa’ għall-valutazzjoni ta’ kif l-Istati Membri jiksbu l-konformità ambjentali. </w:t>
      </w:r>
    </w:p>
    <w:p>
      <w:pPr>
        <w:rPr>
          <w:rFonts w:cs="Times New Roman"/>
          <w:noProof/>
        </w:rPr>
      </w:pPr>
      <w:r>
        <w:rPr>
          <w:noProof/>
        </w:rPr>
        <w:t>Ir-Regolament dwar il-governanza tal-unjoni tal-enerġija u tal-azzjoni klimatika daħal fis-seħħ f’Diċembru 2018, u se jsaħħaħ b’mod sinifikanti l-integrazzjoni bejn il-politiki dwar l-enerġija, il-klima u l-ambjent, b’mod partikolari bl-obbligu li l-Istati Membri jħejju pjanijiet nazzjonali dwar l-enerġija u l-klima</w:t>
      </w:r>
      <w:r>
        <w:rPr>
          <w:noProof/>
        </w:rPr>
        <w:footnoteReference w:id="98"/>
      </w:r>
      <w:r>
        <w:rPr>
          <w:noProof/>
        </w:rPr>
        <w:t>.</w:t>
      </w:r>
    </w:p>
    <w:p>
      <w:pPr>
        <w:rPr>
          <w:rFonts w:cs="Times New Roman"/>
          <w:noProof/>
        </w:rPr>
      </w:pPr>
      <w:r>
        <w:rPr>
          <w:noProof/>
        </w:rPr>
        <w:t>Il-ħtieġa li jiġu miġġielda r-reati ambjentali, u speċjalment it-traffikar ta’ organiżmi selvaġġi u tal-iskart, ġiet rikonoxxuta bħala prijorità bħala parti mill-politika tal-UE kontra l-kriminalità organizzata għall-perjodu 2018-2021</w:t>
      </w:r>
      <w:r>
        <w:rPr>
          <w:noProof/>
        </w:rPr>
        <w:footnoteReference w:id="99"/>
      </w:r>
      <w:r>
        <w:rPr>
          <w:noProof/>
        </w:rPr>
        <w:t xml:space="preserve">. B’riżultat ta’ dan, twettqu bosta azzjonijiet konkreti madwar l-UE, immexxija minn aġenziji tal-infurzar fl-Istati Membri, b’appoġġ mill-Europol u finanzjament tal-UE, kontra diversi tipi ta’ reati ambjentali. </w:t>
      </w:r>
    </w:p>
    <w:p>
      <w:pPr>
        <w:rPr>
          <w:rFonts w:cs="Times New Roman"/>
          <w:noProof/>
        </w:rPr>
      </w:pPr>
      <w:r>
        <w:rPr>
          <w:noProof/>
        </w:rPr>
        <w:t>Mhux l-anqas, in-netwerks ta’ professjonisti (eż. l-IMPEL</w:t>
      </w:r>
      <w:r>
        <w:rPr>
          <w:noProof/>
        </w:rPr>
        <w:footnoteReference w:id="100"/>
      </w:r>
      <w:r>
        <w:rPr>
          <w:noProof/>
        </w:rPr>
        <w:t>) qed jaqdu rwol kruċjali u l-Kummissjoni beħsiebha ssaħħaħ aktar ir-rwol tagħhom. Id-diġitalizzazzjoni u s-servizzi tal-Gvern elettroniku jistgħu wkoll jgħinu biex tiġi żviluppata amministrazzjoni tal-infurzar aktar effettiva u aktar integrata. Diversi inizjattivi tal-UE</w:t>
      </w:r>
      <w:r>
        <w:rPr>
          <w:noProof/>
        </w:rPr>
        <w:footnoteReference w:id="101"/>
      </w:r>
      <w:r>
        <w:rPr>
          <w:noProof/>
        </w:rPr>
        <w:t xml:space="preserve"> jappoġġaw lill-Istati Membri għal dan il-għan. </w:t>
      </w:r>
    </w:p>
    <w:p>
      <w:pPr>
        <w:spacing w:after="200" w:line="240" w:lineRule="auto"/>
        <w:jc w:val="left"/>
        <w:rPr>
          <w:rFonts w:cs="Times New Roman"/>
          <w:i/>
          <w:iCs/>
          <w:noProof/>
        </w:rPr>
      </w:pPr>
      <w:r>
        <w:rPr>
          <w:i/>
          <w:noProof/>
        </w:rPr>
        <w:t>Sejbiet ta' politika:</w:t>
      </w:r>
    </w:p>
    <w:p>
      <w:pPr>
        <w:pStyle w:val="ListParagraph"/>
        <w:numPr>
          <w:ilvl w:val="0"/>
          <w:numId w:val="3"/>
        </w:numPr>
        <w:spacing w:line="240" w:lineRule="auto"/>
        <w:contextualSpacing w:val="0"/>
        <w:rPr>
          <w:rFonts w:cs="Times New Roman"/>
          <w:noProof/>
        </w:rPr>
      </w:pPr>
      <w:r>
        <w:rPr>
          <w:i/>
          <w:noProof/>
        </w:rPr>
        <w:t xml:space="preserve">Governanza ambjentali aktar b’saħħitha fl-Istati Membri ttejjeb l-implimentazzjoni tal-politika ambjentali. L-Istati Membri jistgħu jtejbu ulterjorment il-governanza ambjentali ġenerali tagħhom. </w:t>
      </w:r>
    </w:p>
    <w:p>
      <w:pPr>
        <w:pStyle w:val="ListParagraph"/>
        <w:numPr>
          <w:ilvl w:val="0"/>
          <w:numId w:val="3"/>
        </w:numPr>
        <w:spacing w:line="240" w:lineRule="auto"/>
        <w:contextualSpacing w:val="0"/>
        <w:rPr>
          <w:rFonts w:cs="Times New Roman"/>
          <w:i/>
          <w:iCs/>
          <w:noProof/>
        </w:rPr>
      </w:pPr>
      <w:r>
        <w:rPr>
          <w:i/>
          <w:noProof/>
        </w:rPr>
        <w:t>Iż-żieda fit-trasparenza tkun ta’ benefiċċju ċar għall-implimentazzjoni. Hija ttejjeb l-għarfien, ir-responsabbiltà, l-involviment u l-appoġġ tal-pubbliku. L-Istati Membri jenħtieġ li jagħmlu użu aħjar mill-opportunitajiet tad-diġitalizzazzjoni sabiex itejbu t-trasparenza billi jinfurmaw aħjar lill-pubbliku dwar l-istat reali tal-ambjent fil-livell lokali/reġjonali, u hekk jistimulaw bidla fl-imġiba.</w:t>
      </w:r>
    </w:p>
    <w:p>
      <w:pPr>
        <w:pStyle w:val="ListParagraph"/>
        <w:numPr>
          <w:ilvl w:val="0"/>
          <w:numId w:val="3"/>
        </w:numPr>
        <w:spacing w:line="240" w:lineRule="auto"/>
        <w:contextualSpacing w:val="0"/>
        <w:rPr>
          <w:rFonts w:cs="Times New Roman"/>
          <w:i/>
          <w:iCs/>
          <w:noProof/>
        </w:rPr>
      </w:pPr>
      <w:r>
        <w:rPr>
          <w:i/>
          <w:noProof/>
        </w:rPr>
        <w:t>Minkejja l-progress ġenerali, l-Istati Membri xorta jridu jtejbu l-aċċess għall-informazzjoni ambjentali, b’mod partikolari għad-data u s-servizzi spazjali, sabiex jkunu jistgħu jintużaw mill-ġdid b’mod faċli u liberu (f’konformità mad-Direttivi dwar l-INSPIRE</w:t>
      </w:r>
      <w:r>
        <w:rPr>
          <w:i/>
          <w:noProof/>
        </w:rPr>
        <w:footnoteReference w:id="102"/>
      </w:r>
      <w:r>
        <w:rPr>
          <w:i/>
          <w:noProof/>
        </w:rPr>
        <w:t>, l-Aċċess għat-Tagħrif Ambjentali u l-Informazzjoni tas-Settur Pubbliku)</w:t>
      </w:r>
      <w:r>
        <w:rPr>
          <w:i/>
          <w:noProof/>
        </w:rPr>
        <w:footnoteReference w:id="103"/>
      </w:r>
      <w:r>
        <w:rPr>
          <w:i/>
          <w:noProof/>
        </w:rPr>
        <w:t>.</w:t>
      </w:r>
    </w:p>
    <w:p>
      <w:pPr>
        <w:pStyle w:val="ListParagraph"/>
        <w:numPr>
          <w:ilvl w:val="0"/>
          <w:numId w:val="3"/>
        </w:numPr>
        <w:spacing w:line="240" w:lineRule="auto"/>
        <w:contextualSpacing w:val="0"/>
        <w:rPr>
          <w:rFonts w:cs="Times New Roman"/>
          <w:noProof/>
        </w:rPr>
      </w:pPr>
      <w:r>
        <w:rPr>
          <w:i/>
          <w:noProof/>
        </w:rPr>
        <w:t>Diversi Stati Membri</w:t>
      </w:r>
      <w:r>
        <w:rPr>
          <w:i/>
          <w:noProof/>
        </w:rPr>
        <w:footnoteReference w:id="104"/>
      </w:r>
      <w:r>
        <w:rPr>
          <w:i/>
          <w:noProof/>
        </w:rPr>
        <w:t xml:space="preserve"> jenħtieġ li jiżguraw li jkun hemm pożizzjoni legali biex l-NGOs iressqu kontestazzjonijiet legali dwar kwistjonijiet ambjentali u li r-rikorrenti ambjentali ma jkomplux jiffaċċjaw ostakoli, bħall-ispejjeż għoljin b’mod projbittiv. </w:t>
      </w:r>
    </w:p>
    <w:p>
      <w:pPr>
        <w:pStyle w:val="ListParagraph"/>
        <w:numPr>
          <w:ilvl w:val="0"/>
          <w:numId w:val="3"/>
        </w:numPr>
        <w:spacing w:line="240" w:lineRule="auto"/>
        <w:contextualSpacing w:val="0"/>
        <w:rPr>
          <w:rFonts w:cs="Times New Roman"/>
          <w:noProof/>
        </w:rPr>
      </w:pPr>
      <w:r>
        <w:rPr>
          <w:i/>
          <w:noProof/>
        </w:rPr>
        <w:t>Sitta u għoxrin Stat Membru</w:t>
      </w:r>
      <w:r>
        <w:rPr>
          <w:i/>
          <w:noProof/>
        </w:rPr>
        <w:footnoteReference w:id="105"/>
      </w:r>
      <w:r>
        <w:rPr>
          <w:i/>
          <w:noProof/>
        </w:rPr>
        <w:t xml:space="preserve"> jenħtieġ li jtejbu l-applikazzjoni tad-Direttiva dwar ir-Responsabbiltà Ambjentali f’wieħed jew aktar mill-oqsma li ġejjin: is-sigurtà finanzjarja, il-gwida, u l-ġbir u l-pubblikazzjoni ta’ informazzjoni dwar il-ħsara ambjentali.</w:t>
      </w:r>
    </w:p>
    <w:p>
      <w:pPr>
        <w:spacing w:line="240" w:lineRule="auto"/>
        <w:rPr>
          <w:rFonts w:cs="Times New Roman"/>
          <w:noProof/>
        </w:rPr>
      </w:pPr>
    </w:p>
    <w:p>
      <w:pPr>
        <w:spacing w:before="240"/>
        <w:rPr>
          <w:rFonts w:cs="Times New Roman"/>
          <w:b/>
          <w:noProof/>
          <w:sz w:val="24"/>
        </w:rPr>
      </w:pPr>
      <w:r>
        <w:rPr>
          <w:b/>
          <w:noProof/>
          <w:sz w:val="24"/>
        </w:rPr>
        <w:t xml:space="preserve">3.2. </w:t>
      </w:r>
      <w:r>
        <w:rPr>
          <w:noProof/>
        </w:rPr>
        <w:tab/>
      </w:r>
      <w:r>
        <w:rPr>
          <w:b/>
          <w:noProof/>
          <w:sz w:val="24"/>
        </w:rPr>
        <w:t>L-integrazzjoni ambjentali</w:t>
      </w:r>
    </w:p>
    <w:p>
      <w:pPr>
        <w:rPr>
          <w:rFonts w:eastAsia="Times New Roman" w:cs="Times New Roman"/>
          <w:noProof/>
        </w:rPr>
      </w:pPr>
      <w:r>
        <w:rPr>
          <w:noProof/>
        </w:rPr>
        <w:t>Il-kisba tal-objettivi ambjentali u klimatiċi ma tiddependix biss fuq l-implimentazzjoni tal-liġijiet ambjentali, iżda tirrikjedi wkoll li l-konsiderazzjonijiet ambjentali jiġu integrati f’politiki oħra kif sottolinjat ripetutament fil-programmi ta’ azzjoni ambjentali tal-Kummissjoni</w:t>
      </w:r>
      <w:r>
        <w:rPr>
          <w:noProof/>
        </w:rPr>
        <w:footnoteReference w:id="106"/>
      </w:r>
      <w:r>
        <w:rPr>
          <w:noProof/>
        </w:rPr>
        <w:t>. Dan jista’ jintwera bl-eżempju tal-Politika Agrikola Komuni (PAK): minħabba li l-art agrikola tkopri madwar nofs is-superfiċje tal-Unjoni. Il-Politika Agrikola Komuni tista’ tikkontribwixxi b’mod sinifikanti għall-objettivi ambjentali u klimatiċi, bħat-twaqqif tat-telfien tal-bijodiversità, it-tnaqqis tad-degradazzjoni tal-art u tal-ħamrija, l-assigurazzjoni tal-kwalità tal-ilma, it-tnaqqis fl-emissjonijiet tal-ammonijaka, u l-immaniġġjar u t-tnaqqis fl-emissjonijiet tal-gassijiet b’effett ta’ serra. Ir-riformi reċenti tal-Politika Agrikola Komuni pproduċew bidliet promettenti fil-qafas ta’ politika f’termini ta’ koerenza mtejba mal-objettivi ambjentali u klimatiċi. Il-proposti legali għall-Politika Agrikola Komuni għal wara l-2020 se jsaħħu aktar din il-koerenza. L-istrateġija aġġornata dwar il-bijoekonomija</w:t>
      </w:r>
      <w:r>
        <w:rPr>
          <w:noProof/>
        </w:rPr>
        <w:footnoteReference w:id="107"/>
      </w:r>
      <w:r>
        <w:rPr>
          <w:noProof/>
        </w:rPr>
        <w:t xml:space="preserve"> hija tentattiv ukoll sabiex l-objettivi ambjentali, soċjali u ekonomiċi jiġu integrati b’mod transpolitiku u koerenti.</w:t>
      </w:r>
    </w:p>
    <w:p>
      <w:pPr>
        <w:rPr>
          <w:rFonts w:eastAsia="Times New Roman" w:cs="Times New Roman"/>
          <w:noProof/>
        </w:rPr>
      </w:pPr>
      <w:r>
        <w:rPr>
          <w:noProof/>
        </w:rPr>
        <w:t xml:space="preserve">Il-politika u l-liġijiet magħmula minn awtoritajiet differenti f’setturi differenti jenħtieġ li jkunu koerenti u bbażati fuq loġika konġunta, evidenza xjentifika u l-użu tajjeb tat-teknoloġiji disponibbli. Dan huwa sottolinjat ukoll fl-Artikolu 11 tat-Trattat dwar il-Funzjonament tal-UE. L-integrazzjoni ambjentali tirrikjedi kooperazzjoni effettiva bejn l-awtoritajiet meta, fir-realtà, ministeri u awtoritajiet sottonazzjonali differenti għad għandhom it-tendenza li jaħdmu f’“silos” iżolati. Il-koerenza insuffiċjenti bejn il-politiki u dik istituzzjonali hija waħda mill-kawżi ewlenin tad-diskrepanzi fl-implimentazzjoni fir-rigward tal-kisba tal-objettivi tal-politika u l-liġi ambjentali tal-UE. </w:t>
      </w:r>
    </w:p>
    <w:p>
      <w:pPr>
        <w:rPr>
          <w:rFonts w:eastAsia="Times New Roman" w:cs="Times New Roman"/>
          <w:noProof/>
        </w:rPr>
      </w:pPr>
      <w:r>
        <w:rPr>
          <w:noProof/>
        </w:rPr>
        <w:t>Il-promozzjoni tal-koerenza fil-politiki u dik istituzzjonali hija sfida permanenti. Ir-rapporti tal-pajjiżi juru li l-pressjonijiet ambjentali huma relatati mill-qrib ma’ setturi ekonomiċi (l-agrikoltura, it-trasport, l-industrija, l-ikel jew l-enerġija, fost oħrajn) f’bosta Stati Membri. Wieħed mill-eżempji huwa kif l-ekonomija ċirkolari tiddependi fuq l-innovazzjoni tal-prodotti, l-immaniġġjar effettiv tal-iskart u l-istimulazzjoni permezz ta’ akkwist pubbliku sostenibbli. Fil-livell tal-UE, analiżi tar-relazzjonijiet fin-nexus bejn l-agrikoltura u l-ilma wriet li huwa possibbli approċċ aktar integrat</w:t>
      </w:r>
      <w:r>
        <w:rPr>
          <w:noProof/>
        </w:rPr>
        <w:footnoteReference w:id="108"/>
      </w:r>
      <w:r>
        <w:rPr>
          <w:noProof/>
        </w:rPr>
        <w:t xml:space="preserve">. F’bosta każijiet, approċċ kollaborattiv fir-rigward tal-interessi differenti jista’ jkun triq aħjar ’il quddiem, pjuttost milli tiġi adottata leġiżlazzjoni ġdida. </w:t>
      </w:r>
    </w:p>
    <w:p>
      <w:pPr>
        <w:rPr>
          <w:rFonts w:eastAsia="Times New Roman" w:cs="Times New Roman"/>
          <w:noProof/>
        </w:rPr>
      </w:pPr>
      <w:r>
        <w:rPr>
          <w:noProof/>
        </w:rPr>
        <w:t xml:space="preserve">Barra minn hekk, il-laqgħat transsettorjali fil-livell politiku (eż. il-laqgħat konġunti ta’ konfigurazzjonijiet tal-Kunsill) u t-timijiet ta’ esperti dwar proġetti konġunti jipprovdu l-mezzi sabiex jiġu identifikati, analizzati u solvuti l-okkorrenzi ta’ integrazzjoni ambjentali dgħajfa.  </w:t>
      </w:r>
    </w:p>
    <w:p>
      <w:pPr>
        <w:rPr>
          <w:rFonts w:cs="Times New Roman"/>
          <w:noProof/>
        </w:rPr>
      </w:pPr>
      <w:r>
        <w:rPr>
          <w:noProof/>
        </w:rPr>
        <w:t>It-tagħlim bejn il-pari rriżulta li kien strument importanti sabiex tittejjeb l-implimentazzjoni ambjentali. L-għodda TAIEX-EIR P2P, introdotta matul l-ewwel ċiklu ta’ Analiżi tal-Implimentazzjoni Ambjentali, intlaqgħet tajjeb mill-awtoritajiet ambjentali.</w:t>
      </w:r>
      <w:r>
        <w:rPr>
          <w:b/>
          <w:noProof/>
        </w:rPr>
        <w:t xml:space="preserve"> </w:t>
      </w:r>
      <w:r>
        <w:rPr>
          <w:noProof/>
        </w:rPr>
        <w:t xml:space="preserve">Fl-2018, li kienet l-ewwel sena operattiva tal-għodda, l-Istati Membri kollha kienu involuti f’mill-anqas avveniment wieħed u aktar minn 50 % tal-avvenimenti kienu workshops għal diversi pajjiżi. Fid-19-il proġett eżegwiti fl-2018, l-għodda ntużat prinċipalment mill-awtoritajiet ambjentali, iżda din tista’ sservi għal integrazzjoni aħjar billi tinkludi awtoritajiet oħra rilevanti, kif indikat mis-sejbiet ta’ politika. </w:t>
      </w:r>
    </w:p>
    <w:p>
      <w:pPr>
        <w:rPr>
          <w:rFonts w:cs="Times New Roman"/>
          <w:noProof/>
        </w:rPr>
      </w:pPr>
    </w:p>
    <w:p>
      <w:pPr>
        <w:spacing w:after="200" w:line="240" w:lineRule="auto"/>
        <w:jc w:val="left"/>
        <w:rPr>
          <w:rFonts w:cs="Times New Roman"/>
          <w:i/>
          <w:iCs/>
          <w:noProof/>
        </w:rPr>
      </w:pPr>
      <w:r>
        <w:rPr>
          <w:i/>
          <w:noProof/>
        </w:rPr>
        <w:t>Sejbiet ta' politika:</w:t>
      </w:r>
      <w:r>
        <w:rPr>
          <w:noProof/>
          <w:lang w:val="en-GB" w:eastAsia="en-GB" w:bidi="ar-SA"/>
        </w:rPr>
        <w:t xml:space="preserve"> </w:t>
      </w:r>
    </w:p>
    <w:p>
      <w:pPr>
        <w:pStyle w:val="ListParagraph"/>
        <w:numPr>
          <w:ilvl w:val="0"/>
          <w:numId w:val="3"/>
        </w:numPr>
        <w:spacing w:line="240" w:lineRule="auto"/>
        <w:contextualSpacing w:val="0"/>
        <w:rPr>
          <w:rFonts w:cs="Times New Roman"/>
          <w:i/>
          <w:iCs/>
          <w:noProof/>
        </w:rPr>
      </w:pPr>
      <w:r>
        <w:rPr>
          <w:noProof/>
          <w:lang w:val="en-GB" w:eastAsia="en-GB" w:bidi="ar-SA"/>
        </w:rPr>
        <w:drawing>
          <wp:anchor distT="0" distB="0" distL="114300" distR="114300" simplePos="0" relativeHeight="251666432" behindDoc="1" locked="0" layoutInCell="1" allowOverlap="1">
            <wp:simplePos x="0" y="0"/>
            <wp:positionH relativeFrom="column">
              <wp:posOffset>2755900</wp:posOffset>
            </wp:positionH>
            <wp:positionV relativeFrom="paragraph">
              <wp:posOffset>381000</wp:posOffset>
            </wp:positionV>
            <wp:extent cx="3124200" cy="1960245"/>
            <wp:effectExtent l="0" t="0" r="0" b="1905"/>
            <wp:wrapTight wrapText="bothSides">
              <wp:wrapPolygon edited="0">
                <wp:start x="0" y="0"/>
                <wp:lineTo x="0" y="21411"/>
                <wp:lineTo x="21468" y="21411"/>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0" cy="196024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rPr>
        <w:t>L-Istati Membri kollha jistgħu jtejbu ulterjorment il-governanza ambjentali ġenerali tagħhom. F’diversi Stati Membri, l-awtoritajiet ambjentali għandhom nuqqas sever ta’ persunal u dan in-nuqqas ta’ kapaċità u riżorsi jaffettwa l-abbiltà tagħhom ta’ implimentazzjoni u infurzar. Fil-biċċa l-kbira tal-Istati Membri jeżistu strutturi ta’ koordinazzjoni f’amministrazzjonijiet settorjali differenti u f’livelli differenti iżda l-effettività tagħhom tvarja. Tliet Stati Membri</w:t>
      </w:r>
      <w:r>
        <w:rPr>
          <w:i/>
          <w:noProof/>
        </w:rPr>
        <w:footnoteReference w:id="109"/>
      </w:r>
      <w:r>
        <w:rPr>
          <w:i/>
          <w:noProof/>
        </w:rPr>
        <w:t xml:space="preserve"> tħeġġew ferm li jindirizzaw il-frammentazzjoni reġjonali u lokali billi jiżviluppaw mekkaniżmi aħjar ta’ koordinazzjoni għall-ambjent.</w:t>
      </w:r>
    </w:p>
    <w:p>
      <w:pPr>
        <w:pStyle w:val="ListParagraph"/>
        <w:numPr>
          <w:ilvl w:val="0"/>
          <w:numId w:val="3"/>
        </w:numPr>
        <w:spacing w:line="240" w:lineRule="auto"/>
        <w:contextualSpacing w:val="0"/>
        <w:rPr>
          <w:rFonts w:cs="Times New Roman"/>
          <w:i/>
          <w:iCs/>
          <w:noProof/>
        </w:rPr>
      </w:pPr>
      <w:r>
        <w:rPr>
          <w:i/>
          <w:noProof/>
        </w:rPr>
        <w:t>Żewġ Stati Membri</w:t>
      </w:r>
      <w:r>
        <w:rPr>
          <w:i/>
          <w:noProof/>
        </w:rPr>
        <w:footnoteReference w:id="110"/>
      </w:r>
      <w:r>
        <w:rPr>
          <w:i/>
          <w:noProof/>
        </w:rPr>
        <w:t xml:space="preserve"> għad iridu jlestu t-traspożizzjoni tad-Direttiva riveduta dwar il-Valutazzjoni tal-Impatt Ambjentali (VIA) fil-liġi nazzjonali. Il-proċeduri tal-valutazzjoni ambjentali jeħtieġ li jiġu simplifikati u jeħtieġ li tiġi żgurata parteċipazzjoni pubblika effiċjenti fl-UE kollha.</w:t>
      </w:r>
    </w:p>
    <w:p>
      <w:pPr>
        <w:pStyle w:val="ListParagraph"/>
        <w:numPr>
          <w:ilvl w:val="0"/>
          <w:numId w:val="3"/>
        </w:numPr>
        <w:spacing w:line="240" w:lineRule="auto"/>
        <w:contextualSpacing w:val="0"/>
        <w:rPr>
          <w:rFonts w:cs="Times New Roman"/>
          <w:i/>
          <w:iCs/>
          <w:noProof/>
        </w:rPr>
      </w:pPr>
      <w:r>
        <w:rPr>
          <w:i/>
          <w:noProof/>
        </w:rPr>
        <w:t>L-iskambji bejn il-pari ntużaw prinċipalment għall-isfidi tematiċi, iżda hemm lok sabiex l-għodda tintuża wkoll għall-iskambji dwar il-kawżi ewlenin tal-implimentazzjoni dgħajfa fil-qasam tal-kwalità tal-amministrazzjoni pubblika u l-mekkaniżmi ta’ governanza.</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Prattiki li rnexxew:</w:t>
            </w:r>
          </w:p>
          <w:p>
            <w:pPr>
              <w:spacing w:after="200" w:line="240" w:lineRule="auto"/>
              <w:rPr>
                <w:rFonts w:cs="Times New Roman"/>
                <w:noProof/>
              </w:rPr>
            </w:pPr>
            <w:r>
              <w:rPr>
                <w:noProof/>
              </w:rPr>
              <w:t>Il-</w:t>
            </w:r>
            <w:r>
              <w:rPr>
                <w:b/>
                <w:noProof/>
              </w:rPr>
              <w:t>Bulgarija</w:t>
            </w:r>
            <w:r>
              <w:rPr>
                <w:noProof/>
              </w:rPr>
              <w:t xml:space="preserve"> ħadet passi sabiex tipprovdi valutazzjonijiet ambjentali simplifikati billi tinkorpora l-valutazzjoni xierqa skont id-Direttiva dwar il-Ħabitats, il-proċess ta’ permess tal-prevenzjoni u tal-kontroll integrati tat-tniġġis (IPPC) u l-proċess “Seveso” għas-sigurtà kimika fil-proċeduri tal-VIA tagħha. Is-simplifikazzjoni tgħin sabiex jitnaqqas il-piż amministrattiv, tiżdied il-koerenza u jiġi aċċellerat it-teħid tad-deċiżjonijiet, u l-isforzi jenħtieġ li jduru lejn implimentazzjoni adegwata ta’ dawn id-dispożizzjonijiet.</w:t>
            </w:r>
          </w:p>
        </w:tc>
      </w:tr>
    </w:tbl>
    <w:p>
      <w:pPr>
        <w:pStyle w:val="ListParagraph"/>
        <w:ind w:left="360"/>
        <w:rPr>
          <w:rFonts w:cs="Times New Roman"/>
          <w:b/>
          <w:noProof/>
          <w:sz w:val="28"/>
          <w:szCs w:val="28"/>
        </w:rPr>
      </w:pPr>
    </w:p>
    <w:p>
      <w:pPr>
        <w:pStyle w:val="ListParagraph"/>
        <w:numPr>
          <w:ilvl w:val="0"/>
          <w:numId w:val="18"/>
        </w:numPr>
        <w:rPr>
          <w:rFonts w:cs="Times New Roman"/>
          <w:b/>
          <w:bCs/>
          <w:noProof/>
          <w:sz w:val="28"/>
          <w:szCs w:val="28"/>
        </w:rPr>
      </w:pPr>
      <w:r>
        <w:rPr>
          <w:b/>
          <w:noProof/>
          <w:sz w:val="28"/>
        </w:rPr>
        <w:t>It-triq ’il quddiem</w:t>
      </w:r>
    </w:p>
    <w:p>
      <w:pPr>
        <w:rPr>
          <w:rFonts w:cs="Times New Roman"/>
          <w:noProof/>
        </w:rPr>
      </w:pPr>
      <w:r>
        <w:rPr>
          <w:noProof/>
        </w:rPr>
        <w:t xml:space="preserve">L-Analiżi tal-Implimentazzjoni Ambjentali identifikat ftit problemi ewlenin li jirrikjedu attenzjoni speċjali fis-snin li ġejjin u ġibdet l-attenzjoni tal-awtoritajiet ewlenin u taċ-ċittadini għad-diskrepanzi fl-implimentazzjoni ambjentali fil-pajjiżi tagħhom. </w:t>
      </w:r>
    </w:p>
    <w:p>
      <w:pPr>
        <w:rPr>
          <w:rFonts w:cs="Times New Roman"/>
          <w:noProof/>
        </w:rPr>
      </w:pPr>
      <w:r>
        <w:rPr>
          <w:noProof/>
        </w:rPr>
        <w:t>L-</w:t>
      </w:r>
      <w:r>
        <w:rPr>
          <w:b/>
          <w:noProof/>
        </w:rPr>
        <w:t xml:space="preserve">integrazzjoni tal-objettivi ambjentali </w:t>
      </w:r>
      <w:r>
        <w:rPr>
          <w:noProof/>
        </w:rPr>
        <w:t>ma’ għanijiet ta’ politika leġittimi oħra sikwit hija dgħajfa u dan għandu effetti negattivi fuq l-implimentazzjoni</w:t>
      </w:r>
      <w:r>
        <w:rPr>
          <w:b/>
          <w:noProof/>
        </w:rPr>
        <w:t>.</w:t>
      </w:r>
      <w:r>
        <w:rPr>
          <w:noProof/>
        </w:rPr>
        <w:t xml:space="preserve"> L-integrazzjoni aħjar ta’ dawn l-objettivi kollha fl-istadji tal-ippjanar u tal-implimentazzjoni tal-politika hija essenzjali għas-suċċess ta’ kull qasam ta’ politika rilevanti u finalment għas-soċjetajiet tagħna. Il-perspettivi indikati mill-aħħar rapport dwar l-Istat tal-Ambjent</w:t>
      </w:r>
      <w:r>
        <w:rPr>
          <w:noProof/>
          <w:vertAlign w:val="superscript"/>
        </w:rPr>
        <w:footnoteReference w:id="111"/>
      </w:r>
      <w:r>
        <w:rPr>
          <w:noProof/>
        </w:rPr>
        <w:t xml:space="preserve"> u r-Rapport tal-Indikaturi Ambjentali 2018</w:t>
      </w:r>
      <w:r>
        <w:rPr>
          <w:noProof/>
        </w:rPr>
        <w:footnoteReference w:id="112"/>
      </w:r>
      <w:r>
        <w:rPr>
          <w:noProof/>
        </w:rPr>
        <w:t xml:space="preserve"> huma pjuttost koroh u l-implimentazzjoni sħiħa tal-liġijiet ambjentali attwali tal-UE hija, fil-fatt, sempliċement punt tat-tluq sabiex jinbidlu x-xejriet. </w:t>
      </w:r>
    </w:p>
    <w:p>
      <w:pPr>
        <w:rPr>
          <w:rFonts w:cs="Times New Roman"/>
          <w:noProof/>
        </w:rPr>
      </w:pPr>
      <w:r>
        <w:rPr>
          <w:noProof/>
        </w:rPr>
        <w:t>Il-progress attwali fl-implimentazzjoni reali huwa bil-mod wisq u integrazzjoni ambjentali aħjar tista’ ġġib bidla radikali. Is-sitwazzjoni tista’ tittejjeb biss jekk it-tħassib ambjentali jiġi kkunsidrat fit-tfassil u l-eżekuzzjoni ta’ politiki pubbliċi b’impronta ambjentali sinifikanti, bħall-enerġija, it-trasport u l-agrikoltura. L-“approċċ nexus”</w:t>
      </w:r>
      <w:r>
        <w:rPr>
          <w:noProof/>
          <w:vertAlign w:val="superscript"/>
        </w:rPr>
        <w:footnoteReference w:id="113"/>
      </w:r>
      <w:r>
        <w:rPr>
          <w:noProof/>
        </w:rPr>
        <w:t xml:space="preserve"> jista’ jiġi msaħħaħ bħala prinċipju gwida: dan jinvolvi li l-kwistjonijiet jiġu eżaminati b’mod sistematiku u minn qabel, bil-għan li jiġu identifikati aktar soluzzjonijiet integrati għas-setturi involuti u li jiġu sostnuti l-investimenti relatati mal-ambjent fil-livell tal-UE, nazzjonali, reġjonali u lokali. </w:t>
      </w:r>
    </w:p>
    <w:p>
      <w:pPr>
        <w:rPr>
          <w:rFonts w:cs="Times New Roman"/>
          <w:noProof/>
        </w:rPr>
      </w:pPr>
      <w:r>
        <w:rPr>
          <w:b/>
          <w:noProof/>
        </w:rPr>
        <w:t>Il-kwalità tas-sistemi ta’ governanza rilevanti</w:t>
      </w:r>
      <w:r>
        <w:rPr>
          <w:noProof/>
        </w:rPr>
        <w:t xml:space="preserve"> hija katalizzatur ewlieni għal implimentazzjoni sħiħa. Ir-rapporti tal-pajjiżi identifikaw li l-ineffiċjenza u l-ineffettività tal-amministrazzjonijiet pubbliċi jikkostitwixxu kawża ewlenija importanti oħra għall-implimentazzjoni fqira. Il-Kummissjoni diġà tindirizza l-kwalità tal-amministrazzjoni u l-governanza pubblika fil-kuntest tas-Semestru Ewropew, permezz tal-fondi strutturali u ta’ investiment, il-programm ta’ appoġġ għar-riformi strutturali u bi strumenti ta’ gwida speċifiċi</w:t>
      </w:r>
      <w:r>
        <w:rPr>
          <w:noProof/>
          <w:vertAlign w:val="superscript"/>
        </w:rPr>
        <w:footnoteReference w:id="114"/>
      </w:r>
      <w:r>
        <w:rPr>
          <w:noProof/>
        </w:rPr>
        <w:t>. B’mod partikolari, huwa ċar li filwaqt li l-ħtiġijiet ivarjaw minn sistema għall-oħra, ma jista’ jkun hemm ebda titjib f’dan ir-rigward mingħajr ma jiġu żgurati r-riżorsi umani u finanzjarji neċessarji għall-amministrazzjonijiet rilevanti.</w:t>
      </w:r>
    </w:p>
    <w:p>
      <w:pPr>
        <w:rPr>
          <w:rFonts w:cs="Times New Roman"/>
          <w:noProof/>
          <w:color w:val="FF0000"/>
        </w:rPr>
      </w:pPr>
      <w:r>
        <w:rPr>
          <w:noProof/>
        </w:rPr>
        <w:t xml:space="preserve">L-implimentazzjoni ambjentali hija trasversali u tiddependi fuq l-involviment attiv ta’ firxa wiesgħa ta’ partijiet interessati, pubbliċi u privati, minn dawk li jieħdu d-deċiżjonijiet għaċ-ċittadini, in-negozji u l-industriji. Firxa wiesgħa ta’ partijiet interessati bħal din tista’ tiġi attivata biss jekk l-informazzjoni rilevanti tkun disponibbli għalihom b’mod effettiv. </w:t>
      </w:r>
      <w:r>
        <w:rPr>
          <w:b/>
          <w:noProof/>
        </w:rPr>
        <w:t xml:space="preserve">It-trasparenza tal-informazzjoni rilevanti għall-ambjent </w:t>
      </w:r>
      <w:r>
        <w:rPr>
          <w:noProof/>
        </w:rPr>
        <w:t xml:space="preserve">tmur lil hinn mill-obbligi legali: hija prekondizzjoni għall-kollaborazzjoni effettiva fl-implimentazzjoni ambjentali. Mingħajr it-trasparenza, il-fiduċja tisparixxi u l-mobilizzazzjoni tal-partijiet interessati tkun bla suċċess. </w:t>
      </w:r>
    </w:p>
    <w:p>
      <w:pPr>
        <w:rPr>
          <w:rFonts w:cs="Times New Roman"/>
          <w:noProof/>
        </w:rPr>
      </w:pPr>
      <w:r>
        <w:rPr>
          <w:noProof/>
        </w:rPr>
        <w:t>L-indirizzar tad-diskrepanzi fl-implimentazzjoni jirrikjedi evidenza solida biex jiġu identifikati d-“distanza għall-mira”, id-diffikultajiet sottostanti u l-opzjonijiet disponibbli u mbagħad biex tiġi mmonitorjata l-effettività tas-soluzzjonijiet magħżula. Għalhekk, il-Kummissjoni titlob lill-Istati Membri biex ikunu trasparenti meta jimplimentaw ir-regoli u l-politiki tal-UE, billi jibnu fuq il-portal tad-dejta miftuħa tal-UE</w:t>
      </w:r>
      <w:r>
        <w:rPr>
          <w:noProof/>
          <w:vertAlign w:val="superscript"/>
        </w:rPr>
        <w:footnoteReference w:id="115"/>
      </w:r>
      <w:r>
        <w:rPr>
          <w:noProof/>
        </w:rPr>
        <w:t xml:space="preserve">, u billi jużaw it-teknoloġiji moderni tal-informazzjoni għal skopijiet ta’ komunikazzjoni, </w:t>
      </w:r>
      <w:r>
        <w:rPr>
          <w:i/>
          <w:noProof/>
        </w:rPr>
        <w:t>data</w:t>
      </w:r>
      <w:r>
        <w:rPr>
          <w:noProof/>
        </w:rPr>
        <w:t xml:space="preserve"> u informazzjoni. Dawn jippermettu wkoll lill-Kummissjoni taddatta l-appoġġ tagħha għar-realtajiet fil-post. </w:t>
      </w:r>
    </w:p>
    <w:p>
      <w:pPr>
        <w:rPr>
          <w:rFonts w:cs="Times New Roman"/>
          <w:noProof/>
        </w:rPr>
      </w:pPr>
      <w:r>
        <w:rPr>
          <w:noProof/>
        </w:rPr>
        <w:t>Il-Kummissjoni hija impenjata li tappoġġa lill-Istati Membri sabiex itejbu l-implimentazzjoni ambjentali. Espressjonijiet ta’ dan huma d-djalogi tematiċi tal-Analiżi tal-Implimentazzjoni Ambjentali u l-għodda ddedikata Peer 2 Peer li tgħin għall-valutazzjoni tal-problemi, l-iskambju tal-prattiki tajba u t-tagħlim bejn il-pari. Madankollu, id-djalogi ta’ suċċess mal-pajjiżi jirrikjedu l-</w:t>
      </w:r>
      <w:r>
        <w:rPr>
          <w:b/>
          <w:noProof/>
        </w:rPr>
        <w:t>involviment attiv tal-awtoritajiet reġjonali u lokali u ta’ partijiet interessati oħra</w:t>
      </w:r>
      <w:r>
        <w:rPr>
          <w:noProof/>
        </w:rPr>
        <w:t>. Hemm bżonn ta’ aktar dibattiti tematiċi fi u bejn il-livelli kollha tal-amministrazzjoni, li għandhom iwasslu għal konklużjonijiet operattivi segwiti minn azzjoni.</w:t>
      </w:r>
      <w:r>
        <w:rPr>
          <w:noProof/>
          <w:color w:val="000000"/>
        </w:rPr>
        <w:t xml:space="preserve"> Id-dibattiti jenħtieġ li jqisu l-possibbiltà ta’ aktar integrazzjoni ambjentali f’oqsma oħra ta’ politika. Il-Kummissjoni ppubblikat dokumenti li jistgħu jservu bħala punt tat-tluq, inkluża l-Komunikazzjoni dwar l-Arja Nadifa (2018)</w:t>
      </w:r>
      <w:r>
        <w:rPr>
          <w:noProof/>
          <w:color w:val="000000"/>
          <w:vertAlign w:val="superscript"/>
        </w:rPr>
        <w:footnoteReference w:id="116"/>
      </w:r>
      <w:r>
        <w:rPr>
          <w:noProof/>
          <w:color w:val="000000"/>
        </w:rPr>
        <w:t>, id-Dokument ta’ Ħidma dwar l-agrikoltura u l-ilma (2017)</w:t>
      </w:r>
      <w:r>
        <w:rPr>
          <w:noProof/>
          <w:color w:val="000000"/>
          <w:vertAlign w:val="superscript"/>
        </w:rPr>
        <w:footnoteReference w:id="117"/>
      </w:r>
      <w:r>
        <w:rPr>
          <w:noProof/>
          <w:color w:val="000000"/>
        </w:rPr>
        <w:t>, il-Pjan ta’ Azzjoni għan-natura, għaċ-ċittadini u għall-ekonomija</w:t>
      </w:r>
      <w:r>
        <w:rPr>
          <w:noProof/>
          <w:vertAlign w:val="superscript"/>
        </w:rPr>
        <w:footnoteReference w:id="118"/>
      </w:r>
      <w:r>
        <w:rPr>
          <w:noProof/>
        </w:rPr>
        <w:t>,</w:t>
      </w:r>
      <w:r>
        <w:rPr>
          <w:noProof/>
          <w:color w:val="000000"/>
        </w:rPr>
        <w:t xml:space="preserve"> u r-Rapporti ta’ twissija bikrija dwar l-użu mill-ġdid/riċiklaġġ tal-iskart</w:t>
      </w:r>
      <w:r>
        <w:rPr>
          <w:noProof/>
          <w:color w:val="000000"/>
          <w:vertAlign w:val="superscript"/>
        </w:rPr>
        <w:footnoteReference w:id="119"/>
      </w:r>
      <w:r>
        <w:rPr>
          <w:noProof/>
          <w:color w:val="000000"/>
        </w:rPr>
        <w:t xml:space="preserve">. </w:t>
      </w:r>
    </w:p>
    <w:p>
      <w:pPr>
        <w:rPr>
          <w:rFonts w:cs="Times New Roman"/>
          <w:noProof/>
        </w:rPr>
      </w:pPr>
      <w:r>
        <w:rPr>
          <w:noProof/>
        </w:rPr>
        <w:t xml:space="preserve">Il-Kummissjoni tistieden lill-Istati Membri sabiex jaġixxu fuq is-sejbiet tal-Analiżi tal-Implimentazzjoni Ambjentali u biex jużaw ir-rapporti tal-pajjiżi bħala bażi għal aktar diskussjoni. L-Istati Membri huma mħeġġa wkoll ikomplu jaħdmu fuq l-implimentazzjoni tar-regoli ambjentali fis-seħħ sabiex iwasslu riżultati ambjentali aħjar għaċ-ċittadini, biex jipproteġu s-saħħa tagħhom u biex itaffu u jikkumpensaw għall-pressjonijiet ambjentali li jiswew ħafna flus għas-soċjetajiet u għall-ekonomiji tagħna. </w:t>
      </w:r>
    </w:p>
    <w:p>
      <w:pPr>
        <w:rPr>
          <w:rFonts w:cs="Times New Roman"/>
          <w:noProof/>
        </w:rPr>
      </w:pPr>
      <w:r>
        <w:rPr>
          <w:noProof/>
          <w:color w:val="000000"/>
        </w:rPr>
        <w:t xml:space="preserve">Ambjent tajjeb huwa assi komuni tan-nies tal-UE, kemm tal-ġenerazzjonijiet preżenti kif ukoll ta’ dawk futuri, u jikkostitwixxi pedament kritiku għall-attivitajiet soċjali u ekonomiċi l-oħra. L-UE daħħlet fis-seħħ leġiżlazzjoni ambjentali komprensiva, bil-għan li tiżgura li l-arja tkun tajba biex tittieħed man-nifs, l-ilma jkun sigur għall-użu, l-ikel tagħna jkun tajjeb biex jiġi kkunsmat, l-affarijiet ta’ madwarna jkunu tajbin għall-użu, u t-tniġġis jinżamm ’il bogħod. Dawn l-istandards huma tajbin daqs kemm tkun tajba l-implimentazzjoni tagħhom. </w:t>
      </w:r>
      <w:r>
        <w:rPr>
          <w:noProof/>
        </w:rPr>
        <w:t xml:space="preserve">Huwa f'idejna li naraw li l-implimentazzjoni sseħħ, sew jekk naġixxu f’kapaċità pubblika jew privata. </w:t>
      </w:r>
    </w:p>
    <w:p>
      <w:pPr>
        <w:rPr>
          <w:rFonts w:cs="Times New Roman"/>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61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left"/>
        <w:rPr>
          <w:rFonts w:eastAsia="Times New Roman" w:cs="Times New Roman"/>
          <w:sz w:val="16"/>
          <w:szCs w:val="16"/>
        </w:rPr>
      </w:pPr>
      <w:r>
        <w:rPr>
          <w:rStyle w:val="FootnoteReference"/>
        </w:rPr>
        <w:footnoteRef/>
      </w:r>
      <w:r>
        <w:rPr>
          <w:sz w:val="16"/>
        </w:rPr>
        <w:t xml:space="preserve"> COWI u Eunomia, “Update of the costs of not implementing EU environmental law” (Aġġornament tal-kostijiet tan-nuqqas ta’ implimentazzjoni tal-liġi ambjentali tal-UE), 2019.</w:t>
      </w:r>
    </w:p>
  </w:footnote>
  <w:footnote w:id="3">
    <w:p>
      <w:pPr>
        <w:pStyle w:val="FootnoteText"/>
        <w:jc w:val="left"/>
        <w:rPr>
          <w:rFonts w:eastAsia="Times New Roman" w:cs="Times New Roman"/>
          <w:sz w:val="16"/>
          <w:szCs w:val="16"/>
        </w:rPr>
      </w:pPr>
      <w:r>
        <w:rPr>
          <w:rStyle w:val="FootnoteReference"/>
        </w:rPr>
        <w:footnoteRef/>
      </w:r>
      <w:r>
        <w:rPr>
          <w:sz w:val="16"/>
        </w:rPr>
        <w:t xml:space="preserve"> </w:t>
      </w:r>
      <w:hyperlink r:id="rId1">
        <w:r>
          <w:rPr>
            <w:rStyle w:val="Hyperlink"/>
            <w:sz w:val="16"/>
          </w:rPr>
          <w:t>COM(2017) 63</w:t>
        </w:r>
      </w:hyperlink>
      <w:r>
        <w:rPr>
          <w:sz w:val="16"/>
        </w:rPr>
        <w:t xml:space="preserve">. </w:t>
      </w:r>
    </w:p>
  </w:footnote>
  <w:footnote w:id="4">
    <w:p>
      <w:pPr>
        <w:pStyle w:val="FootnoteText"/>
        <w:rPr>
          <w:rFonts w:cs="Times New Roman"/>
          <w:sz w:val="16"/>
          <w:szCs w:val="16"/>
        </w:rPr>
      </w:pPr>
      <w:r>
        <w:rPr>
          <w:rStyle w:val="FootnoteReference"/>
        </w:rPr>
        <w:footnoteRef/>
      </w:r>
      <w:r>
        <w:rPr>
          <w:sz w:val="16"/>
        </w:rPr>
        <w:t xml:space="preserve"> </w:t>
      </w:r>
      <w:hyperlink r:id="rId2">
        <w:r>
          <w:rPr>
            <w:rStyle w:val="Hyperlink"/>
            <w:sz w:val="16"/>
          </w:rPr>
          <w:t>TAIEX-EIR Peer to Peer</w:t>
        </w:r>
      </w:hyperlink>
      <w:r>
        <w:rPr>
          <w:sz w:val="16"/>
        </w:rPr>
        <w:t xml:space="preserve"> </w:t>
      </w:r>
    </w:p>
  </w:footnote>
  <w:footnote w:id="5">
    <w:p>
      <w:pPr>
        <w:pStyle w:val="FootnoteText"/>
        <w:rPr>
          <w:sz w:val="16"/>
          <w:szCs w:val="16"/>
        </w:rPr>
      </w:pPr>
      <w:r>
        <w:rPr>
          <w:rStyle w:val="FootnoteReference"/>
        </w:rPr>
        <w:footnoteRef/>
      </w:r>
      <w:r>
        <w:rPr>
          <w:sz w:val="16"/>
        </w:rPr>
        <w:t xml:space="preserve"> </w:t>
      </w:r>
      <w:hyperlink r:id="rId3">
        <w:r>
          <w:rPr>
            <w:rStyle w:val="Hyperlink"/>
            <w:sz w:val="16"/>
          </w:rPr>
          <w:t>COM(2016) 316</w:t>
        </w:r>
      </w:hyperlink>
      <w:r>
        <w:rPr>
          <w:sz w:val="16"/>
        </w:rPr>
        <w:t>.</w:t>
      </w:r>
    </w:p>
  </w:footnote>
  <w:footnote w:id="6">
    <w:p>
      <w:pPr>
        <w:pStyle w:val="FootnoteText"/>
        <w:rPr>
          <w:sz w:val="16"/>
          <w:szCs w:val="16"/>
        </w:rPr>
      </w:pPr>
      <w:r>
        <w:rPr>
          <w:rStyle w:val="FootnoteReference"/>
        </w:rPr>
        <w:footnoteRef/>
      </w:r>
      <w:r>
        <w:rPr>
          <w:sz w:val="16"/>
        </w:rPr>
        <w:t xml:space="preserve"> Is-sejbiet fir-rigward ta’ Stati Membri speċifiċi f’din il-Komunikazzjoni u l-Anness li jakkumpanjaha huma bbażati fuq l-informazzjoni disponibbli għall-Kummissjoni qabel id-data tal-adozzjoni tagħha u huma mingħajr preġudizzju għal kwalunkwe azzjoni legali li l-Kummissjoni tista’ tieħu wara din id-data.</w:t>
      </w:r>
    </w:p>
  </w:footnote>
  <w:footnote w:id="7">
    <w:p>
      <w:pPr>
        <w:pStyle w:val="FootnoteText"/>
        <w:ind w:left="170" w:hanging="170"/>
        <w:jc w:val="left"/>
        <w:rPr>
          <w:rFonts w:eastAsia="Times New Roman" w:cs="Times New Roman"/>
          <w:sz w:val="16"/>
          <w:szCs w:val="16"/>
        </w:rPr>
      </w:pPr>
      <w:r>
        <w:rPr>
          <w:rStyle w:val="FootnoteReference"/>
        </w:rPr>
        <w:footnoteRef/>
      </w:r>
      <w:r>
        <w:rPr>
          <w:sz w:val="16"/>
        </w:rPr>
        <w:t xml:space="preserve"> </w:t>
      </w:r>
      <w:hyperlink r:id="rId4">
        <w:r>
          <w:rPr>
            <w:rStyle w:val="Hyperlink"/>
            <w:sz w:val="16"/>
          </w:rPr>
          <w:t>COM(2015) 614</w:t>
        </w:r>
      </w:hyperlink>
      <w:r>
        <w:rPr>
          <w:sz w:val="16"/>
        </w:rPr>
        <w:t>.</w:t>
      </w:r>
    </w:p>
  </w:footnote>
  <w:footnote w:id="8">
    <w:p>
      <w:pPr>
        <w:pStyle w:val="FootnoteText"/>
        <w:rPr>
          <w:rFonts w:eastAsia="Times New Roman" w:cs="Times New Roman"/>
          <w:sz w:val="16"/>
          <w:szCs w:val="16"/>
        </w:rPr>
      </w:pPr>
      <w:r>
        <w:rPr>
          <w:rStyle w:val="FootnoteReference"/>
        </w:rPr>
        <w:footnoteRef/>
      </w:r>
      <w:r>
        <w:rPr>
          <w:sz w:val="16"/>
        </w:rPr>
        <w:t xml:space="preserve"> </w:t>
      </w:r>
      <w:hyperlink r:id="rId5">
        <w:r>
          <w:rPr>
            <w:rStyle w:val="Hyperlink"/>
            <w:sz w:val="16"/>
          </w:rPr>
          <w:t>COM(2018) 028</w:t>
        </w:r>
      </w:hyperlink>
      <w:r>
        <w:rPr>
          <w:sz w:val="16"/>
        </w:rPr>
        <w:t>.</w:t>
      </w:r>
    </w:p>
  </w:footnote>
  <w:footnote w:id="9">
    <w:p>
      <w:pPr>
        <w:pStyle w:val="FootnoteText"/>
        <w:rPr>
          <w:rFonts w:eastAsia="Times New Roman" w:cs="Times New Roman"/>
          <w:sz w:val="16"/>
          <w:szCs w:val="16"/>
        </w:rPr>
      </w:pPr>
      <w:r>
        <w:rPr>
          <w:rStyle w:val="FootnoteReference"/>
        </w:rPr>
        <w:footnoteRef/>
      </w:r>
      <w:r>
        <w:rPr>
          <w:sz w:val="16"/>
          <w:szCs w:val="16"/>
        </w:rPr>
        <w:t xml:space="preserve"> L-Uffiċċju tal-Pubblikazzjonijiet tal-Unjoni Ewropea</w:t>
      </w:r>
      <w:r>
        <w:rPr>
          <w:sz w:val="16"/>
        </w:rPr>
        <w:t xml:space="preserve">, </w:t>
      </w:r>
      <w:hyperlink r:id="rId6">
        <w:r>
          <w:rPr>
            <w:rStyle w:val="Hyperlink"/>
            <w:sz w:val="16"/>
          </w:rPr>
          <w:t>Pakkett dwar l-Iskart</w:t>
        </w:r>
      </w:hyperlink>
      <w:r>
        <w:rPr>
          <w:sz w:val="16"/>
        </w:rPr>
        <w:t xml:space="preserve"> (Il-Ġurnal Uffiċjali tal-Unjoni Ewropea, L 150, 14 ta’ Ġunju 2018).</w:t>
      </w:r>
    </w:p>
  </w:footnote>
  <w:footnote w:id="10">
    <w:p>
      <w:pPr>
        <w:pStyle w:val="FootnoteText"/>
        <w:rPr>
          <w:rFonts w:eastAsia="Times New Roman" w:cs="Times New Roman"/>
          <w:sz w:val="16"/>
          <w:szCs w:val="16"/>
        </w:rPr>
      </w:pPr>
      <w:r>
        <w:rPr>
          <w:rStyle w:val="FootnoteReference"/>
        </w:rPr>
        <w:footnoteRef/>
      </w:r>
      <w:r>
        <w:rPr>
          <w:sz w:val="16"/>
        </w:rPr>
        <w:t xml:space="preserve"> Il-Kummissjoni Ewropea, </w:t>
      </w:r>
      <w:hyperlink r:id="rId7">
        <w:r>
          <w:rPr>
            <w:rStyle w:val="Hyperlink"/>
            <w:sz w:val="16"/>
          </w:rPr>
          <w:t>Qafas ta’ Monitoraġġ għall-Ekonomija Ċirkolari</w:t>
        </w:r>
      </w:hyperlink>
      <w:r>
        <w:rPr>
          <w:sz w:val="16"/>
        </w:rPr>
        <w:t>.</w:t>
      </w:r>
    </w:p>
  </w:footnote>
  <w:footnote w:id="11">
    <w:p>
      <w:pPr>
        <w:pStyle w:val="FootnoteText"/>
        <w:rPr>
          <w:sz w:val="16"/>
          <w:szCs w:val="16"/>
        </w:rPr>
      </w:pPr>
      <w:r>
        <w:rPr>
          <w:rStyle w:val="FootnoteReference"/>
        </w:rPr>
        <w:footnoteRef/>
      </w:r>
      <w:r>
        <w:rPr>
          <w:sz w:val="16"/>
        </w:rPr>
        <w:t xml:space="preserve"> </w:t>
      </w:r>
      <w:r>
        <w:rPr>
          <w:rStyle w:val="Hyperlink"/>
          <w:sz w:val="16"/>
        </w:rPr>
        <w:t>COM(2018) 673</w:t>
      </w:r>
      <w:r>
        <w:rPr>
          <w:rStyle w:val="Hyperlink"/>
          <w:color w:val="auto"/>
          <w:sz w:val="16"/>
          <w:u w:val="none"/>
        </w:rPr>
        <w:t>.</w:t>
      </w:r>
      <w:r>
        <w:rPr>
          <w:rStyle w:val="Hyperlink"/>
          <w:sz w:val="16"/>
        </w:rPr>
        <w:t xml:space="preserve"> </w:t>
      </w:r>
    </w:p>
  </w:footnote>
  <w:footnote w:id="12">
    <w:p>
      <w:pPr>
        <w:pStyle w:val="FootnoteText"/>
        <w:rPr>
          <w:sz w:val="16"/>
          <w:szCs w:val="16"/>
        </w:rPr>
      </w:pPr>
      <w:r>
        <w:rPr>
          <w:rStyle w:val="FootnoteReference"/>
        </w:rPr>
        <w:footnoteRef/>
      </w:r>
      <w:r>
        <w:rPr>
          <w:sz w:val="16"/>
        </w:rPr>
        <w:t xml:space="preserve"> </w:t>
      </w:r>
      <w:hyperlink r:id="rId8">
        <w:r>
          <w:rPr>
            <w:rStyle w:val="Hyperlink"/>
            <w:sz w:val="16"/>
          </w:rPr>
          <w:t>Ftehim interistituzzjonali proviżorju tad-19 ta’ Diċembru 2018</w:t>
        </w:r>
      </w:hyperlink>
      <w:r>
        <w:rPr>
          <w:sz w:val="16"/>
        </w:rPr>
        <w:t>.</w:t>
      </w:r>
    </w:p>
  </w:footnote>
  <w:footnote w:id="13">
    <w:p>
      <w:pPr>
        <w:pStyle w:val="NoSpacing"/>
        <w:rPr>
          <w:sz w:val="16"/>
          <w:szCs w:val="16"/>
        </w:rPr>
      </w:pPr>
      <w:r>
        <w:rPr>
          <w:rStyle w:val="FootnoteReference"/>
        </w:rPr>
        <w:footnoteRef/>
      </w:r>
      <w:r>
        <w:rPr>
          <w:sz w:val="16"/>
        </w:rPr>
        <w:t xml:space="preserve"> Fost l-oħrajn, ir-rekwiżiti tal-ekodisinn fir-regolamenti dwar il-prodotti li jappoġġaw tiswija aħjar, il-forniment ta’ informazzjoni utli għat-tiswijiet u l-forniment tal-ispare parts.</w:t>
      </w:r>
    </w:p>
  </w:footnote>
  <w:footnote w:id="14">
    <w:p>
      <w:pPr>
        <w:pStyle w:val="FootnoteText"/>
        <w:rPr>
          <w:sz w:val="16"/>
          <w:szCs w:val="16"/>
        </w:rPr>
      </w:pPr>
      <w:r>
        <w:rPr>
          <w:rStyle w:val="FootnoteReference"/>
        </w:rPr>
        <w:footnoteRef/>
      </w:r>
      <w:r>
        <w:rPr>
          <w:sz w:val="16"/>
        </w:rPr>
        <w:t> F’dan il-kuntest, f’Ottubru 2018 il-Kummissjoni organizzat workshop mal-awtoritajiet għall-protezzjoni tal-konsumatur dwar l-obsolexxenza ppjanata/qabel iż-żmien.</w:t>
      </w:r>
    </w:p>
  </w:footnote>
  <w:footnote w:id="15">
    <w:p>
      <w:pPr>
        <w:pStyle w:val="FootnoteText"/>
        <w:rPr>
          <w:rFonts w:eastAsia="Times New Roman" w:cs="Times New Roman"/>
          <w:sz w:val="16"/>
          <w:szCs w:val="16"/>
        </w:rPr>
      </w:pPr>
      <w:r>
        <w:rPr>
          <w:rStyle w:val="FootnoteReference"/>
        </w:rPr>
        <w:footnoteRef/>
      </w:r>
      <w:r>
        <w:rPr>
          <w:sz w:val="16"/>
        </w:rPr>
        <w:t xml:space="preserve"> Il-Kummissjoni Ewropea, </w:t>
      </w:r>
      <w:hyperlink r:id="rId9">
        <w:r>
          <w:rPr>
            <w:rStyle w:val="Hyperlink"/>
            <w:sz w:val="16"/>
          </w:rPr>
          <w:t>Rata ta’ riċiklaġġ tal-iskart muniċipali</w:t>
        </w:r>
      </w:hyperlink>
      <w:r>
        <w:rPr>
          <w:rStyle w:val="Hyperlink"/>
          <w:sz w:val="16"/>
        </w:rPr>
        <w:t>.</w:t>
      </w:r>
    </w:p>
  </w:footnote>
  <w:footnote w:id="16">
    <w:p>
      <w:pPr>
        <w:pStyle w:val="FootnoteText"/>
        <w:rPr>
          <w:rFonts w:eastAsia="Times New Roman" w:cs="Times New Roman"/>
          <w:sz w:val="16"/>
          <w:szCs w:val="16"/>
        </w:rPr>
      </w:pPr>
      <w:r>
        <w:rPr>
          <w:rStyle w:val="FootnoteReference"/>
        </w:rPr>
        <w:footnoteRef/>
      </w:r>
      <w:r>
        <w:rPr>
          <w:sz w:val="16"/>
        </w:rPr>
        <w:t xml:space="preserve"> </w:t>
      </w:r>
      <w:hyperlink r:id="rId10">
        <w:r>
          <w:rPr>
            <w:rStyle w:val="Hyperlink"/>
            <w:sz w:val="16"/>
          </w:rPr>
          <w:t>COM(2018) 656</w:t>
        </w:r>
      </w:hyperlink>
      <w:r>
        <w:rPr>
          <w:sz w:val="16"/>
        </w:rPr>
        <w:t xml:space="preserve">. </w:t>
      </w:r>
    </w:p>
  </w:footnote>
  <w:footnote w:id="17">
    <w:p>
      <w:pPr>
        <w:pStyle w:val="FootnoteText"/>
        <w:rPr>
          <w:rFonts w:eastAsia="Times New Roman" w:cs="Times New Roman"/>
          <w:sz w:val="16"/>
          <w:szCs w:val="16"/>
        </w:rPr>
      </w:pPr>
      <w:r>
        <w:rPr>
          <w:rStyle w:val="FootnoteReference"/>
        </w:rPr>
        <w:footnoteRef/>
      </w:r>
      <w:r>
        <w:rPr>
          <w:sz w:val="16"/>
        </w:rPr>
        <w:t xml:space="preserve"> L-Awstrija, il-Bulgarija, il-Kroazja, Ċipru, ir-Repubblika Ċeka, l-Estonja, il-Ġermanja, il-Greċja, l-Ungerija, l-Irlanda, il-Latvja, Malta, il-Polonja, il-Portugall, ir-Rumanija, is-Slovakkja u Spanja.</w:t>
      </w:r>
    </w:p>
  </w:footnote>
  <w:footnote w:id="18">
    <w:p>
      <w:pPr>
        <w:pStyle w:val="FootnoteText"/>
        <w:rPr>
          <w:rFonts w:eastAsia="Times New Roman" w:cs="Times New Roman"/>
          <w:sz w:val="16"/>
          <w:szCs w:val="16"/>
        </w:rPr>
      </w:pPr>
      <w:r>
        <w:rPr>
          <w:rStyle w:val="FootnoteReference"/>
        </w:rPr>
        <w:footnoteRef/>
      </w:r>
      <w:r>
        <w:rPr>
          <w:sz w:val="16"/>
        </w:rPr>
        <w:t xml:space="preserve"> L-Awstrija, Ċipru, il-Greċja, l-Ungerija, l-Italja, Malta, in-Netherlands, ir-Rumanija u s-Slovakkja.</w:t>
      </w:r>
    </w:p>
  </w:footnote>
  <w:footnote w:id="19">
    <w:p>
      <w:pPr>
        <w:pStyle w:val="FootnoteText"/>
        <w:jc w:val="left"/>
        <w:rPr>
          <w:rFonts w:eastAsia="Times New Roman" w:cs="Times New Roman"/>
          <w:sz w:val="16"/>
          <w:szCs w:val="16"/>
        </w:rPr>
      </w:pPr>
      <w:r>
        <w:rPr>
          <w:rStyle w:val="FootnoteReference"/>
        </w:rPr>
        <w:footnoteRef/>
      </w:r>
      <w:r>
        <w:rPr>
          <w:rFonts w:ascii="Times New Roman," w:hAnsi="Times New Roman,"/>
          <w:sz w:val="16"/>
        </w:rPr>
        <w:t xml:space="preserve">Il-Kummissjoni Ewropea, </w:t>
      </w:r>
      <w:hyperlink r:id="rId11">
        <w:r>
          <w:rPr>
            <w:rStyle w:val="Hyperlink"/>
            <w:rFonts w:ascii="Times New Roman," w:hAnsi="Times New Roman,"/>
            <w:sz w:val="16"/>
          </w:rPr>
          <w:t>Skart muniċipali, skont l-operazzjonijiet tal-iskart</w:t>
        </w:r>
      </w:hyperlink>
      <w:r>
        <w:rPr>
          <w:rFonts w:ascii="Times New Roman," w:hAnsi="Times New Roman,"/>
          <w:sz w:val="16"/>
        </w:rPr>
        <w:t>.</w:t>
      </w:r>
      <w:r>
        <w:rPr>
          <w:sz w:val="16"/>
        </w:rPr>
        <w:t xml:space="preserve"> L-Awstrija, Ċipru, id-Danimarka, il-Ġermanja, il-Lussemburgu, Malta. </w:t>
      </w:r>
    </w:p>
  </w:footnote>
  <w:footnote w:id="20">
    <w:p>
      <w:pPr>
        <w:pStyle w:val="FootnoteText"/>
        <w:rPr>
          <w:rFonts w:eastAsia="Times New Roman" w:cs="Times New Roman"/>
          <w:sz w:val="16"/>
          <w:szCs w:val="16"/>
        </w:rPr>
      </w:pPr>
      <w:r>
        <w:rPr>
          <w:rStyle w:val="FootnoteReference"/>
        </w:rPr>
        <w:footnoteRef/>
      </w:r>
      <w:r>
        <w:rPr>
          <w:sz w:val="16"/>
        </w:rPr>
        <w:t xml:space="preserve"> Il-Belġju, il-Bulgarija, id-Danimarka, Franza, il-Ġermanja, il-Lussemburgu, l-Ungerija, in-Netherlands u Spanja. </w:t>
      </w:r>
    </w:p>
  </w:footnote>
  <w:footnote w:id="21">
    <w:p>
      <w:pPr>
        <w:pStyle w:val="FootnoteText"/>
        <w:rPr>
          <w:rFonts w:eastAsia="Times New Roman" w:cs="Times New Roman"/>
          <w:sz w:val="16"/>
          <w:szCs w:val="16"/>
        </w:rPr>
      </w:pPr>
      <w:r>
        <w:rPr>
          <w:rStyle w:val="FootnoteReference"/>
        </w:rPr>
        <w:footnoteRef/>
      </w:r>
      <w:r>
        <w:rPr>
          <w:sz w:val="16"/>
        </w:rPr>
        <w:t xml:space="preserve"> L-Awstrija, il-Belġju, il-Ġermanja, in-Netherlands u s-Slovenja.</w:t>
      </w:r>
    </w:p>
  </w:footnote>
  <w:footnote w:id="22">
    <w:p>
      <w:pPr>
        <w:pStyle w:val="FootnoteText"/>
        <w:rPr>
          <w:rFonts w:eastAsia="Times New Roman" w:cs="Times New Roman"/>
          <w:sz w:val="16"/>
          <w:szCs w:val="16"/>
        </w:rPr>
      </w:pPr>
      <w:r>
        <w:rPr>
          <w:rStyle w:val="FootnoteReference"/>
        </w:rPr>
        <w:footnoteRef/>
      </w:r>
      <w:r>
        <w:rPr>
          <w:sz w:val="16"/>
        </w:rPr>
        <w:t xml:space="preserve"> Il-Kummissjoni ppreżentat rapporti ta’ twissija bikrija għall-Bulgarija, il-Kroazja, Ċipru, l-Estonja, il-Finlandja, il-Greċja, l-Ungerija, il-Latvja, Malta, il-Polonja, il-Portugall, ir-Rumanija, is-Slovakkja u Spanja. Ara </w:t>
      </w:r>
      <w:hyperlink r:id="rId12">
        <w:r>
          <w:rPr>
            <w:rStyle w:val="Hyperlink"/>
            <w:sz w:val="16"/>
          </w:rPr>
          <w:t>COM(2018) 656</w:t>
        </w:r>
      </w:hyperlink>
      <w:r>
        <w:rPr>
          <w:sz w:val="16"/>
        </w:rPr>
        <w:t>.</w:t>
      </w:r>
    </w:p>
  </w:footnote>
  <w:footnote w:id="23">
    <w:p>
      <w:pPr>
        <w:pStyle w:val="FootnoteText"/>
        <w:rPr>
          <w:rFonts w:eastAsia="Times New Roman" w:cs="Times New Roman"/>
          <w:sz w:val="16"/>
          <w:szCs w:val="16"/>
        </w:rPr>
      </w:pPr>
      <w:r>
        <w:rPr>
          <w:rStyle w:val="FootnoteReference"/>
        </w:rPr>
        <w:footnoteRef/>
      </w:r>
      <w:r>
        <w:rPr>
          <w:sz w:val="16"/>
        </w:rPr>
        <w:t xml:space="preserve"> Il-Ministeru Franċiż għal Tranżizzjoni Ekoloġika u Solidali, </w:t>
      </w:r>
      <w:hyperlink r:id="rId13">
        <w:r>
          <w:rPr>
            <w:rStyle w:val="Hyperlink"/>
            <w:sz w:val="16"/>
          </w:rPr>
          <w:t>Pjan direzzjonali għall-Ekonomija Ċirkolari</w:t>
        </w:r>
      </w:hyperlink>
      <w:r>
        <w:rPr>
          <w:sz w:val="16"/>
        </w:rPr>
        <w:t xml:space="preserve">, 2018. </w:t>
      </w:r>
    </w:p>
  </w:footnote>
  <w:footnote w:id="24">
    <w:p>
      <w:pPr>
        <w:pStyle w:val="FootnoteText"/>
        <w:rPr>
          <w:rFonts w:eastAsia="Times New Roman" w:cs="Times New Roman"/>
          <w:sz w:val="16"/>
          <w:szCs w:val="16"/>
        </w:rPr>
      </w:pPr>
      <w:r>
        <w:rPr>
          <w:rStyle w:val="FootnoteReference"/>
        </w:rPr>
        <w:footnoteRef/>
      </w:r>
      <w:r>
        <w:rPr>
          <w:sz w:val="16"/>
        </w:rPr>
        <w:t xml:space="preserve"> Il-Bulgarija, il-Kroazja, Ċipru, ir-Repubblika Ċeka, l-Estonja, il-Greċja, il-Finlandja, Franza, l-Ungerija, l-Irlanda, l-Italja, il-Litwanja, il-Latvja, Malta, il-Polonja, il-Portugall, ir-Rumanija, is-Slovenja, is-Slovakkja, Spanja u r-Renju Unit.</w:t>
      </w:r>
    </w:p>
  </w:footnote>
  <w:footnote w:id="25">
    <w:p>
      <w:pPr>
        <w:pStyle w:val="FootnoteText"/>
        <w:rPr>
          <w:sz w:val="16"/>
          <w:szCs w:val="16"/>
        </w:rPr>
      </w:pPr>
      <w:r>
        <w:rPr>
          <w:rStyle w:val="FootnoteReference"/>
        </w:rPr>
        <w:footnoteRef/>
      </w:r>
      <w:r>
        <w:rPr>
          <w:sz w:val="16"/>
          <w:szCs w:val="16"/>
        </w:rPr>
        <w:t xml:space="preserve"> Id-</w:t>
      </w:r>
      <w:hyperlink r:id="rId14">
        <w:r>
          <w:rPr>
            <w:rStyle w:val="Hyperlink"/>
            <w:sz w:val="16"/>
          </w:rPr>
          <w:t>Direttiva 1999/31/KE</w:t>
        </w:r>
      </w:hyperlink>
      <w:r>
        <w:t>.</w:t>
      </w:r>
    </w:p>
  </w:footnote>
  <w:footnote w:id="26">
    <w:p>
      <w:pPr>
        <w:pStyle w:val="FootnoteText"/>
        <w:rPr>
          <w:rFonts w:eastAsia="Times New Roman" w:cs="Times New Roman"/>
          <w:sz w:val="16"/>
          <w:szCs w:val="16"/>
        </w:rPr>
      </w:pPr>
      <w:r>
        <w:rPr>
          <w:rStyle w:val="FootnoteReference"/>
        </w:rPr>
        <w:footnoteRef/>
      </w:r>
      <w:r>
        <w:rPr>
          <w:sz w:val="16"/>
        </w:rPr>
        <w:t xml:space="preserve"> Il-Grupp Intergovernattiv ta’ Esperti dwar it-Tibdil fil-Klima, </w:t>
      </w:r>
      <w:hyperlink r:id="rId15">
        <w:r>
          <w:rPr>
            <w:rStyle w:val="Hyperlink"/>
            <w:sz w:val="16"/>
          </w:rPr>
          <w:t>Rapport speċjali dwar Tisħin Globali ta’ 1.5°C</w:t>
        </w:r>
      </w:hyperlink>
      <w:r>
        <w:rPr>
          <w:sz w:val="16"/>
        </w:rPr>
        <w:t>.</w:t>
      </w:r>
    </w:p>
  </w:footnote>
  <w:footnote w:id="27">
    <w:p>
      <w:pPr>
        <w:pStyle w:val="FootnoteText"/>
        <w:rPr>
          <w:rFonts w:eastAsia="Times New Roman" w:cs="Times New Roman"/>
          <w:sz w:val="16"/>
          <w:szCs w:val="16"/>
          <w:lang w:val="pt-PT"/>
        </w:rPr>
      </w:pPr>
      <w:r>
        <w:rPr>
          <w:rStyle w:val="FootnoteReference"/>
        </w:rPr>
        <w:footnoteRef/>
      </w:r>
      <w:r>
        <w:rPr>
          <w:sz w:val="16"/>
        </w:rPr>
        <w:t xml:space="preserve"> </w:t>
      </w:r>
      <w:hyperlink r:id="rId16">
        <w:r>
          <w:rPr>
            <w:rStyle w:val="Hyperlink"/>
            <w:sz w:val="16"/>
          </w:rPr>
          <w:t>COM(2018)773.</w:t>
        </w:r>
      </w:hyperlink>
      <w:r>
        <w:rPr>
          <w:sz w:val="16"/>
        </w:rPr>
        <w:t xml:space="preserve"> </w:t>
      </w:r>
    </w:p>
  </w:footnote>
  <w:footnote w:id="28">
    <w:p>
      <w:pPr>
        <w:pStyle w:val="FootnoteText"/>
        <w:rPr>
          <w:rFonts w:eastAsia="Times New Roman" w:cs="Times New Roman"/>
          <w:sz w:val="16"/>
          <w:szCs w:val="16"/>
          <w:lang w:val="pt-PT"/>
        </w:rPr>
      </w:pPr>
      <w:r>
        <w:rPr>
          <w:rStyle w:val="FootnoteReference"/>
        </w:rPr>
        <w:footnoteRef/>
      </w:r>
      <w:r>
        <w:rPr>
          <w:sz w:val="16"/>
        </w:rPr>
        <w:t xml:space="preserve"> </w:t>
      </w:r>
      <w:r>
        <w:rPr>
          <w:sz w:val="16"/>
          <w:szCs w:val="16"/>
        </w:rPr>
        <w:t>Id-</w:t>
      </w:r>
      <w:hyperlink r:id="rId17">
        <w:r>
          <w:rPr>
            <w:rStyle w:val="Hyperlink"/>
            <w:sz w:val="16"/>
          </w:rPr>
          <w:t>Direttiva (UE) 2018/410</w:t>
        </w:r>
      </w:hyperlink>
      <w:r>
        <w:rPr>
          <w:sz w:val="16"/>
        </w:rPr>
        <w:t>.</w:t>
      </w:r>
    </w:p>
  </w:footnote>
  <w:footnote w:id="29">
    <w:p>
      <w:pPr>
        <w:pStyle w:val="FootnoteText"/>
        <w:rPr>
          <w:rFonts w:eastAsia="Times New Roman" w:cs="Times New Roman"/>
          <w:sz w:val="16"/>
          <w:szCs w:val="16"/>
          <w:lang w:val="pt-PT"/>
        </w:rPr>
      </w:pPr>
      <w:r>
        <w:rPr>
          <w:rStyle w:val="FootnoteReference"/>
        </w:rPr>
        <w:footnoteRef/>
      </w:r>
      <w:r>
        <w:rPr>
          <w:sz w:val="16"/>
        </w:rPr>
        <w:t xml:space="preserve"> </w:t>
      </w:r>
      <w:hyperlink r:id="rId18">
        <w:r>
          <w:rPr>
            <w:rStyle w:val="Hyperlink"/>
            <w:sz w:val="16"/>
          </w:rPr>
          <w:t>COM(2018) 738</w:t>
        </w:r>
      </w:hyperlink>
      <w:r>
        <w:rPr>
          <w:sz w:val="16"/>
        </w:rPr>
        <w:t>.</w:t>
      </w:r>
    </w:p>
  </w:footnote>
  <w:footnote w:id="30">
    <w:p>
      <w:pPr>
        <w:pStyle w:val="FootnoteText"/>
        <w:rPr>
          <w:rFonts w:eastAsia="Times New Roman" w:cs="Times New Roman"/>
          <w:sz w:val="16"/>
          <w:szCs w:val="16"/>
          <w:lang w:val="pt-PT"/>
        </w:rPr>
      </w:pPr>
      <w:r>
        <w:rPr>
          <w:rStyle w:val="FootnoteReference"/>
        </w:rPr>
        <w:footnoteRef/>
      </w:r>
      <w:r>
        <w:rPr>
          <w:sz w:val="16"/>
          <w:szCs w:val="16"/>
        </w:rPr>
        <w:t xml:space="preserve"> Ir-</w:t>
      </w:r>
      <w:hyperlink r:id="rId19">
        <w:r>
          <w:rPr>
            <w:rStyle w:val="Hyperlink"/>
            <w:sz w:val="16"/>
          </w:rPr>
          <w:t>Regolament (UE) 2018/1999</w:t>
        </w:r>
      </w:hyperlink>
      <w:r>
        <w:rPr>
          <w:sz w:val="16"/>
        </w:rPr>
        <w:t>.</w:t>
      </w:r>
    </w:p>
  </w:footnote>
  <w:footnote w:id="31">
    <w:p>
      <w:pPr>
        <w:pStyle w:val="FootnoteText"/>
        <w:rPr>
          <w:rFonts w:eastAsia="Times New Roman" w:cs="Times New Roman"/>
          <w:sz w:val="16"/>
          <w:szCs w:val="16"/>
        </w:rPr>
      </w:pPr>
      <w:r>
        <w:rPr>
          <w:rStyle w:val="FootnoteReference"/>
        </w:rPr>
        <w:footnoteRef/>
      </w:r>
      <w:r>
        <w:rPr>
          <w:sz w:val="16"/>
        </w:rPr>
        <w:t xml:space="preserve"> Fl-2016, il-Belġju, il-Finlandja, il-Ġermanja, l-Irlanda, Malta u l-Polonja kellhom emissjonijiet ogħla mill-allokazzjonijiet annwali tagħhom tal-emissjonijiet. Fl-2017, skont </w:t>
      </w:r>
      <w:r>
        <w:rPr>
          <w:i/>
          <w:sz w:val="16"/>
        </w:rPr>
        <w:t>data</w:t>
      </w:r>
      <w:r>
        <w:rPr>
          <w:sz w:val="16"/>
        </w:rPr>
        <w:t xml:space="preserve"> preliminari, l-Awstrija, il-Bulgarija, Ċipru, l-Estonja, il-Finlandja, il-Ġermanja, l-Irlanda, il-Litwanja, Malta u l-Polonja kellhom emissjonijiet ogħla mill-allokazzjonijiet annwali tagħhom tal-emissjonijiet. </w:t>
      </w:r>
    </w:p>
  </w:footnote>
  <w:footnote w:id="32">
    <w:p>
      <w:pPr>
        <w:pStyle w:val="FootnoteText"/>
        <w:rPr>
          <w:rFonts w:eastAsia="Times New Roman" w:cs="Times New Roman"/>
          <w:sz w:val="16"/>
          <w:szCs w:val="16"/>
        </w:rPr>
      </w:pPr>
      <w:r>
        <w:rPr>
          <w:rStyle w:val="FootnoteReference"/>
        </w:rPr>
        <w:footnoteRef/>
      </w:r>
      <w:r>
        <w:rPr>
          <w:sz w:val="16"/>
        </w:rPr>
        <w:t xml:space="preserve"> L-Istati Membri kollha ħlief il-Bulgarija, il-Kroazja u l-Latvja.</w:t>
      </w:r>
    </w:p>
  </w:footnote>
  <w:footnote w:id="33">
    <w:p>
      <w:pPr>
        <w:pStyle w:val="FootnoteText"/>
        <w:rPr>
          <w:rFonts w:eastAsia="Times New Roman" w:cs="Times New Roman"/>
          <w:sz w:val="16"/>
          <w:szCs w:val="16"/>
        </w:rPr>
      </w:pPr>
      <w:r>
        <w:rPr>
          <w:rStyle w:val="FootnoteReference"/>
        </w:rPr>
        <w:footnoteRef/>
      </w:r>
      <w:r>
        <w:rPr>
          <w:sz w:val="16"/>
        </w:rPr>
        <w:t xml:space="preserve"> Il-Kummissjoni Ewropea, </w:t>
      </w:r>
      <w:hyperlink r:id="rId20">
        <w:r>
          <w:rPr>
            <w:rStyle w:val="Hyperlink"/>
            <w:sz w:val="16"/>
          </w:rPr>
          <w:t>Strateġiji makroreġjonali</w:t>
        </w:r>
      </w:hyperlink>
      <w:r>
        <w:rPr>
          <w:sz w:val="16"/>
        </w:rPr>
        <w:t xml:space="preserve">. </w:t>
      </w:r>
    </w:p>
  </w:footnote>
  <w:footnote w:id="34">
    <w:p>
      <w:pPr>
        <w:pStyle w:val="FootnoteText"/>
        <w:rPr>
          <w:rFonts w:eastAsia="Times New Roman" w:cs="Times New Roman"/>
          <w:sz w:val="16"/>
          <w:szCs w:val="16"/>
        </w:rPr>
      </w:pPr>
      <w:r>
        <w:rPr>
          <w:rStyle w:val="FootnoteReference"/>
        </w:rPr>
        <w:footnoteRef/>
      </w:r>
      <w:r>
        <w:rPr>
          <w:sz w:val="16"/>
          <w:szCs w:val="16"/>
        </w:rPr>
        <w:t xml:space="preserve"> Il-Konvenzjoni Alpina</w:t>
      </w:r>
      <w:r>
        <w:rPr>
          <w:sz w:val="16"/>
        </w:rPr>
        <w:t xml:space="preserve">, </w:t>
      </w:r>
      <w:hyperlink r:id="rId21">
        <w:r>
          <w:rPr>
            <w:rStyle w:val="Hyperlink"/>
            <w:sz w:val="16"/>
          </w:rPr>
          <w:t>sit web.</w:t>
        </w:r>
      </w:hyperlink>
      <w:r>
        <w:rPr>
          <w:sz w:val="16"/>
        </w:rPr>
        <w:t xml:space="preserve"> </w:t>
      </w:r>
    </w:p>
  </w:footnote>
  <w:footnote w:id="35">
    <w:p>
      <w:pPr>
        <w:pStyle w:val="FootnoteText"/>
        <w:rPr>
          <w:rFonts w:eastAsia="Times New Roman" w:cs="Times New Roman"/>
          <w:sz w:val="16"/>
          <w:szCs w:val="16"/>
        </w:rPr>
      </w:pPr>
      <w:r>
        <w:rPr>
          <w:rStyle w:val="FootnoteReference"/>
        </w:rPr>
        <w:footnoteRef/>
      </w:r>
      <w:r>
        <w:rPr>
          <w:sz w:val="16"/>
          <w:szCs w:val="16"/>
        </w:rPr>
        <w:t xml:space="preserve"> Il-Konvenzjoni tal-Karpazji,</w:t>
      </w:r>
      <w:r>
        <w:rPr>
          <w:sz w:val="16"/>
        </w:rPr>
        <w:t xml:space="preserve"> </w:t>
      </w:r>
      <w:hyperlink r:id="rId22">
        <w:r>
          <w:rPr>
            <w:rStyle w:val="Hyperlink"/>
            <w:sz w:val="16"/>
          </w:rPr>
          <w:t>sit web.</w:t>
        </w:r>
      </w:hyperlink>
      <w:r>
        <w:rPr>
          <w:sz w:val="16"/>
        </w:rPr>
        <w:t xml:space="preserve"> </w:t>
      </w:r>
    </w:p>
  </w:footnote>
  <w:footnote w:id="36">
    <w:p>
      <w:pPr>
        <w:pStyle w:val="FootnoteText"/>
        <w:rPr>
          <w:rFonts w:eastAsia="Times New Roman" w:cs="Times New Roman"/>
          <w:sz w:val="16"/>
          <w:szCs w:val="16"/>
        </w:rPr>
      </w:pPr>
      <w:r>
        <w:rPr>
          <w:rStyle w:val="FootnoteReference"/>
        </w:rPr>
        <w:footnoteRef/>
      </w:r>
      <w:r>
        <w:rPr>
          <w:sz w:val="16"/>
        </w:rPr>
        <w:t xml:space="preserve"> </w:t>
      </w:r>
      <w:hyperlink r:id="rId23">
        <w:r>
          <w:rPr>
            <w:rStyle w:val="Hyperlink"/>
            <w:sz w:val="16"/>
          </w:rPr>
          <w:t>COM(2011) 244</w:t>
        </w:r>
      </w:hyperlink>
      <w:r>
        <w:rPr>
          <w:sz w:val="16"/>
        </w:rPr>
        <w:t>.</w:t>
      </w:r>
    </w:p>
  </w:footnote>
  <w:footnote w:id="37">
    <w:p>
      <w:pPr>
        <w:pStyle w:val="FootnoteText"/>
        <w:rPr>
          <w:rFonts w:eastAsia="Times New Roman" w:cs="Times New Roman"/>
          <w:sz w:val="16"/>
          <w:szCs w:val="16"/>
        </w:rPr>
      </w:pPr>
      <w:r>
        <w:rPr>
          <w:rStyle w:val="FootnoteReference"/>
        </w:rPr>
        <w:footnoteRef/>
      </w:r>
      <w:r>
        <w:rPr>
          <w:sz w:val="16"/>
          <w:szCs w:val="16"/>
        </w:rPr>
        <w:t xml:space="preserve"> Id-</w:t>
      </w:r>
      <w:hyperlink r:id="rId24">
        <w:r>
          <w:rPr>
            <w:rStyle w:val="Hyperlink"/>
            <w:sz w:val="16"/>
          </w:rPr>
          <w:t>Direttiva 92/43/KEE</w:t>
        </w:r>
      </w:hyperlink>
      <w:r>
        <w:rPr>
          <w:sz w:val="16"/>
        </w:rPr>
        <w:t xml:space="preserve"> u d-</w:t>
      </w:r>
      <w:hyperlink r:id="rId25">
        <w:r>
          <w:rPr>
            <w:rStyle w:val="Hyperlink"/>
            <w:sz w:val="16"/>
          </w:rPr>
          <w:t>Direttiva 2009/147/KE</w:t>
        </w:r>
      </w:hyperlink>
      <w:r>
        <w:rPr>
          <w:sz w:val="16"/>
        </w:rPr>
        <w:t>.</w:t>
      </w:r>
    </w:p>
  </w:footnote>
  <w:footnote w:id="38">
    <w:p>
      <w:pPr>
        <w:pStyle w:val="FootnoteText"/>
        <w:rPr>
          <w:sz w:val="16"/>
          <w:szCs w:val="16"/>
        </w:rPr>
      </w:pPr>
      <w:r>
        <w:rPr>
          <w:rStyle w:val="FootnoteReference"/>
        </w:rPr>
        <w:footnoteRef/>
      </w:r>
      <w:r>
        <w:rPr>
          <w:sz w:val="16"/>
        </w:rPr>
        <w:t xml:space="preserve"> </w:t>
      </w:r>
      <w:hyperlink r:id="rId26">
        <w:r>
          <w:rPr>
            <w:rStyle w:val="Hyperlink"/>
            <w:sz w:val="16"/>
          </w:rPr>
          <w:t>COM(2017) 198</w:t>
        </w:r>
      </w:hyperlink>
      <w:r>
        <w:rPr>
          <w:sz w:val="16"/>
        </w:rPr>
        <w:t>.</w:t>
      </w:r>
    </w:p>
  </w:footnote>
  <w:footnote w:id="39">
    <w:p>
      <w:pPr>
        <w:pStyle w:val="FootnoteText"/>
        <w:rPr>
          <w:sz w:val="16"/>
          <w:szCs w:val="16"/>
        </w:rPr>
      </w:pPr>
      <w:r>
        <w:rPr>
          <w:rStyle w:val="FootnoteReference"/>
        </w:rPr>
        <w:footnoteRef/>
      </w:r>
      <w:r>
        <w:rPr>
          <w:sz w:val="16"/>
        </w:rPr>
        <w:t xml:space="preserve"> </w:t>
      </w:r>
      <w:hyperlink r:id="rId27">
        <w:r>
          <w:rPr>
            <w:rStyle w:val="Hyperlink"/>
            <w:sz w:val="16"/>
          </w:rPr>
          <w:t>COM(2011) 244</w:t>
        </w:r>
      </w:hyperlink>
      <w:r>
        <w:rPr>
          <w:sz w:val="16"/>
        </w:rPr>
        <w:t>.</w:t>
      </w:r>
    </w:p>
  </w:footnote>
  <w:footnote w:id="40">
    <w:p>
      <w:pPr>
        <w:pStyle w:val="FootnoteText"/>
        <w:rPr>
          <w:rFonts w:eastAsia="Times New Roman" w:cs="Times New Roman"/>
          <w:sz w:val="16"/>
          <w:szCs w:val="16"/>
        </w:rPr>
      </w:pPr>
      <w:r>
        <w:rPr>
          <w:rStyle w:val="FootnoteReference"/>
        </w:rPr>
        <w:footnoteRef/>
      </w:r>
      <w:r>
        <w:rPr>
          <w:sz w:val="16"/>
          <w:szCs w:val="16"/>
        </w:rPr>
        <w:t xml:space="preserve"> Ir-</w:t>
      </w:r>
      <w:hyperlink r:id="rId28">
        <w:r>
          <w:rPr>
            <w:rStyle w:val="Hyperlink"/>
            <w:sz w:val="16"/>
          </w:rPr>
          <w:t>Regolament (UE) Nru 1143/2014</w:t>
        </w:r>
      </w:hyperlink>
      <w:r>
        <w:t>.</w:t>
      </w:r>
    </w:p>
  </w:footnote>
  <w:footnote w:id="41">
    <w:p>
      <w:pPr>
        <w:pStyle w:val="FootnoteText"/>
        <w:rPr>
          <w:rFonts w:eastAsia="Times New Roman" w:cs="Times New Roman"/>
          <w:sz w:val="16"/>
          <w:szCs w:val="16"/>
        </w:rPr>
      </w:pPr>
      <w:r>
        <w:rPr>
          <w:rStyle w:val="FootnoteReference"/>
        </w:rPr>
        <w:footnoteRef/>
      </w:r>
      <w:r>
        <w:rPr>
          <w:sz w:val="16"/>
        </w:rPr>
        <w:t xml:space="preserve"> L-Awstrija, il-Belġju, il-Bulgarija, il-Kroazja, Ċipru, ir-Repubblika Ċeka, id-Danimarka, l-Estonja, il-Finlandja, il-Ġermanja, il-Greċja, l-Ungerija, l-Irlanda, l-Italja, il-Litwanja, il-Latvja, Malta, in-Netherlands, il-Polonja, il-Portugall, ir-Rumanija, Spanja, is-Slovakkja, is-Slovenja, l-Iżvezja u r-Renju Unit.</w:t>
      </w:r>
    </w:p>
  </w:footnote>
  <w:footnote w:id="42">
    <w:p>
      <w:pPr>
        <w:pStyle w:val="FootnoteText"/>
        <w:rPr>
          <w:rFonts w:eastAsia="Times New Roman" w:cs="Times New Roman"/>
          <w:sz w:val="16"/>
          <w:szCs w:val="16"/>
        </w:rPr>
      </w:pPr>
      <w:r>
        <w:rPr>
          <w:rStyle w:val="FootnoteReference"/>
        </w:rPr>
        <w:footnoteRef/>
      </w:r>
      <w:r>
        <w:rPr>
          <w:sz w:val="16"/>
        </w:rPr>
        <w:t xml:space="preserve"> Il-Bulgarija, Ċipru, l-Estonja, il-Greċja, l-Ungerija, l-Italja, il-Litwanja, il-Portugall, ir-Rumanija u s-Slovenja.</w:t>
      </w:r>
    </w:p>
  </w:footnote>
  <w:footnote w:id="43">
    <w:p>
      <w:pPr>
        <w:pStyle w:val="FootnoteText"/>
        <w:rPr>
          <w:rFonts w:eastAsia="Times New Roman" w:cs="Times New Roman"/>
          <w:sz w:val="16"/>
          <w:szCs w:val="16"/>
        </w:rPr>
      </w:pPr>
      <w:r>
        <w:rPr>
          <w:rStyle w:val="FootnoteReference"/>
        </w:rPr>
        <w:footnoteRef/>
      </w:r>
      <w:r>
        <w:rPr>
          <w:sz w:val="16"/>
        </w:rPr>
        <w:t xml:space="preserve"> Il-Bulgarija, il-Kroazja, l-Estonja, Franza, il-Greċja, l-Ungerija, l-Irlanda, l-Italja, il-Litwanja, il-Lussemburgu, Malta, ir-Rumanija, is-Slovakkja, is-Slovenja u Spanja.</w:t>
      </w:r>
    </w:p>
  </w:footnote>
  <w:footnote w:id="44">
    <w:p>
      <w:pPr>
        <w:pStyle w:val="FootnoteText"/>
        <w:rPr>
          <w:rFonts w:eastAsia="Times New Roman" w:cs="Times New Roman"/>
          <w:sz w:val="16"/>
          <w:szCs w:val="16"/>
        </w:rPr>
      </w:pPr>
      <w:r>
        <w:rPr>
          <w:rStyle w:val="FootnoteReference"/>
        </w:rPr>
        <w:footnoteRef/>
      </w:r>
      <w:r>
        <w:rPr>
          <w:sz w:val="16"/>
        </w:rPr>
        <w:t xml:space="preserve"> L-Awstrija, il-Belġju, ir-Repubblika Ċeka, id-Danimarka, l-Estonja, l-Ungerija, il-Portugall, is-Slovakkja u l-Iżvezja.</w:t>
      </w:r>
    </w:p>
  </w:footnote>
  <w:footnote w:id="45">
    <w:p>
      <w:pPr>
        <w:pStyle w:val="FootnoteText"/>
        <w:rPr>
          <w:rFonts w:eastAsia="Times New Roman" w:cs="Times New Roman"/>
          <w:sz w:val="16"/>
          <w:szCs w:val="16"/>
          <w:lang w:val="it-IT"/>
        </w:rPr>
      </w:pPr>
      <w:r>
        <w:rPr>
          <w:rStyle w:val="FootnoteReference"/>
        </w:rPr>
        <w:footnoteRef/>
      </w:r>
      <w:r>
        <w:rPr>
          <w:sz w:val="16"/>
        </w:rPr>
        <w:t xml:space="preserve"> Il-Finlandja, il-Litwanja, il-Latvja, il-Polonja, is-Slovakkja u l-Iżvezja.</w:t>
      </w:r>
    </w:p>
  </w:footnote>
  <w:footnote w:id="46">
    <w:p>
      <w:pPr>
        <w:pStyle w:val="FootnoteText"/>
        <w:rPr>
          <w:rFonts w:eastAsia="Times New Roman" w:cs="Times New Roman"/>
          <w:sz w:val="16"/>
          <w:szCs w:val="16"/>
          <w:lang w:val="it-IT"/>
        </w:rPr>
      </w:pPr>
      <w:r>
        <w:rPr>
          <w:rStyle w:val="FootnoteReference"/>
        </w:rPr>
        <w:footnoteRef/>
      </w:r>
      <w:r>
        <w:rPr>
          <w:sz w:val="16"/>
        </w:rPr>
        <w:t xml:space="preserve"> </w:t>
      </w:r>
      <w:hyperlink r:id="rId29">
        <w:r>
          <w:rPr>
            <w:rStyle w:val="Hyperlink"/>
            <w:sz w:val="16"/>
          </w:rPr>
          <w:t>COM(2013) 659</w:t>
        </w:r>
      </w:hyperlink>
      <w:r>
        <w:rPr>
          <w:sz w:val="16"/>
        </w:rPr>
        <w:t>.</w:t>
      </w:r>
    </w:p>
  </w:footnote>
  <w:footnote w:id="47">
    <w:p>
      <w:pPr>
        <w:pStyle w:val="FootnoteText"/>
        <w:rPr>
          <w:rFonts w:eastAsia="Times New Roman" w:cs="Times New Roman"/>
          <w:sz w:val="16"/>
          <w:szCs w:val="16"/>
          <w:lang w:val="it-IT"/>
        </w:rPr>
      </w:pPr>
      <w:r>
        <w:rPr>
          <w:rStyle w:val="FootnoteReference"/>
        </w:rPr>
        <w:footnoteRef/>
      </w:r>
      <w:r>
        <w:rPr>
          <w:sz w:val="16"/>
        </w:rPr>
        <w:t xml:space="preserve"> L-Awstrija, il-Belġju, ir-Repubblika Ċeka, il-Greċja, l-Irlanda, il-Portugall, ir-Rumanija, is-Slovakkja, l-Iżvezja u r-Renju Unit. </w:t>
      </w:r>
    </w:p>
  </w:footnote>
  <w:footnote w:id="48">
    <w:p>
      <w:pPr>
        <w:pStyle w:val="FootnoteText"/>
        <w:rPr>
          <w:rFonts w:eastAsia="Times New Roman" w:cs="Times New Roman"/>
          <w:sz w:val="16"/>
          <w:szCs w:val="16"/>
        </w:rPr>
      </w:pPr>
      <w:r>
        <w:rPr>
          <w:rStyle w:val="FootnoteReference"/>
        </w:rPr>
        <w:footnoteRef/>
      </w:r>
      <w:r>
        <w:rPr>
          <w:sz w:val="16"/>
        </w:rPr>
        <w:t xml:space="preserve"> Ir-Repubblika Ċeka, id-Danimarka, il-Ġermanja, il-Greċja, Franza, l-Ungerija, il-Portugall u Spanja. </w:t>
      </w:r>
    </w:p>
  </w:footnote>
  <w:footnote w:id="49">
    <w:p>
      <w:pPr>
        <w:pStyle w:val="FootnoteText"/>
        <w:rPr>
          <w:rFonts w:eastAsia="Times New Roman" w:cs="Times New Roman"/>
          <w:sz w:val="16"/>
          <w:szCs w:val="16"/>
        </w:rPr>
      </w:pPr>
      <w:r>
        <w:rPr>
          <w:rStyle w:val="FootnoteReference"/>
        </w:rPr>
        <w:footnoteRef/>
      </w:r>
      <w:r>
        <w:rPr>
          <w:sz w:val="16"/>
        </w:rPr>
        <w:t xml:space="preserve"> Il-Kroazja, id-Danimarka, l-Estonja, il-Greċja, il-Litwanja, ir-Rumanija u s-Slovenja.</w:t>
      </w:r>
    </w:p>
  </w:footnote>
  <w:footnote w:id="50">
    <w:p>
      <w:pPr>
        <w:pStyle w:val="FootnoteText"/>
        <w:rPr>
          <w:sz w:val="16"/>
          <w:szCs w:val="16"/>
        </w:rPr>
      </w:pPr>
      <w:r>
        <w:rPr>
          <w:rStyle w:val="FootnoteReference"/>
        </w:rPr>
        <w:footnoteRef/>
      </w:r>
      <w:r>
        <w:rPr>
          <w:sz w:val="16"/>
        </w:rPr>
        <w:t xml:space="preserve"> Kif mitlub skont id-Direttiva Kwadru dwar l-Istrateġija Marina (id-</w:t>
      </w:r>
      <w:hyperlink r:id="rId30">
        <w:r>
          <w:rPr>
            <w:rStyle w:val="Hyperlink"/>
            <w:sz w:val="16"/>
          </w:rPr>
          <w:t>Direttiva 2008/56/KE</w:t>
        </w:r>
      </w:hyperlink>
      <w:r>
        <w:rPr>
          <w:sz w:val="16"/>
        </w:rPr>
        <w:t>).</w:t>
      </w:r>
    </w:p>
  </w:footnote>
  <w:footnote w:id="51">
    <w:p>
      <w:pPr>
        <w:pStyle w:val="FootnoteText"/>
        <w:rPr>
          <w:rFonts w:eastAsia="Times New Roman" w:cs="Times New Roman"/>
          <w:sz w:val="16"/>
          <w:szCs w:val="16"/>
        </w:rPr>
      </w:pPr>
      <w:r>
        <w:rPr>
          <w:rStyle w:val="FootnoteReference"/>
        </w:rPr>
        <w:footnoteRef/>
      </w:r>
      <w:r>
        <w:rPr>
          <w:sz w:val="16"/>
        </w:rPr>
        <w:t xml:space="preserve"> Il-Belġju, il-Bulgarija, Ċipru, id-Danimarka, il-Finlandja, Franza, l-Irlanda, l-Italja, il-Latvja, Malta, in-Netherlands, il-Polonja, il-Portugall, Spanja, l-Iżvezja u r-Renju Unit.</w:t>
      </w:r>
    </w:p>
  </w:footnote>
  <w:footnote w:id="52">
    <w:p>
      <w:pPr>
        <w:pStyle w:val="FootnoteText"/>
        <w:rPr>
          <w:rFonts w:eastAsia="Times New Roman" w:cs="Times New Roman"/>
          <w:sz w:val="16"/>
          <w:szCs w:val="16"/>
        </w:rPr>
      </w:pPr>
      <w:r>
        <w:rPr>
          <w:rStyle w:val="FootnoteReference"/>
        </w:rPr>
        <w:footnoteRef/>
      </w:r>
      <w:r>
        <w:rPr>
          <w:sz w:val="16"/>
        </w:rPr>
        <w:t xml:space="preserve"> LIFE Connect Carpathians, </w:t>
      </w:r>
      <w:hyperlink r:id="rId31">
        <w:r>
          <w:rPr>
            <w:rStyle w:val="Hyperlink"/>
            <w:sz w:val="16"/>
          </w:rPr>
          <w:t>sit web</w:t>
        </w:r>
      </w:hyperlink>
      <w:r>
        <w:rPr>
          <w:sz w:val="16"/>
        </w:rPr>
        <w:t>.</w:t>
      </w:r>
    </w:p>
  </w:footnote>
  <w:footnote w:id="53">
    <w:p>
      <w:pPr>
        <w:pStyle w:val="FootnoteText"/>
        <w:rPr>
          <w:rFonts w:eastAsia="Times New Roman" w:cs="Times New Roman"/>
          <w:sz w:val="16"/>
          <w:szCs w:val="16"/>
        </w:rPr>
      </w:pPr>
      <w:r>
        <w:rPr>
          <w:rStyle w:val="FootnoteReference"/>
        </w:rPr>
        <w:footnoteRef/>
      </w:r>
      <w:r>
        <w:rPr>
          <w:sz w:val="16"/>
        </w:rPr>
        <w:t xml:space="preserve"> Il-Kummissjoni Ewropea, </w:t>
      </w:r>
      <w:hyperlink r:id="rId32" w:anchor="Ammonia">
        <w:r>
          <w:rPr>
            <w:rStyle w:val="Hyperlink"/>
            <w:sz w:val="16"/>
          </w:rPr>
          <w:t>Emissjonijiet ta’ sustanzi li jniġġsu l-arja, UE-28, 1990-2016</w:t>
        </w:r>
      </w:hyperlink>
      <w:r>
        <w:rPr>
          <w:sz w:val="16"/>
        </w:rPr>
        <w:t>.</w:t>
      </w:r>
    </w:p>
  </w:footnote>
  <w:footnote w:id="54">
    <w:p>
      <w:pPr>
        <w:pStyle w:val="FootnoteText"/>
        <w:rPr>
          <w:sz w:val="16"/>
          <w:szCs w:val="16"/>
        </w:rPr>
      </w:pPr>
      <w:r>
        <w:rPr>
          <w:rStyle w:val="FootnoteReference"/>
        </w:rPr>
        <w:footnoteRef/>
      </w:r>
      <w:r>
        <w:rPr>
          <w:sz w:val="16"/>
        </w:rPr>
        <w:t xml:space="preserve"> </w:t>
      </w:r>
      <w:hyperlink r:id="rId33">
        <w:r>
          <w:rPr>
            <w:rStyle w:val="Hyperlink"/>
            <w:sz w:val="16"/>
          </w:rPr>
          <w:t>COM(2018) 330</w:t>
        </w:r>
      </w:hyperlink>
      <w:r>
        <w:rPr>
          <w:sz w:val="16"/>
        </w:rPr>
        <w:t>.</w:t>
      </w:r>
    </w:p>
  </w:footnote>
  <w:footnote w:id="55">
    <w:p>
      <w:pPr>
        <w:pStyle w:val="FootnoteText"/>
        <w:rPr>
          <w:rFonts w:eastAsia="Times New Roman" w:cs="Times New Roman"/>
          <w:sz w:val="16"/>
          <w:szCs w:val="16"/>
        </w:rPr>
      </w:pPr>
      <w:r>
        <w:rPr>
          <w:rStyle w:val="FootnoteReference"/>
        </w:rPr>
        <w:footnoteRef/>
      </w:r>
      <w:r>
        <w:rPr>
          <w:sz w:val="16"/>
        </w:rPr>
        <w:t xml:space="preserve"> Il-Kummissjoni Ewropea, </w:t>
      </w:r>
      <w:hyperlink r:id="rId34">
        <w:r>
          <w:rPr>
            <w:rStyle w:val="Hyperlink"/>
            <w:sz w:val="16"/>
          </w:rPr>
          <w:t>Kontroll tal-idoneità tal-kwalità tal-arja</w:t>
        </w:r>
      </w:hyperlink>
      <w:r>
        <w:rPr>
          <w:sz w:val="16"/>
        </w:rPr>
        <w:t xml:space="preserve">. </w:t>
      </w:r>
    </w:p>
  </w:footnote>
  <w:footnote w:id="56">
    <w:p>
      <w:pPr>
        <w:pStyle w:val="FootnoteText"/>
        <w:rPr>
          <w:sz w:val="16"/>
          <w:szCs w:val="16"/>
        </w:rPr>
      </w:pPr>
      <w:r>
        <w:rPr>
          <w:rStyle w:val="FootnoteReference"/>
        </w:rPr>
        <w:footnoteRef/>
      </w:r>
      <w:r>
        <w:rPr>
          <w:sz w:val="16"/>
        </w:rPr>
        <w:t xml:space="preserve"> Bħala eżempju, il-Premju Horizon għal Modifika tal-Magna għal Arja Nadifa ngħata lil sistema modifikata innovattiva għal karozzi diesel b’emissjoni eċċessiva ta’ Nox li wriet prestazzjoni tajba ħafna. Ara Kummissjoni Ewropea, </w:t>
      </w:r>
      <w:hyperlink r:id="rId35">
        <w:r>
          <w:rPr>
            <w:sz w:val="16"/>
          </w:rPr>
          <w:t>Premju għall-Modifika tal-magna għal arja nadifa</w:t>
        </w:r>
      </w:hyperlink>
      <w:r>
        <w:rPr>
          <w:sz w:val="16"/>
        </w:rPr>
        <w:t xml:space="preserve"> - </w:t>
      </w:r>
      <w:hyperlink r:id="rId36">
        <w:r>
          <w:rPr>
            <w:rStyle w:val="Hyperlink"/>
            <w:sz w:val="16"/>
          </w:rPr>
          <w:t>Evalwazzjoni tal-emissjonijiet tal-NOx, Premju Horizon</w:t>
        </w:r>
      </w:hyperlink>
      <w:r>
        <w:rPr>
          <w:sz w:val="16"/>
        </w:rPr>
        <w:t xml:space="preserve">. </w:t>
      </w:r>
    </w:p>
  </w:footnote>
  <w:footnote w:id="57">
    <w:p>
      <w:pPr>
        <w:pStyle w:val="FootnoteText"/>
        <w:rPr>
          <w:rFonts w:eastAsia="Times New Roman" w:cs="Times New Roman"/>
          <w:sz w:val="16"/>
          <w:szCs w:val="16"/>
        </w:rPr>
      </w:pPr>
      <w:r>
        <w:rPr>
          <w:rStyle w:val="FootnoteReference"/>
        </w:rPr>
        <w:footnoteRef/>
      </w:r>
      <w:r>
        <w:rPr>
          <w:sz w:val="16"/>
          <w:szCs w:val="16"/>
        </w:rPr>
        <w:t xml:space="preserve"> Il-Qorti Ewropea tal-Awdituri</w:t>
      </w:r>
      <w:r>
        <w:rPr>
          <w:sz w:val="16"/>
        </w:rPr>
        <w:t xml:space="preserve"> (</w:t>
      </w:r>
      <w:hyperlink r:id="rId37">
        <w:r>
          <w:rPr>
            <w:rStyle w:val="Hyperlink"/>
            <w:sz w:val="16"/>
          </w:rPr>
          <w:t>Rapport Speċjali 23/2018</w:t>
        </w:r>
      </w:hyperlink>
      <w:r>
        <w:rPr>
          <w:sz w:val="16"/>
        </w:rPr>
        <w:t xml:space="preserve">) ukoll issottolinjat din is-sejba. </w:t>
      </w:r>
    </w:p>
  </w:footnote>
  <w:footnote w:id="58">
    <w:p>
      <w:pPr>
        <w:pStyle w:val="FootnoteText"/>
        <w:rPr>
          <w:rFonts w:eastAsia="Times New Roman" w:cs="Times New Roman"/>
          <w:sz w:val="16"/>
          <w:szCs w:val="16"/>
        </w:rPr>
      </w:pPr>
      <w:r>
        <w:rPr>
          <w:rStyle w:val="FootnoteReference"/>
        </w:rPr>
        <w:footnoteRef/>
      </w:r>
      <w:r>
        <w:rPr>
          <w:sz w:val="16"/>
        </w:rPr>
        <w:t xml:space="preserve"> L-Awstrija, il-Belġju, il-Bulgarija, il-Kroazja, ir-Repubblika Ċeka, il-Ġermanja, il-Greċja, Franza, l-Ungerija, l-Italja, l-Irlanda, il-Lussemburgu, in-Netherlands, il-Polonja, il-Portugall, ir-Rumanija, Spanja, ir-Renju Unit.</w:t>
      </w:r>
    </w:p>
  </w:footnote>
  <w:footnote w:id="59">
    <w:p>
      <w:pPr>
        <w:pStyle w:val="FootnoteText"/>
        <w:rPr>
          <w:rFonts w:eastAsia="Times New Roman" w:cs="Times New Roman"/>
          <w:sz w:val="16"/>
          <w:szCs w:val="16"/>
        </w:rPr>
      </w:pPr>
      <w:r>
        <w:rPr>
          <w:rStyle w:val="FootnoteReference"/>
        </w:rPr>
        <w:footnoteRef/>
      </w:r>
      <w:r>
        <w:rPr>
          <w:sz w:val="16"/>
        </w:rPr>
        <w:t xml:space="preserve"> L-Awstrija, il-Bulgarija, il-Kroazja, ir-Repubblika Ċeka, il-Ġermanja, il-Greċja, Franza, l-Ungerija, l-Italja, il-Polonja, ir-Rumanija, is-Slovakkja, is-Slovenja, Spanja u l-Iżvezja.</w:t>
      </w:r>
    </w:p>
  </w:footnote>
  <w:footnote w:id="60">
    <w:p>
      <w:pPr>
        <w:pStyle w:val="FootnoteText"/>
        <w:rPr>
          <w:rFonts w:eastAsia="Times New Roman" w:cs="Times New Roman"/>
          <w:sz w:val="16"/>
          <w:szCs w:val="16"/>
        </w:rPr>
      </w:pPr>
      <w:r>
        <w:rPr>
          <w:rStyle w:val="FootnoteReference"/>
        </w:rPr>
        <w:footnoteRef/>
      </w:r>
      <w:r>
        <w:rPr>
          <w:sz w:val="16"/>
        </w:rPr>
        <w:t xml:space="preserve"> L-Awstrija, il-Kroazja, id-Danimarka, il-Ġermanja, l-Irlanda u Spanja.</w:t>
      </w:r>
    </w:p>
  </w:footnote>
  <w:footnote w:id="61">
    <w:p>
      <w:pPr>
        <w:pStyle w:val="FootnoteText"/>
        <w:rPr>
          <w:rFonts w:eastAsia="Times New Roman" w:cs="Times New Roman"/>
          <w:sz w:val="16"/>
          <w:szCs w:val="16"/>
        </w:rPr>
      </w:pPr>
      <w:r>
        <w:rPr>
          <w:rStyle w:val="FootnoteReference"/>
        </w:rPr>
        <w:footnoteRef/>
      </w:r>
      <w:r>
        <w:rPr>
          <w:sz w:val="16"/>
        </w:rPr>
        <w:t xml:space="preserve"> Il-Belġju, Ċipru, ir-Repubblika Ċeka, Franza, il-Ġermanja, il-Greċja, l-Italja, il-Polonja, il-Portugall, ir-Rumanija, is-Slovakkja, l-Iżvezja u Spanja.</w:t>
      </w:r>
      <w:r>
        <w:rPr>
          <w:i/>
          <w:sz w:val="16"/>
        </w:rPr>
        <w:t xml:space="preserve"> </w:t>
      </w:r>
    </w:p>
  </w:footnote>
  <w:footnote w:id="62">
    <w:p>
      <w:pPr>
        <w:pStyle w:val="FootnoteText"/>
        <w:rPr>
          <w:rFonts w:eastAsia="Times New Roman" w:cs="Times New Roman"/>
          <w:sz w:val="16"/>
          <w:szCs w:val="16"/>
        </w:rPr>
      </w:pPr>
      <w:r>
        <w:rPr>
          <w:rStyle w:val="FootnoteReference"/>
        </w:rPr>
        <w:footnoteRef/>
      </w:r>
      <w:r>
        <w:rPr>
          <w:sz w:val="16"/>
        </w:rPr>
        <w:t xml:space="preserve"> Il-Belġju, il-Greċja, l-Italja, il-Portugall, ir-Rumanija, is-Slovakkja u Spanja.</w:t>
      </w:r>
    </w:p>
  </w:footnote>
  <w:footnote w:id="63">
    <w:p>
      <w:pPr>
        <w:pStyle w:val="FootnoteText"/>
        <w:rPr>
          <w:rFonts w:eastAsia="Times New Roman" w:cs="Times New Roman"/>
          <w:sz w:val="16"/>
          <w:szCs w:val="16"/>
        </w:rPr>
      </w:pPr>
      <w:r>
        <w:rPr>
          <w:rStyle w:val="FootnoteReference"/>
        </w:rPr>
        <w:footnoteRef/>
      </w:r>
      <w:r>
        <w:rPr>
          <w:sz w:val="16"/>
        </w:rPr>
        <w:t xml:space="preserve"> Il-Kummissjoni Ewropea, </w:t>
      </w:r>
      <w:hyperlink r:id="rId38">
        <w:r>
          <w:rPr>
            <w:rStyle w:val="Hyperlink"/>
            <w:sz w:val="16"/>
          </w:rPr>
          <w:t>LIFE Małopolska Region</w:t>
        </w:r>
      </w:hyperlink>
      <w:r>
        <w:rPr>
          <w:sz w:val="16"/>
        </w:rPr>
        <w:t>.</w:t>
      </w:r>
    </w:p>
  </w:footnote>
  <w:footnote w:id="64">
    <w:p>
      <w:pPr>
        <w:pStyle w:val="FootnoteText"/>
        <w:rPr>
          <w:rFonts w:eastAsia="Times New Roman" w:cs="Times New Roman"/>
          <w:sz w:val="16"/>
          <w:szCs w:val="16"/>
        </w:rPr>
      </w:pPr>
      <w:r>
        <w:rPr>
          <w:rStyle w:val="FootnoteReference"/>
        </w:rPr>
        <w:footnoteRef/>
      </w:r>
      <w:r>
        <w:rPr>
          <w:sz w:val="16"/>
        </w:rPr>
        <w:t xml:space="preserve"> Il-Kummissjoni Ewropea, </w:t>
      </w:r>
      <w:hyperlink r:id="rId39">
        <w:r>
          <w:rPr>
            <w:rStyle w:val="Hyperlink"/>
            <w:sz w:val="16"/>
          </w:rPr>
          <w:t>Industrija aktar nadifa: x’se tfisser għalik?</w:t>
        </w:r>
      </w:hyperlink>
      <w:r>
        <w:rPr>
          <w:sz w:val="16"/>
        </w:rPr>
        <w:t xml:space="preserve"> 2018, p.2. </w:t>
      </w:r>
    </w:p>
  </w:footnote>
  <w:footnote w:id="65">
    <w:p>
      <w:pPr>
        <w:pStyle w:val="FootnoteText"/>
        <w:rPr>
          <w:rFonts w:eastAsia="Times New Roman" w:cs="Times New Roman"/>
          <w:sz w:val="16"/>
          <w:szCs w:val="16"/>
        </w:rPr>
      </w:pPr>
      <w:r>
        <w:rPr>
          <w:rStyle w:val="FootnoteReference"/>
        </w:rPr>
        <w:footnoteRef/>
      </w:r>
      <w:r>
        <w:rPr>
          <w:sz w:val="16"/>
          <w:szCs w:val="16"/>
        </w:rPr>
        <w:t xml:space="preserve"> Id-</w:t>
      </w:r>
      <w:hyperlink r:id="rId40">
        <w:r>
          <w:rPr>
            <w:rStyle w:val="Hyperlink"/>
            <w:sz w:val="16"/>
          </w:rPr>
          <w:t>Direttiva 2010/75/UE</w:t>
        </w:r>
      </w:hyperlink>
      <w:r>
        <w:rPr>
          <w:sz w:val="16"/>
        </w:rPr>
        <w:t>.</w:t>
      </w:r>
    </w:p>
  </w:footnote>
  <w:footnote w:id="66">
    <w:p>
      <w:pPr>
        <w:pStyle w:val="FootnoteText"/>
        <w:rPr>
          <w:sz w:val="16"/>
          <w:szCs w:val="16"/>
        </w:rPr>
      </w:pPr>
      <w:r>
        <w:rPr>
          <w:rStyle w:val="FootnoteReference"/>
        </w:rPr>
        <w:footnoteRef/>
      </w:r>
      <w:r>
        <w:rPr>
          <w:sz w:val="16"/>
          <w:szCs w:val="16"/>
        </w:rPr>
        <w:t xml:space="preserve"> L-Uffiċċju tal-Pubblikazzjonijiet tal-Unjoni Ewropea</w:t>
      </w:r>
      <w:r>
        <w:rPr>
          <w:sz w:val="16"/>
        </w:rPr>
        <w:t xml:space="preserve">, </w:t>
      </w:r>
      <w:hyperlink r:id="rId41">
        <w:r>
          <w:rPr>
            <w:rStyle w:val="Hyperlink"/>
            <w:sz w:val="16"/>
          </w:rPr>
          <w:t>Industrija aktar nadifa: x’se tfisser għalik?</w:t>
        </w:r>
      </w:hyperlink>
      <w:r>
        <w:rPr>
          <w:sz w:val="16"/>
        </w:rPr>
        <w:t>, 2018, p. 2.</w:t>
      </w:r>
    </w:p>
  </w:footnote>
  <w:footnote w:id="67">
    <w:p>
      <w:pPr>
        <w:pStyle w:val="FootnoteText"/>
        <w:rPr>
          <w:rFonts w:eastAsia="Times New Roman" w:cs="Times New Roman"/>
          <w:sz w:val="16"/>
          <w:szCs w:val="16"/>
        </w:rPr>
      </w:pPr>
      <w:r>
        <w:rPr>
          <w:rStyle w:val="FootnoteReference"/>
        </w:rPr>
        <w:footnoteRef/>
      </w:r>
      <w:r>
        <w:rPr>
          <w:sz w:val="16"/>
        </w:rPr>
        <w:t xml:space="preserve"> Il-Bulgarija, ir-Repubblika Ċeka, l-Estonja, il-Finlandja, il-Greċja, l-Irlanda, il-Portugall, ir-Rumanija, is-Slovakkja u r-Renju Unit.</w:t>
      </w:r>
    </w:p>
  </w:footnote>
  <w:footnote w:id="68">
    <w:p>
      <w:pPr>
        <w:pStyle w:val="FootnoteText"/>
        <w:rPr>
          <w:rFonts w:eastAsia="Times New Roman" w:cs="Times New Roman"/>
          <w:sz w:val="16"/>
          <w:szCs w:val="16"/>
        </w:rPr>
      </w:pPr>
      <w:r>
        <w:rPr>
          <w:rStyle w:val="FootnoteReference"/>
        </w:rPr>
        <w:footnoteRef/>
      </w:r>
      <w:r>
        <w:rPr>
          <w:sz w:val="16"/>
        </w:rPr>
        <w:t xml:space="preserve"> Ċipru, l-Estonja, il-Ġermanja, l-Ungerija, il-Latvja, in-Netherlands u Spanja.</w:t>
      </w:r>
    </w:p>
  </w:footnote>
  <w:footnote w:id="69">
    <w:p>
      <w:pPr>
        <w:pStyle w:val="FootnoteText"/>
        <w:rPr>
          <w:rFonts w:eastAsia="Times New Roman" w:cs="Times New Roman"/>
          <w:sz w:val="16"/>
          <w:szCs w:val="16"/>
        </w:rPr>
      </w:pPr>
      <w:r>
        <w:rPr>
          <w:rStyle w:val="FootnoteReference"/>
        </w:rPr>
        <w:footnoteRef/>
      </w:r>
      <w:r>
        <w:rPr>
          <w:sz w:val="16"/>
        </w:rPr>
        <w:t xml:space="preserve"> L-Italja u l-Lussemburgu.</w:t>
      </w:r>
    </w:p>
  </w:footnote>
  <w:footnote w:id="70">
    <w:p>
      <w:pPr>
        <w:pStyle w:val="FootnoteText"/>
        <w:rPr>
          <w:rFonts w:eastAsia="Times New Roman" w:cs="Times New Roman"/>
          <w:sz w:val="16"/>
          <w:szCs w:val="16"/>
        </w:rPr>
      </w:pPr>
      <w:r>
        <w:rPr>
          <w:rStyle w:val="FootnoteReference"/>
        </w:rPr>
        <w:footnoteRef/>
      </w:r>
      <w:r>
        <w:rPr>
          <w:sz w:val="16"/>
        </w:rPr>
        <w:t xml:space="preserve"> L-Estonja, il-Latvja u Spanja.</w:t>
      </w:r>
    </w:p>
  </w:footnote>
  <w:footnote w:id="71">
    <w:p>
      <w:pPr>
        <w:pStyle w:val="FootnoteText"/>
        <w:rPr>
          <w:rFonts w:eastAsia="Times New Roman" w:cs="Times New Roman"/>
          <w:sz w:val="16"/>
          <w:szCs w:val="16"/>
        </w:rPr>
      </w:pPr>
      <w:r>
        <w:rPr>
          <w:rStyle w:val="FootnoteReference"/>
        </w:rPr>
        <w:footnoteRef/>
      </w:r>
      <w:r>
        <w:rPr>
          <w:sz w:val="16"/>
        </w:rPr>
        <w:t xml:space="preserve"> Dan jinkludi d-</w:t>
      </w:r>
      <w:hyperlink r:id="rId42">
        <w:r>
          <w:rPr>
            <w:rStyle w:val="Hyperlink"/>
            <w:sz w:val="16"/>
          </w:rPr>
          <w:t>Direttiva dwar l-Ilmijiet għall-Għawm (2006/7/KE);</w:t>
        </w:r>
      </w:hyperlink>
      <w:r>
        <w:rPr>
          <w:sz w:val="16"/>
        </w:rPr>
        <w:t xml:space="preserve"> id-</w:t>
      </w:r>
      <w:hyperlink r:id="rId43">
        <w:r>
          <w:rPr>
            <w:rStyle w:val="Hyperlink"/>
            <w:sz w:val="16"/>
          </w:rPr>
          <w:t>Direttiva dwar it-Trattament tal-Ilma Urban Mormi (91/271/KEE)</w:t>
        </w:r>
      </w:hyperlink>
      <w:r>
        <w:rPr>
          <w:sz w:val="16"/>
        </w:rPr>
        <w:t>; id-</w:t>
      </w:r>
      <w:hyperlink r:id="rId44">
        <w:r>
          <w:rPr>
            <w:rStyle w:val="Hyperlink"/>
            <w:sz w:val="16"/>
          </w:rPr>
          <w:t>Direttiva dwar l-Ilma tax-Xorb (98/83/KE)</w:t>
        </w:r>
      </w:hyperlink>
      <w:r>
        <w:rPr>
          <w:sz w:val="16"/>
        </w:rPr>
        <w:t>; id-</w:t>
      </w:r>
      <w:hyperlink r:id="rId45">
        <w:r>
          <w:rPr>
            <w:rStyle w:val="Hyperlink"/>
            <w:sz w:val="16"/>
          </w:rPr>
          <w:t>Direttiva Qafas dwar l-Ilma (2000/60/KE)</w:t>
        </w:r>
      </w:hyperlink>
      <w:r>
        <w:rPr>
          <w:sz w:val="16"/>
        </w:rPr>
        <w:t>; id-</w:t>
      </w:r>
      <w:hyperlink r:id="rId46">
        <w:r>
          <w:rPr>
            <w:rStyle w:val="Hyperlink"/>
            <w:sz w:val="16"/>
          </w:rPr>
          <w:t>Direttiva dwar in-Nitrati (91/676/KEE)</w:t>
        </w:r>
      </w:hyperlink>
      <w:r>
        <w:rPr>
          <w:sz w:val="16"/>
        </w:rPr>
        <w:t xml:space="preserve"> u d-</w:t>
      </w:r>
      <w:hyperlink r:id="rId47">
        <w:r>
          <w:rPr>
            <w:rStyle w:val="Hyperlink"/>
            <w:sz w:val="16"/>
          </w:rPr>
          <w:t>Direttiva dwar l-Għargħar (2007/60/KE)</w:t>
        </w:r>
      </w:hyperlink>
      <w:r>
        <w:rPr>
          <w:rStyle w:val="Hyperlink"/>
          <w:sz w:val="16"/>
        </w:rPr>
        <w:t>.</w:t>
      </w:r>
    </w:p>
  </w:footnote>
  <w:footnote w:id="72">
    <w:p>
      <w:pPr>
        <w:pStyle w:val="FootnoteText"/>
        <w:rPr>
          <w:rFonts w:eastAsia="Times New Roman" w:cs="Times New Roman"/>
          <w:sz w:val="16"/>
          <w:szCs w:val="16"/>
        </w:rPr>
      </w:pPr>
      <w:r>
        <w:rPr>
          <w:rStyle w:val="FootnoteReference"/>
        </w:rPr>
        <w:footnoteRef/>
      </w:r>
      <w:r>
        <w:rPr>
          <w:sz w:val="16"/>
        </w:rPr>
        <w:t xml:space="preserve"> Il-Kummissjoni Ewropea, </w:t>
      </w:r>
      <w:hyperlink r:id="rId48">
        <w:r>
          <w:rPr>
            <w:rStyle w:val="Hyperlink"/>
            <w:sz w:val="16"/>
          </w:rPr>
          <w:t>Użu mill-ġdid tal-ilma: sfond u kuntest ta’ politika</w:t>
        </w:r>
      </w:hyperlink>
      <w:r>
        <w:rPr>
          <w:sz w:val="16"/>
        </w:rPr>
        <w:t>.</w:t>
      </w:r>
    </w:p>
  </w:footnote>
  <w:footnote w:id="73">
    <w:p>
      <w:pPr>
        <w:pStyle w:val="FootnoteText"/>
        <w:rPr>
          <w:rFonts w:eastAsia="Times New Roman" w:cs="Times New Roman"/>
          <w:sz w:val="16"/>
          <w:szCs w:val="16"/>
        </w:rPr>
      </w:pPr>
      <w:r>
        <w:rPr>
          <w:rStyle w:val="FootnoteReference"/>
        </w:rPr>
        <w:footnoteRef/>
      </w:r>
      <w:r>
        <w:rPr>
          <w:sz w:val="16"/>
        </w:rPr>
        <w:t xml:space="preserve"> Il-Kummissjoni Ewropea, </w:t>
      </w:r>
      <w:hyperlink r:id="rId49">
        <w:r>
          <w:rPr>
            <w:rStyle w:val="Hyperlink"/>
            <w:sz w:val="16"/>
          </w:rPr>
          <w:t>Konferenza tal-UE dwar l-Ilma tal-2018</w:t>
        </w:r>
      </w:hyperlink>
      <w:r>
        <w:rPr>
          <w:sz w:val="16"/>
        </w:rPr>
        <w:t xml:space="preserve">, 20-21 ta’ Settembru 2018. </w:t>
      </w:r>
    </w:p>
  </w:footnote>
  <w:footnote w:id="74">
    <w:p>
      <w:pPr>
        <w:pStyle w:val="FootnoteText"/>
        <w:rPr>
          <w:rFonts w:eastAsia="Times New Roman" w:cs="Times New Roman"/>
          <w:sz w:val="16"/>
          <w:szCs w:val="16"/>
        </w:rPr>
      </w:pPr>
      <w:r>
        <w:rPr>
          <w:rStyle w:val="FootnoteReference"/>
        </w:rPr>
        <w:footnoteRef/>
      </w:r>
      <w:r>
        <w:rPr>
          <w:sz w:val="16"/>
        </w:rPr>
        <w:t xml:space="preserve"> Ir-rapport tal-UE dwar id-Direttiva Qafas dwar l-Ilma u d-Direttiva dwar l-Għargħar (</w:t>
      </w:r>
      <w:r>
        <w:rPr>
          <w:i/>
          <w:sz w:val="16"/>
        </w:rPr>
        <w:t>Jannar 2019</w:t>
      </w:r>
      <w:r>
        <w:rPr>
          <w:sz w:val="16"/>
        </w:rPr>
        <w:t>).</w:t>
      </w:r>
    </w:p>
  </w:footnote>
  <w:footnote w:id="75">
    <w:p>
      <w:pPr>
        <w:pStyle w:val="FootnoteText"/>
        <w:rPr>
          <w:rFonts w:eastAsia="Times New Roman" w:cs="Times New Roman"/>
          <w:sz w:val="16"/>
          <w:szCs w:val="16"/>
        </w:rPr>
      </w:pPr>
      <w:r>
        <w:rPr>
          <w:rStyle w:val="FootnoteReference"/>
        </w:rPr>
        <w:footnoteRef/>
      </w:r>
      <w:r>
        <w:rPr>
          <w:sz w:val="16"/>
        </w:rPr>
        <w:t xml:space="preserve"> Il-Bulgarija, il-Kroazja, Ċipru, Franza, il-Greċja, l-Ungerija, l-Irlanda, l-Italja, il-Latvja, il-Litwanja, il-Lussemburgu, Malta, il-Polonja, il-Portugall, ir-Rumanija, is-Slovakkja, is-Slovenja u Spanja.</w:t>
      </w:r>
    </w:p>
  </w:footnote>
  <w:footnote w:id="76">
    <w:p>
      <w:pPr>
        <w:pStyle w:val="FootnoteText"/>
        <w:rPr>
          <w:rFonts w:eastAsia="Times New Roman" w:cs="Times New Roman"/>
          <w:sz w:val="16"/>
          <w:szCs w:val="16"/>
        </w:rPr>
      </w:pPr>
      <w:r>
        <w:rPr>
          <w:rStyle w:val="FootnoteReference"/>
        </w:rPr>
        <w:footnoteRef/>
      </w:r>
      <w:r>
        <w:rPr>
          <w:sz w:val="16"/>
        </w:rPr>
        <w:t xml:space="preserve"> B’mod partikolari, l-Awstrija, il-Belġju, Ċipru, ir-Repubblika Ċeka, id-Danimarka, l-Estonja, il-Ġermanja, il-Greċja, il-Finlandja, Franza, l-Italja, il-Litwanja, Malta, in-Netherlands, il-Polonja, il-Portugall, is-Slovakkja, is-Slovenja, l-Iżvezja, Spanja u r-Renju Unit.</w:t>
      </w:r>
    </w:p>
  </w:footnote>
  <w:footnote w:id="77">
    <w:p>
      <w:pPr>
        <w:pStyle w:val="FootnoteText"/>
        <w:rPr>
          <w:rFonts w:eastAsia="Times New Roman" w:cs="Times New Roman"/>
          <w:sz w:val="16"/>
          <w:szCs w:val="16"/>
        </w:rPr>
      </w:pPr>
      <w:r>
        <w:rPr>
          <w:rStyle w:val="FootnoteReference"/>
        </w:rPr>
        <w:footnoteRef/>
      </w:r>
      <w:r>
        <w:rPr>
          <w:sz w:val="16"/>
        </w:rPr>
        <w:t xml:space="preserve"> </w:t>
      </w:r>
      <w:r>
        <w:rPr>
          <w:rStyle w:val="Hyperlink"/>
          <w:sz w:val="16"/>
        </w:rPr>
        <w:t>Ir-Regolament (KE) Nru 1907/2006</w:t>
      </w:r>
    </w:p>
  </w:footnote>
  <w:footnote w:id="78">
    <w:p>
      <w:pPr>
        <w:pStyle w:val="FootnoteText"/>
        <w:rPr>
          <w:rFonts w:eastAsia="Times New Roman" w:cs="Times New Roman"/>
          <w:sz w:val="16"/>
          <w:szCs w:val="16"/>
        </w:rPr>
      </w:pPr>
      <w:r>
        <w:rPr>
          <w:rStyle w:val="FootnoteReference"/>
        </w:rPr>
        <w:footnoteRef/>
      </w:r>
      <w:r>
        <w:rPr>
          <w:sz w:val="16"/>
          <w:szCs w:val="16"/>
        </w:rPr>
        <w:t xml:space="preserve"> Ir-</w:t>
      </w:r>
      <w:hyperlink r:id="rId50">
        <w:r>
          <w:rPr>
            <w:rStyle w:val="Hyperlink"/>
            <w:sz w:val="16"/>
          </w:rPr>
          <w:t>Regolament (KE) Nru 1272/2008</w:t>
        </w:r>
      </w:hyperlink>
      <w:r>
        <w:rPr>
          <w:sz w:val="16"/>
        </w:rPr>
        <w:t>.</w:t>
      </w:r>
    </w:p>
  </w:footnote>
  <w:footnote w:id="79">
    <w:p>
      <w:pPr>
        <w:pStyle w:val="FootnoteText"/>
        <w:rPr>
          <w:rFonts w:eastAsia="Times New Roman" w:cs="Times New Roman"/>
          <w:sz w:val="16"/>
          <w:szCs w:val="16"/>
        </w:rPr>
      </w:pPr>
      <w:r>
        <w:rPr>
          <w:rStyle w:val="FootnoteReference"/>
        </w:rPr>
        <w:footnoteRef/>
      </w:r>
      <w:r>
        <w:rPr>
          <w:sz w:val="16"/>
        </w:rPr>
        <w:t xml:space="preserve"> Il-Kummissjoni Ewropea, </w:t>
      </w:r>
      <w:hyperlink r:id="rId51">
        <w:r>
          <w:rPr>
            <w:rStyle w:val="Hyperlink"/>
            <w:sz w:val="16"/>
          </w:rPr>
          <w:t>Leġiżlazzjoni dwar is-sustanzi kimiċi</w:t>
        </w:r>
      </w:hyperlink>
      <w:r>
        <w:rPr>
          <w:sz w:val="16"/>
        </w:rPr>
        <w:t xml:space="preserve">. </w:t>
      </w:r>
    </w:p>
  </w:footnote>
  <w:footnote w:id="80">
    <w:p>
      <w:pPr>
        <w:pStyle w:val="FootnoteText"/>
        <w:rPr>
          <w:rFonts w:eastAsia="Times New Roman" w:cs="Times New Roman"/>
          <w:sz w:val="16"/>
          <w:szCs w:val="16"/>
        </w:rPr>
      </w:pPr>
      <w:r>
        <w:rPr>
          <w:rStyle w:val="FootnoteReference"/>
        </w:rPr>
        <w:footnoteRef/>
      </w:r>
      <w:r>
        <w:rPr>
          <w:sz w:val="16"/>
        </w:rPr>
        <w:t xml:space="preserve"> </w:t>
      </w:r>
      <w:hyperlink r:id="rId52">
        <w:r>
          <w:rPr>
            <w:rStyle w:val="Hyperlink"/>
            <w:sz w:val="16"/>
          </w:rPr>
          <w:t>COM(2018) 116</w:t>
        </w:r>
      </w:hyperlink>
      <w:r>
        <w:rPr>
          <w:rStyle w:val="Hyperlink"/>
          <w:color w:val="auto"/>
          <w:sz w:val="16"/>
          <w:u w:val="none"/>
        </w:rPr>
        <w:t>, p.6 u p.9</w:t>
      </w:r>
      <w:r>
        <w:rPr>
          <w:sz w:val="16"/>
        </w:rPr>
        <w:t xml:space="preserve">. </w:t>
      </w:r>
    </w:p>
  </w:footnote>
  <w:footnote w:id="81">
    <w:p>
      <w:pPr>
        <w:pStyle w:val="FootnoteText"/>
        <w:jc w:val="left"/>
        <w:rPr>
          <w:rFonts w:eastAsia="Times New Roman" w:cs="Times New Roman"/>
          <w:sz w:val="16"/>
          <w:szCs w:val="16"/>
        </w:rPr>
      </w:pPr>
      <w:r>
        <w:rPr>
          <w:rStyle w:val="FootnoteReference"/>
        </w:rPr>
        <w:footnoteRef/>
      </w:r>
      <w:r>
        <w:rPr>
          <w:sz w:val="16"/>
        </w:rPr>
        <w:t xml:space="preserve"> Il-Gvern tan-Netherlands, </w:t>
      </w:r>
      <w:hyperlink r:id="rId53" w:anchor="overlay-context=content/bijeenkomsten-en-presentaties">
        <w:r>
          <w:rPr>
            <w:rStyle w:val="Hyperlink"/>
            <w:sz w:val="16"/>
          </w:rPr>
          <w:t>Workshop għal Aġenda ta’ Innovazzjoni għal Sustanzi Kimiċi Siguri mis-Sostituzzjoni għal Siguri mid-Disinn</w:t>
        </w:r>
      </w:hyperlink>
      <w:r>
        <w:rPr>
          <w:sz w:val="16"/>
        </w:rPr>
        <w:t>.</w:t>
      </w:r>
    </w:p>
  </w:footnote>
  <w:footnote w:id="82">
    <w:p>
      <w:pPr>
        <w:pStyle w:val="FootnoteText"/>
        <w:rPr>
          <w:rFonts w:eastAsia="Times New Roman" w:cs="Times New Roman"/>
          <w:sz w:val="16"/>
          <w:szCs w:val="16"/>
        </w:rPr>
      </w:pPr>
      <w:r>
        <w:rPr>
          <w:rStyle w:val="FootnoteReference"/>
        </w:rPr>
        <w:footnoteRef/>
      </w:r>
      <w:r>
        <w:rPr>
          <w:sz w:val="16"/>
        </w:rPr>
        <w:t xml:space="preserve"> Il-Kummissjoni Ewropea, </w:t>
      </w:r>
      <w:hyperlink r:id="rId54">
        <w:r>
          <w:rPr>
            <w:rStyle w:val="Hyperlink"/>
            <w:sz w:val="16"/>
          </w:rPr>
          <w:t>Studju ta’ evalwazzjoni tal-pagament għal prattiċi agrikoli ta’ benefiċċju għall-klima u għall-ambjent</w:t>
        </w:r>
      </w:hyperlink>
      <w:r>
        <w:rPr>
          <w:sz w:val="16"/>
        </w:rPr>
        <w:t xml:space="preserve">, 2017. </w:t>
      </w:r>
    </w:p>
  </w:footnote>
  <w:footnote w:id="83">
    <w:p>
      <w:pPr>
        <w:pStyle w:val="FootnoteText"/>
        <w:rPr>
          <w:rFonts w:eastAsia="Times New Roman" w:cs="Times New Roman"/>
          <w:sz w:val="16"/>
          <w:szCs w:val="16"/>
        </w:rPr>
      </w:pPr>
      <w:r>
        <w:rPr>
          <w:rStyle w:val="FootnoteReference"/>
        </w:rPr>
        <w:footnoteRef/>
      </w:r>
      <w:r>
        <w:rPr>
          <w:sz w:val="16"/>
        </w:rPr>
        <w:t xml:space="preserve"> Il-Belġju, id-Danimarka, l-Estonja, il-Finlandja, Franza, l-Irlanda, il-Litwanja, il-Lussemburgu, Malta, in-Netherlands, ir-Rumanija, l-Iżvezja u r-Renju Unit. Il-Kummissjoni Ewropea, </w:t>
      </w:r>
      <w:hyperlink r:id="rId55">
        <w:r>
          <w:rPr>
            <w:rStyle w:val="Hyperlink"/>
            <w:sz w:val="16"/>
          </w:rPr>
          <w:t>Xejriet tat-Tassazzjoni fl-Unjoni Ewropea</w:t>
        </w:r>
      </w:hyperlink>
      <w:r>
        <w:rPr>
          <w:sz w:val="16"/>
        </w:rPr>
        <w:t>, l-edizzjoni tal-2018.</w:t>
      </w:r>
    </w:p>
  </w:footnote>
  <w:footnote w:id="84">
    <w:p>
      <w:pPr>
        <w:pStyle w:val="FootnoteText"/>
        <w:rPr>
          <w:rFonts w:eastAsia="Times New Roman" w:cs="Times New Roman"/>
          <w:sz w:val="16"/>
          <w:szCs w:val="16"/>
        </w:rPr>
      </w:pPr>
      <w:r>
        <w:rPr>
          <w:rStyle w:val="FootnoteReference"/>
        </w:rPr>
        <w:footnoteRef/>
      </w:r>
      <w:r>
        <w:rPr>
          <w:sz w:val="16"/>
        </w:rPr>
        <w:t xml:space="preserve"> Il-Belġju, ir-Repubblika Ċeka, Franza, l-Ungerija, l-Irlanda, il-Polonja, il-Portugall u s-Slovakkja. </w:t>
      </w:r>
    </w:p>
  </w:footnote>
  <w:footnote w:id="85">
    <w:p>
      <w:pPr>
        <w:pStyle w:val="FootnoteText"/>
        <w:rPr>
          <w:rFonts w:eastAsia="Times New Roman" w:cs="Times New Roman"/>
          <w:sz w:val="16"/>
          <w:szCs w:val="16"/>
        </w:rPr>
      </w:pPr>
      <w:r>
        <w:rPr>
          <w:rStyle w:val="FootnoteReference"/>
        </w:rPr>
        <w:footnoteRef/>
      </w:r>
      <w:r>
        <w:rPr>
          <w:sz w:val="16"/>
        </w:rPr>
        <w:t xml:space="preserve"> L-Awstrija, il-Bulgarija, il-Kroazja, Ċipru, id-Danimarka, il-Finlandja, Franza, il-Greċja, l-Irlanda, il-Lussemburgu, Malta u l-Iżvezja. </w:t>
      </w:r>
    </w:p>
  </w:footnote>
  <w:footnote w:id="86">
    <w:p>
      <w:pPr>
        <w:pStyle w:val="FootnoteText"/>
        <w:rPr>
          <w:rFonts w:eastAsia="Times New Roman" w:cs="Times New Roman"/>
          <w:sz w:val="16"/>
          <w:szCs w:val="16"/>
        </w:rPr>
      </w:pPr>
      <w:r>
        <w:rPr>
          <w:rStyle w:val="FootnoteReference"/>
        </w:rPr>
        <w:footnoteRef/>
      </w:r>
      <w:r>
        <w:rPr>
          <w:sz w:val="16"/>
        </w:rPr>
        <w:t xml:space="preserve"> Il-Bulgarija, il-Kroazja, l-Estonja, l-Ungerija, il-Latvja, il-Litwanja, il-Polonja, il-Portugall, ir-Rumanija, is-Slovakkja u s-Slovenja. </w:t>
      </w:r>
    </w:p>
  </w:footnote>
  <w:footnote w:id="87">
    <w:p>
      <w:pPr>
        <w:pStyle w:val="FootnoteText"/>
        <w:rPr>
          <w:rFonts w:eastAsia="Times New Roman" w:cs="Times New Roman"/>
          <w:sz w:val="16"/>
          <w:szCs w:val="16"/>
        </w:rPr>
      </w:pPr>
      <w:r>
        <w:rPr>
          <w:rStyle w:val="FootnoteReference"/>
        </w:rPr>
        <w:footnoteRef/>
      </w:r>
      <w:r>
        <w:rPr>
          <w:sz w:val="16"/>
        </w:rPr>
        <w:t xml:space="preserve"> L-Awstrija, il-Bulgarija, il-Finlandja, Franza, il-Ġermanja, il-Greċja, l-Ungerija, l-Italja, il-Lussemburgu, in-Netherlands, il-Portugall, ir-Rumanija, is-Slovenja, Spanja, l-Iżvezja u r-Renju Unit.</w:t>
      </w:r>
    </w:p>
  </w:footnote>
  <w:footnote w:id="88">
    <w:p>
      <w:pPr>
        <w:pStyle w:val="FootnoteText"/>
        <w:rPr>
          <w:rFonts w:eastAsia="Times New Roman" w:cs="Times New Roman"/>
          <w:sz w:val="16"/>
          <w:szCs w:val="16"/>
        </w:rPr>
      </w:pPr>
      <w:r>
        <w:rPr>
          <w:rStyle w:val="FootnoteReference"/>
        </w:rPr>
        <w:footnoteRef/>
      </w:r>
      <w:r>
        <w:rPr>
          <w:sz w:val="16"/>
        </w:rPr>
        <w:t xml:space="preserve"> Il-Kroazja, ir-Repubblika Ċeka, l-Estonja, il-Greċja, il-Litwanja, il-Latvja, il-Polonja, ir-Rumanija, u s-Slovakkja. </w:t>
      </w:r>
    </w:p>
  </w:footnote>
  <w:footnote w:id="89">
    <w:p>
      <w:pPr>
        <w:pStyle w:val="FootnoteText"/>
        <w:rPr>
          <w:rFonts w:eastAsia="Times New Roman" w:cs="Times New Roman"/>
          <w:sz w:val="16"/>
          <w:szCs w:val="16"/>
        </w:rPr>
      </w:pPr>
      <w:r>
        <w:rPr>
          <w:rStyle w:val="FootnoteReference"/>
        </w:rPr>
        <w:footnoteRef/>
      </w:r>
      <w:r>
        <w:rPr>
          <w:sz w:val="16"/>
        </w:rPr>
        <w:t xml:space="preserve"> L-Awstrija, il-Belġju, Ċipru, ir-Repubblika Ċeka, Franza, il-Greċja, l-Irlanda, l-Italja, il-Latvja, il-Litwanja, Malta, il-Polonja, il-Portugall, ir-Rumanija, is-Slovakkja, is-Slovenja u Spanja.</w:t>
      </w:r>
    </w:p>
  </w:footnote>
  <w:footnote w:id="90">
    <w:p>
      <w:pPr>
        <w:pStyle w:val="FootnoteText"/>
        <w:rPr>
          <w:rFonts w:eastAsia="Times New Roman" w:cs="Times New Roman"/>
          <w:sz w:val="16"/>
          <w:szCs w:val="16"/>
        </w:rPr>
      </w:pPr>
      <w:r>
        <w:rPr>
          <w:rStyle w:val="FootnoteReference"/>
        </w:rPr>
        <w:footnoteRef/>
      </w:r>
      <w:r>
        <w:rPr>
          <w:sz w:val="16"/>
        </w:rPr>
        <w:t xml:space="preserve"> Il-Kummissjoni Ewropea, </w:t>
      </w:r>
      <w:hyperlink r:id="rId56">
        <w:r>
          <w:rPr>
            <w:rStyle w:val="Hyperlink"/>
            <w:sz w:val="16"/>
          </w:rPr>
          <w:t>Ħarsa ġenerali Komparattiva tal-Karatteristiċi u l-Prestazzjoni tal-Amministrazzjonijiet Pubbliċi fl-UE28</w:t>
        </w:r>
      </w:hyperlink>
      <w:r>
        <w:rPr>
          <w:rStyle w:val="Hyperlink"/>
          <w:sz w:val="16"/>
        </w:rPr>
        <w:t>.</w:t>
      </w:r>
    </w:p>
  </w:footnote>
  <w:footnote w:id="91">
    <w:p>
      <w:pPr>
        <w:pStyle w:val="FootnoteText"/>
        <w:rPr>
          <w:rFonts w:eastAsia="Times New Roman" w:cs="Times New Roman"/>
          <w:sz w:val="16"/>
          <w:szCs w:val="16"/>
        </w:rPr>
      </w:pPr>
      <w:r>
        <w:rPr>
          <w:rStyle w:val="FootnoteReference"/>
        </w:rPr>
        <w:footnoteRef/>
      </w:r>
      <w:r>
        <w:rPr>
          <w:sz w:val="16"/>
        </w:rPr>
        <w:t xml:space="preserve"> Il-koordinazzjoni mhux effettiva fost l-awtoritajiet lokali, reġjonali u nazzjonali, in-nuqqas ta’ kapaċità amministrattiva u l-finanzjament insuffiċjenti, in-nuqqas ta’ għarfien u </w:t>
      </w:r>
      <w:r>
        <w:rPr>
          <w:i/>
          <w:sz w:val="16"/>
        </w:rPr>
        <w:t>data</w:t>
      </w:r>
      <w:r>
        <w:rPr>
          <w:sz w:val="16"/>
        </w:rPr>
        <w:t xml:space="preserve">, il-mekkaniżmi insuffiċjenti ta’ assigurazzjoni tal-kwalità u n-nuqqas ta’ integrazzjoni u ta’ koerenza tal-politiki. (ara </w:t>
      </w:r>
      <w:hyperlink r:id="rId57">
        <w:r>
          <w:rPr>
            <w:rStyle w:val="Hyperlink"/>
            <w:sz w:val="16"/>
          </w:rPr>
          <w:t>COM(2017) 63</w:t>
        </w:r>
      </w:hyperlink>
      <w:r>
        <w:rPr>
          <w:sz w:val="16"/>
        </w:rPr>
        <w:t xml:space="preserve">) </w:t>
      </w:r>
    </w:p>
  </w:footnote>
  <w:footnote w:id="92">
    <w:p>
      <w:pPr>
        <w:spacing w:after="0" w:line="240" w:lineRule="auto"/>
        <w:rPr>
          <w:rFonts w:eastAsia="Times New Roman" w:cs="Times New Roman"/>
          <w:sz w:val="16"/>
          <w:szCs w:val="16"/>
        </w:rPr>
      </w:pPr>
      <w:r>
        <w:rPr>
          <w:rStyle w:val="FootnoteReference"/>
        </w:rPr>
        <w:footnoteRef/>
      </w:r>
      <w:r>
        <w:rPr>
          <w:sz w:val="16"/>
        </w:rPr>
        <w:t xml:space="preserve"> Il-Kummissjoni Ewropea, Proġett ta’ studju “Żvilupp ta’ qafas ta’ valutazzjoni dwar il-governanza ambjentali fl-Istati Membri tal-UE” (ara l-</w:t>
      </w:r>
      <w:hyperlink r:id="rId58">
        <w:r>
          <w:rPr>
            <w:rStyle w:val="Hyperlink"/>
            <w:sz w:val="16"/>
          </w:rPr>
          <w:t>librerija tal-proġetti</w:t>
        </w:r>
      </w:hyperlink>
      <w:r>
        <w:rPr>
          <w:sz w:val="16"/>
        </w:rPr>
        <w:t>).</w:t>
      </w:r>
    </w:p>
  </w:footnote>
  <w:footnote w:id="93">
    <w:p>
      <w:pPr>
        <w:pStyle w:val="FootnoteText"/>
        <w:rPr>
          <w:rFonts w:eastAsia="Times New Roman" w:cs="Times New Roman"/>
          <w:sz w:val="16"/>
          <w:szCs w:val="16"/>
        </w:rPr>
      </w:pPr>
      <w:r>
        <w:rPr>
          <w:rStyle w:val="FootnoteReference"/>
        </w:rPr>
        <w:footnoteRef/>
      </w:r>
      <w:r>
        <w:rPr>
          <w:sz w:val="16"/>
        </w:rPr>
        <w:t xml:space="preserve"> Il-Forum dwar il-Konformità u l-Governanza Ambjentali, </w:t>
      </w:r>
      <w:hyperlink r:id="rId59">
        <w:r>
          <w:rPr>
            <w:rStyle w:val="Hyperlink"/>
            <w:sz w:val="16"/>
          </w:rPr>
          <w:t>sit web</w:t>
        </w:r>
      </w:hyperlink>
    </w:p>
  </w:footnote>
  <w:footnote w:id="94">
    <w:p>
      <w:pPr>
        <w:pStyle w:val="FootnoteText"/>
        <w:rPr>
          <w:rFonts w:eastAsia="Times New Roman" w:cs="Times New Roman"/>
          <w:sz w:val="16"/>
          <w:szCs w:val="16"/>
        </w:rPr>
      </w:pPr>
      <w:r>
        <w:rPr>
          <w:rStyle w:val="FootnoteReference"/>
        </w:rPr>
        <w:footnoteRef/>
      </w:r>
      <w:r>
        <w:rPr>
          <w:sz w:val="16"/>
        </w:rPr>
        <w:t xml:space="preserve"> Il-Kummissjoni Ewropea, </w:t>
      </w:r>
      <w:hyperlink r:id="rId60">
        <w:r>
          <w:rPr>
            <w:rStyle w:val="Hyperlink"/>
            <w:sz w:val="16"/>
          </w:rPr>
          <w:t>Grupp ta’ Esperti “Ekoloġizzazzjoni tas-Semestru Ewropew/EIR</w:t>
        </w:r>
      </w:hyperlink>
      <w:r>
        <w:rPr>
          <w:sz w:val="16"/>
        </w:rPr>
        <w:t>.</w:t>
      </w:r>
    </w:p>
  </w:footnote>
  <w:footnote w:id="95">
    <w:p>
      <w:pPr>
        <w:pStyle w:val="FootnoteText"/>
        <w:rPr>
          <w:rFonts w:eastAsia="Times New Roman" w:cs="Times New Roman"/>
          <w:sz w:val="16"/>
          <w:szCs w:val="16"/>
        </w:rPr>
      </w:pPr>
      <w:r>
        <w:rPr>
          <w:rStyle w:val="FootnoteReference"/>
        </w:rPr>
        <w:footnoteRef/>
      </w:r>
      <w:r>
        <w:rPr>
          <w:sz w:val="16"/>
        </w:rPr>
        <w:t xml:space="preserve"> Il-Kummissjoni Ewropea, </w:t>
      </w:r>
      <w:hyperlink r:id="rId61">
        <w:r>
          <w:rPr>
            <w:rStyle w:val="Hyperlink"/>
            <w:sz w:val="16"/>
          </w:rPr>
          <w:t>il-Konvenzjoni ta’ Aarhus</w:t>
        </w:r>
      </w:hyperlink>
      <w:r>
        <w:rPr>
          <w:sz w:val="16"/>
        </w:rPr>
        <w:t>.</w:t>
      </w:r>
    </w:p>
  </w:footnote>
  <w:footnote w:id="96">
    <w:p>
      <w:pPr>
        <w:pStyle w:val="FootnoteText"/>
        <w:rPr>
          <w:rFonts w:eastAsia="Times New Roman" w:cs="Times New Roman"/>
          <w:sz w:val="16"/>
          <w:szCs w:val="16"/>
        </w:rPr>
      </w:pPr>
      <w:r>
        <w:rPr>
          <w:rStyle w:val="FootnoteReference"/>
        </w:rPr>
        <w:footnoteRef/>
      </w:r>
      <w:r>
        <w:rPr>
          <w:sz w:val="16"/>
        </w:rPr>
        <w:t xml:space="preserve"> </w:t>
      </w:r>
      <w:hyperlink r:id="rId62">
        <w:r>
          <w:rPr>
            <w:rStyle w:val="Hyperlink"/>
            <w:sz w:val="16"/>
          </w:rPr>
          <w:t>COM(2017) 2616</w:t>
        </w:r>
      </w:hyperlink>
      <w:r>
        <w:rPr>
          <w:sz w:val="16"/>
        </w:rPr>
        <w:t>.</w:t>
      </w:r>
    </w:p>
  </w:footnote>
  <w:footnote w:id="97">
    <w:p>
      <w:pPr>
        <w:pStyle w:val="FootnoteText"/>
        <w:rPr>
          <w:rFonts w:eastAsia="Times New Roman" w:cs="Times New Roman"/>
          <w:sz w:val="16"/>
          <w:szCs w:val="16"/>
        </w:rPr>
      </w:pPr>
      <w:r>
        <w:rPr>
          <w:rStyle w:val="FootnoteReference"/>
        </w:rPr>
        <w:footnoteRef/>
      </w:r>
      <w:r>
        <w:rPr>
          <w:sz w:val="16"/>
        </w:rPr>
        <w:t xml:space="preserve"> </w:t>
      </w:r>
      <w:hyperlink r:id="rId63">
        <w:r>
          <w:rPr>
            <w:rStyle w:val="Hyperlink"/>
            <w:sz w:val="16"/>
          </w:rPr>
          <w:t>COM(2018) 10</w:t>
        </w:r>
      </w:hyperlink>
      <w:r>
        <w:rPr>
          <w:sz w:val="16"/>
        </w:rPr>
        <w:t>.</w:t>
      </w:r>
    </w:p>
  </w:footnote>
  <w:footnote w:id="98">
    <w:p>
      <w:pPr>
        <w:pStyle w:val="FootnoteText"/>
        <w:rPr>
          <w:rFonts w:eastAsia="Times New Roman" w:cs="Times New Roman"/>
          <w:sz w:val="16"/>
          <w:szCs w:val="16"/>
        </w:rPr>
      </w:pPr>
      <w:r>
        <w:rPr>
          <w:rStyle w:val="FootnoteReference"/>
        </w:rPr>
        <w:footnoteRef/>
      </w:r>
      <w:r>
        <w:rPr>
          <w:sz w:val="16"/>
          <w:szCs w:val="16"/>
        </w:rPr>
        <w:t xml:space="preserve"> Ir-</w:t>
      </w:r>
      <w:hyperlink r:id="rId64">
        <w:r>
          <w:rPr>
            <w:rStyle w:val="Hyperlink"/>
            <w:sz w:val="16"/>
          </w:rPr>
          <w:t>Regolament (UE) 2018/1999</w:t>
        </w:r>
      </w:hyperlink>
      <w:r>
        <w:rPr>
          <w:sz w:val="16"/>
        </w:rPr>
        <w:t>.</w:t>
      </w:r>
    </w:p>
  </w:footnote>
  <w:footnote w:id="99">
    <w:p>
      <w:pPr>
        <w:pStyle w:val="FootnoteText"/>
        <w:rPr>
          <w:rFonts w:eastAsia="Times New Roman" w:cs="Times New Roman"/>
          <w:sz w:val="16"/>
          <w:szCs w:val="16"/>
        </w:rPr>
      </w:pPr>
      <w:r>
        <w:rPr>
          <w:rStyle w:val="FootnoteReference"/>
        </w:rPr>
        <w:footnoteRef/>
      </w:r>
      <w:r>
        <w:rPr>
          <w:sz w:val="16"/>
        </w:rPr>
        <w:t xml:space="preserve"> Il-Kunsill tal-Unjoni Ewropea, </w:t>
      </w:r>
      <w:hyperlink r:id="rId65">
        <w:r>
          <w:rPr>
            <w:rStyle w:val="Hyperlink"/>
            <w:sz w:val="16"/>
          </w:rPr>
          <w:t>Konklużjonijiet tal-Kunsill li jistabbilixxu l-prijoritajiet tal-UE għall-ġlieda kontra l-kriminalità internazzjonali organizzata u serja bejn l-2018 u l-2021</w:t>
        </w:r>
      </w:hyperlink>
      <w:r>
        <w:rPr>
          <w:sz w:val="16"/>
        </w:rPr>
        <w:t xml:space="preserve">. </w:t>
      </w:r>
    </w:p>
  </w:footnote>
  <w:footnote w:id="100">
    <w:p>
      <w:pPr>
        <w:pStyle w:val="FootnoteText"/>
        <w:rPr>
          <w:rFonts w:eastAsia="Times New Roman" w:cs="Times New Roman"/>
          <w:sz w:val="16"/>
          <w:szCs w:val="16"/>
        </w:rPr>
      </w:pPr>
      <w:r>
        <w:rPr>
          <w:rStyle w:val="FootnoteReference"/>
        </w:rPr>
        <w:footnoteRef/>
      </w:r>
      <w:r>
        <w:rPr>
          <w:sz w:val="16"/>
        </w:rPr>
        <w:t xml:space="preserve"> </w:t>
      </w:r>
      <w:r>
        <w:t>In-</w:t>
      </w:r>
      <w:hyperlink r:id="rId66">
        <w:r>
          <w:rPr>
            <w:rStyle w:val="Hyperlink"/>
            <w:sz w:val="16"/>
          </w:rPr>
          <w:t>Netwerk tal-UE għall-Implimentazzjoni u l-Infurzar tal-Leġiżlazzjoni Ambjentali</w:t>
        </w:r>
      </w:hyperlink>
      <w:r>
        <w:rPr>
          <w:sz w:val="16"/>
        </w:rPr>
        <w:t>.</w:t>
      </w:r>
    </w:p>
  </w:footnote>
  <w:footnote w:id="101">
    <w:p>
      <w:pPr>
        <w:pStyle w:val="FootnoteText"/>
        <w:rPr>
          <w:rFonts w:eastAsia="Times New Roman" w:cs="Times New Roman"/>
          <w:sz w:val="16"/>
          <w:szCs w:val="16"/>
        </w:rPr>
      </w:pPr>
      <w:r>
        <w:rPr>
          <w:rStyle w:val="FootnoteReference"/>
        </w:rPr>
        <w:footnoteRef/>
      </w:r>
      <w:r>
        <w:rPr>
          <w:sz w:val="16"/>
        </w:rPr>
        <w:t xml:space="preserve"> Bħall-</w:t>
      </w:r>
      <w:hyperlink r:id="rId67">
        <w:r>
          <w:rPr>
            <w:rStyle w:val="Hyperlink"/>
            <w:sz w:val="16"/>
          </w:rPr>
          <w:t>Pjan ta’ Azzjoni dwar il-Gvern elettroniku</w:t>
        </w:r>
      </w:hyperlink>
      <w:r>
        <w:rPr>
          <w:sz w:val="16"/>
        </w:rPr>
        <w:t>, il-</w:t>
      </w:r>
      <w:hyperlink r:id="rId68">
        <w:r>
          <w:rPr>
            <w:rStyle w:val="Hyperlink"/>
            <w:sz w:val="16"/>
          </w:rPr>
          <w:t>Pjan ta’ Azzjoni dwar il-Governanza u l-Konformità Ambjentali</w:t>
        </w:r>
      </w:hyperlink>
      <w:r>
        <w:rPr>
          <w:sz w:val="16"/>
        </w:rPr>
        <w:t xml:space="preserve"> u l-</w:t>
      </w:r>
      <w:hyperlink r:id="rId69">
        <w:r>
          <w:rPr>
            <w:rStyle w:val="Hyperlink"/>
            <w:sz w:val="16"/>
          </w:rPr>
          <w:t>Manwal dwar il-Kwalità tal-Amministrazzjoni Pubblika</w:t>
        </w:r>
      </w:hyperlink>
      <w:r>
        <w:rPr>
          <w:sz w:val="16"/>
        </w:rPr>
        <w:t xml:space="preserve"> </w:t>
      </w:r>
    </w:p>
  </w:footnote>
  <w:footnote w:id="102">
    <w:p>
      <w:pPr>
        <w:pStyle w:val="FootnoteText"/>
        <w:rPr>
          <w:rFonts w:eastAsia="Times New Roman" w:cs="Times New Roman"/>
          <w:sz w:val="16"/>
          <w:szCs w:val="16"/>
        </w:rPr>
      </w:pPr>
      <w:r>
        <w:rPr>
          <w:rStyle w:val="FootnoteReference"/>
        </w:rPr>
        <w:footnoteRef/>
      </w:r>
      <w:r>
        <w:rPr>
          <w:sz w:val="16"/>
        </w:rPr>
        <w:t xml:space="preserve"> INSPIRE: Infrastruttura għall-Informazzjoni Ġeografika fl-Ewropa.</w:t>
      </w:r>
    </w:p>
  </w:footnote>
  <w:footnote w:id="103">
    <w:p>
      <w:pPr>
        <w:pStyle w:val="FootnoteText"/>
        <w:rPr>
          <w:rFonts w:eastAsia="Times New Roman" w:cs="Times New Roman"/>
          <w:sz w:val="16"/>
          <w:szCs w:val="16"/>
        </w:rPr>
      </w:pPr>
      <w:r>
        <w:rPr>
          <w:rStyle w:val="FootnoteReference"/>
        </w:rPr>
        <w:footnoteRef/>
      </w:r>
      <w:r>
        <w:rPr>
          <w:sz w:val="16"/>
          <w:szCs w:val="16"/>
        </w:rPr>
        <w:t xml:space="preserve"> Id</w:t>
      </w:r>
      <w:r>
        <w:t>-</w:t>
      </w:r>
      <w:hyperlink r:id="rId70">
        <w:r>
          <w:rPr>
            <w:rStyle w:val="Hyperlink"/>
            <w:sz w:val="16"/>
          </w:rPr>
          <w:t>Direttiva 2007/2/KE</w:t>
        </w:r>
      </w:hyperlink>
      <w:r>
        <w:rPr>
          <w:sz w:val="16"/>
        </w:rPr>
        <w:t xml:space="preserve">, </w:t>
      </w:r>
      <w:r>
        <w:t>id-</w:t>
      </w:r>
      <w:hyperlink r:id="rId71">
        <w:r>
          <w:rPr>
            <w:rStyle w:val="Hyperlink"/>
            <w:sz w:val="16"/>
          </w:rPr>
          <w:t>Direttiva 2003/4/KE</w:t>
        </w:r>
      </w:hyperlink>
      <w:r>
        <w:rPr>
          <w:sz w:val="16"/>
        </w:rPr>
        <w:t>, id-</w:t>
      </w:r>
      <w:hyperlink r:id="rId72">
        <w:r>
          <w:rPr>
            <w:rStyle w:val="Hyperlink"/>
            <w:sz w:val="16"/>
          </w:rPr>
          <w:t>Direttiva 2013/37/UE</w:t>
        </w:r>
      </w:hyperlink>
      <w:r>
        <w:rPr>
          <w:sz w:val="16"/>
        </w:rPr>
        <w:t xml:space="preserve">. Proġett iddedikat bħalissa qiegħed janalizza f'aktar dettall is-sistemi nazzjonali ta’ informazzjoni ambjentali u jħejji gwida għall-prattiki tajba: Il-Kummissjoni Ewropea, </w:t>
      </w:r>
      <w:hyperlink r:id="rId73">
        <w:r>
          <w:rPr>
            <w:rStyle w:val="Hyperlink"/>
            <w:i/>
            <w:sz w:val="16"/>
          </w:rPr>
          <w:t>Data</w:t>
        </w:r>
        <w:r>
          <w:rPr>
            <w:rStyle w:val="Hyperlink"/>
            <w:sz w:val="16"/>
          </w:rPr>
          <w:t xml:space="preserve"> tal-EIS</w:t>
        </w:r>
      </w:hyperlink>
      <w:r>
        <w:rPr>
          <w:sz w:val="16"/>
        </w:rPr>
        <w:t xml:space="preserve">. </w:t>
      </w:r>
    </w:p>
  </w:footnote>
  <w:footnote w:id="104">
    <w:p>
      <w:pPr>
        <w:pStyle w:val="FootnoteText"/>
        <w:rPr>
          <w:rFonts w:eastAsia="Times New Roman" w:cs="Times New Roman"/>
          <w:sz w:val="16"/>
          <w:szCs w:val="16"/>
        </w:rPr>
      </w:pPr>
      <w:r>
        <w:rPr>
          <w:rStyle w:val="FootnoteReference"/>
        </w:rPr>
        <w:footnoteRef/>
      </w:r>
      <w:r>
        <w:rPr>
          <w:sz w:val="16"/>
        </w:rPr>
        <w:t xml:space="preserve"> Il-Bulgarija, il-Kroazja, Ċipru, il-Finlandja, l-Ungerija, l-Irlanda, il-Litwanja, il-Lussemburgu, Malta, il-Polonja u r-Rumanija.</w:t>
      </w:r>
    </w:p>
  </w:footnote>
  <w:footnote w:id="105">
    <w:p>
      <w:pPr>
        <w:pStyle w:val="FootnoteText"/>
        <w:rPr>
          <w:rFonts w:eastAsia="Times New Roman" w:cs="Times New Roman"/>
          <w:sz w:val="16"/>
          <w:szCs w:val="16"/>
        </w:rPr>
      </w:pPr>
      <w:r>
        <w:rPr>
          <w:rStyle w:val="FootnoteReference"/>
        </w:rPr>
        <w:footnoteRef/>
      </w:r>
      <w:r>
        <w:rPr>
          <w:sz w:val="16"/>
        </w:rPr>
        <w:t xml:space="preserve"> L-Awstrija, il-Belġju, il-Bulgarija, il-Kroazja, Ċipru, ir-Repubblika Ċeka, id-Danimarka, l-Estonja, il-Finlandja, Franza, il-Ġermanja, il-Greċja, l-Ungerija, l-Irlanda, l-Italja, il-Latvja, il-Litwanja, il-Lussemburgu, Malta, in-Netherlands, il-Polonja, ir-Rumanija, is-Slovakkja, is-Slovenja, l-Iżvezja u r-Renju Unit.</w:t>
      </w:r>
    </w:p>
  </w:footnote>
  <w:footnote w:id="106">
    <w:p>
      <w:pPr>
        <w:pStyle w:val="FootnoteText"/>
        <w:rPr>
          <w:rFonts w:eastAsia="Times New Roman" w:cs="Times New Roman"/>
          <w:sz w:val="16"/>
          <w:szCs w:val="16"/>
        </w:rPr>
      </w:pPr>
      <w:r>
        <w:rPr>
          <w:rStyle w:val="FootnoteReference"/>
        </w:rPr>
        <w:footnoteRef/>
      </w:r>
      <w:r>
        <w:rPr>
          <w:sz w:val="16"/>
        </w:rPr>
        <w:t xml:space="preserve"> </w:t>
      </w:r>
      <w:hyperlink r:id="rId74">
        <w:r>
          <w:rPr>
            <w:rStyle w:val="Hyperlink"/>
            <w:sz w:val="16"/>
          </w:rPr>
          <w:t>Is-7</w:t>
        </w:r>
        <w:r>
          <w:rPr>
            <w:rStyle w:val="Hyperlink"/>
            <w:sz w:val="16"/>
            <w:vertAlign w:val="superscript"/>
          </w:rPr>
          <w:t>ba’</w:t>
        </w:r>
        <w:r>
          <w:rPr>
            <w:rStyle w:val="Hyperlink"/>
            <w:sz w:val="16"/>
          </w:rPr>
          <w:t xml:space="preserve"> Programm ta’ Azzjoni Ambjentali 2014-2020</w:t>
        </w:r>
      </w:hyperlink>
      <w:r>
        <w:rPr>
          <w:sz w:val="16"/>
        </w:rPr>
        <w:t xml:space="preserve">. </w:t>
      </w:r>
    </w:p>
  </w:footnote>
  <w:footnote w:id="107">
    <w:p>
      <w:pPr>
        <w:pStyle w:val="FootnoteText"/>
        <w:rPr>
          <w:sz w:val="16"/>
          <w:szCs w:val="16"/>
        </w:rPr>
      </w:pPr>
      <w:r>
        <w:rPr>
          <w:rStyle w:val="FootnoteReference"/>
        </w:rPr>
        <w:footnoteRef/>
      </w:r>
      <w:r>
        <w:rPr>
          <w:sz w:val="16"/>
        </w:rPr>
        <w:t xml:space="preserve"> </w:t>
      </w:r>
      <w:hyperlink r:id="rId75">
        <w:r>
          <w:rPr>
            <w:rStyle w:val="Hyperlink"/>
            <w:sz w:val="16"/>
          </w:rPr>
          <w:t>COM(2015) 614</w:t>
        </w:r>
      </w:hyperlink>
      <w:r>
        <w:rPr>
          <w:rStyle w:val="Hyperlink"/>
          <w:sz w:val="16"/>
        </w:rPr>
        <w:t xml:space="preserve"> </w:t>
      </w:r>
    </w:p>
  </w:footnote>
  <w:footnote w:id="108">
    <w:p>
      <w:pPr>
        <w:pStyle w:val="FootnoteText"/>
        <w:rPr>
          <w:rFonts w:eastAsia="Times New Roman" w:cs="Times New Roman"/>
          <w:sz w:val="16"/>
          <w:szCs w:val="16"/>
        </w:rPr>
      </w:pPr>
      <w:r>
        <w:rPr>
          <w:rStyle w:val="FootnoteReference"/>
        </w:rPr>
        <w:footnoteRef/>
      </w:r>
      <w:r>
        <w:rPr>
          <w:sz w:val="16"/>
        </w:rPr>
        <w:t xml:space="preserve"> Il-Kummissjoni Ewropea, </w:t>
      </w:r>
      <w:hyperlink r:id="rId76">
        <w:r>
          <w:rPr>
            <w:rStyle w:val="Hyperlink"/>
            <w:sz w:val="16"/>
          </w:rPr>
          <w:t>L-Agrikoltura u l-Immaniġġjar Sostenibbli tal-Ilma fl-UE</w:t>
        </w:r>
      </w:hyperlink>
      <w:r>
        <w:rPr>
          <w:sz w:val="16"/>
        </w:rPr>
        <w:t xml:space="preserve">, 2017. </w:t>
      </w:r>
    </w:p>
  </w:footnote>
  <w:footnote w:id="109">
    <w:p>
      <w:pPr>
        <w:pStyle w:val="FootnoteText"/>
        <w:rPr>
          <w:rFonts w:eastAsia="Times New Roman" w:cs="Times New Roman"/>
          <w:sz w:val="16"/>
          <w:szCs w:val="16"/>
        </w:rPr>
      </w:pPr>
      <w:r>
        <w:rPr>
          <w:rStyle w:val="FootnoteReference"/>
        </w:rPr>
        <w:footnoteRef/>
      </w:r>
      <w:r>
        <w:rPr>
          <w:sz w:val="16"/>
        </w:rPr>
        <w:t xml:space="preserve"> Il-Greċja, l-Italja u Spanja.</w:t>
      </w:r>
    </w:p>
  </w:footnote>
  <w:footnote w:id="110">
    <w:p>
      <w:pPr>
        <w:pStyle w:val="FootnoteText"/>
        <w:rPr>
          <w:rFonts w:eastAsia="Times New Roman" w:cs="Times New Roman"/>
          <w:sz w:val="16"/>
          <w:szCs w:val="16"/>
        </w:rPr>
      </w:pPr>
      <w:r>
        <w:rPr>
          <w:rStyle w:val="FootnoteReference"/>
        </w:rPr>
        <w:footnoteRef/>
      </w:r>
      <w:r>
        <w:rPr>
          <w:sz w:val="16"/>
        </w:rPr>
        <w:t xml:space="preserve"> Il-Ġermanja u l-Litwanja.</w:t>
      </w:r>
    </w:p>
  </w:footnote>
  <w:footnote w:id="111">
    <w:p>
      <w:pPr>
        <w:pStyle w:val="FootnoteText"/>
        <w:rPr>
          <w:rFonts w:eastAsia="Times New Roman" w:cs="Times New Roman"/>
          <w:sz w:val="16"/>
          <w:szCs w:val="16"/>
        </w:rPr>
      </w:pPr>
      <w:r>
        <w:rPr>
          <w:rStyle w:val="FootnoteReference"/>
        </w:rPr>
        <w:footnoteRef/>
      </w:r>
      <w:r>
        <w:rPr>
          <w:sz w:val="16"/>
          <w:szCs w:val="16"/>
        </w:rPr>
        <w:t xml:space="preserve"> L-Aġenzija Ewropea għall-Ambjent</w:t>
      </w:r>
      <w:r>
        <w:rPr>
          <w:sz w:val="16"/>
        </w:rPr>
        <w:t xml:space="preserve">, </w:t>
      </w:r>
      <w:hyperlink r:id="rId77">
        <w:r>
          <w:rPr>
            <w:rStyle w:val="Hyperlink"/>
            <w:sz w:val="16"/>
          </w:rPr>
          <w:t>Rapport dwar l-Istat tal-Ambjent</w:t>
        </w:r>
      </w:hyperlink>
      <w:r>
        <w:rPr>
          <w:sz w:val="16"/>
        </w:rPr>
        <w:t>, 2015.</w:t>
      </w:r>
    </w:p>
  </w:footnote>
  <w:footnote w:id="112">
    <w:p>
      <w:pPr>
        <w:pStyle w:val="FootnoteText"/>
        <w:rPr>
          <w:sz w:val="16"/>
          <w:szCs w:val="16"/>
        </w:rPr>
      </w:pPr>
      <w:r>
        <w:rPr>
          <w:rStyle w:val="FootnoteReference"/>
        </w:rPr>
        <w:footnoteRef/>
      </w:r>
      <w:r>
        <w:rPr>
          <w:sz w:val="16"/>
        </w:rPr>
        <w:t xml:space="preserve"> L-Aġenzija Ewropea għall-Ambjent, </w:t>
      </w:r>
      <w:hyperlink r:id="rId78">
        <w:r>
          <w:rPr>
            <w:rStyle w:val="Hyperlink"/>
            <w:sz w:val="16"/>
          </w:rPr>
          <w:t>Rapport tal-Indikaturi Ambjentali 2018</w:t>
        </w:r>
      </w:hyperlink>
      <w:r>
        <w:rPr>
          <w:sz w:val="16"/>
        </w:rPr>
        <w:t xml:space="preserve">. </w:t>
      </w:r>
    </w:p>
  </w:footnote>
  <w:footnote w:id="113">
    <w:p>
      <w:pPr>
        <w:pStyle w:val="FootnoteText"/>
        <w:rPr>
          <w:rFonts w:eastAsia="Times New Roman" w:cs="Times New Roman"/>
          <w:sz w:val="16"/>
          <w:szCs w:val="16"/>
        </w:rPr>
      </w:pPr>
      <w:r>
        <w:rPr>
          <w:rStyle w:val="FootnoteReference"/>
        </w:rPr>
        <w:footnoteRef/>
      </w:r>
      <w:r>
        <w:rPr>
          <w:sz w:val="16"/>
        </w:rPr>
        <w:t xml:space="preserve"> L-"approċċ nexus", imsemmi fil-Komunikazzjoni tal-Kummissjoni, Il-passi li jmiss għal ġejjieni Ewropew sostenibbli Azzjoni Ewropea għas-sostenibbiltà, </w:t>
      </w:r>
      <w:hyperlink r:id="rId79">
        <w:r>
          <w:rPr>
            <w:rStyle w:val="Hyperlink"/>
            <w:sz w:val="16"/>
          </w:rPr>
          <w:t>COM(2016) 739</w:t>
        </w:r>
      </w:hyperlink>
      <w:r>
        <w:rPr>
          <w:sz w:val="16"/>
        </w:rPr>
        <w:t xml:space="preserve">, jeżamina l-interrelazzjoni u l-interdipendenzi tal-isfidi differenti. </w:t>
      </w:r>
    </w:p>
  </w:footnote>
  <w:footnote w:id="114">
    <w:p>
      <w:pPr>
        <w:pStyle w:val="FootnoteText"/>
        <w:rPr>
          <w:sz w:val="16"/>
          <w:szCs w:val="16"/>
        </w:rPr>
      </w:pPr>
      <w:r>
        <w:rPr>
          <w:rStyle w:val="FootnoteReference"/>
        </w:rPr>
        <w:footnoteRef/>
      </w:r>
      <w:r>
        <w:rPr>
          <w:sz w:val="16"/>
        </w:rPr>
        <w:t xml:space="preserve"> Eż. ‘</w:t>
      </w:r>
      <w:hyperlink r:id="rId80">
        <w:r>
          <w:rPr>
            <w:rStyle w:val="Hyperlink"/>
            <w:sz w:val="16"/>
          </w:rPr>
          <w:t>Il-Kwalità tal-Amministrazzjoni Pubblika - Sett ta’ għodod għall-Prattikanti</w:t>
        </w:r>
      </w:hyperlink>
      <w:r>
        <w:rPr>
          <w:sz w:val="16"/>
        </w:rPr>
        <w:t>’ u l-istudju ‘</w:t>
      </w:r>
      <w:hyperlink r:id="rId81">
        <w:r>
          <w:rPr>
            <w:rStyle w:val="Hyperlink"/>
            <w:sz w:val="16"/>
          </w:rPr>
          <w:t>Il-karatteristiċi u l-prestazzjoni tal-amministrazzjoni pubblika fl-UE28</w:t>
        </w:r>
      </w:hyperlink>
      <w:r>
        <w:rPr>
          <w:sz w:val="16"/>
        </w:rPr>
        <w:t xml:space="preserve">’. </w:t>
      </w:r>
    </w:p>
  </w:footnote>
  <w:footnote w:id="115">
    <w:p>
      <w:pPr>
        <w:pStyle w:val="FootnoteText"/>
        <w:rPr>
          <w:sz w:val="16"/>
          <w:szCs w:val="16"/>
          <w:lang w:val="es-ES"/>
        </w:rPr>
      </w:pPr>
      <w:r>
        <w:rPr>
          <w:rStyle w:val="FootnoteReference"/>
        </w:rPr>
        <w:footnoteRef/>
      </w:r>
      <w:r>
        <w:rPr>
          <w:sz w:val="16"/>
        </w:rPr>
        <w:t xml:space="preserve"> Il-Kummissjoni Ewropea, </w:t>
      </w:r>
      <w:hyperlink r:id="rId82">
        <w:r>
          <w:rPr>
            <w:rStyle w:val="Hyperlink"/>
            <w:sz w:val="16"/>
          </w:rPr>
          <w:t>Portal tad-Dejta Miftuħa tal-UE</w:t>
        </w:r>
      </w:hyperlink>
      <w:r>
        <w:rPr>
          <w:sz w:val="16"/>
        </w:rPr>
        <w:t>.</w:t>
      </w:r>
    </w:p>
  </w:footnote>
  <w:footnote w:id="116">
    <w:p>
      <w:pPr>
        <w:pStyle w:val="FootnoteText"/>
        <w:rPr>
          <w:rFonts w:eastAsia="Times New Roman" w:cs="Times New Roman"/>
          <w:sz w:val="16"/>
          <w:szCs w:val="16"/>
        </w:rPr>
      </w:pPr>
      <w:r>
        <w:rPr>
          <w:rStyle w:val="FootnoteReference"/>
        </w:rPr>
        <w:footnoteRef/>
      </w:r>
      <w:r>
        <w:rPr>
          <w:sz w:val="16"/>
        </w:rPr>
        <w:t xml:space="preserve"> </w:t>
      </w:r>
      <w:hyperlink r:id="rId83">
        <w:r>
          <w:rPr>
            <w:rStyle w:val="Hyperlink"/>
            <w:sz w:val="16"/>
          </w:rPr>
          <w:t>COM(2018) 330</w:t>
        </w:r>
      </w:hyperlink>
      <w:r>
        <w:rPr>
          <w:sz w:val="16"/>
        </w:rPr>
        <w:t>.</w:t>
      </w:r>
    </w:p>
  </w:footnote>
  <w:footnote w:id="117">
    <w:p>
      <w:pPr>
        <w:pStyle w:val="FootnoteText"/>
        <w:rPr>
          <w:rFonts w:eastAsia="Times New Roman" w:cs="Times New Roman"/>
          <w:sz w:val="16"/>
          <w:szCs w:val="16"/>
        </w:rPr>
      </w:pPr>
      <w:r>
        <w:rPr>
          <w:rStyle w:val="FootnoteReference"/>
        </w:rPr>
        <w:footnoteRef/>
      </w:r>
      <w:r>
        <w:rPr>
          <w:sz w:val="16"/>
        </w:rPr>
        <w:t xml:space="preserve"> </w:t>
      </w:r>
      <w:hyperlink r:id="rId84">
        <w:r>
          <w:rPr>
            <w:rStyle w:val="Hyperlink"/>
            <w:sz w:val="16"/>
          </w:rPr>
          <w:t>SWD(2017) 153</w:t>
        </w:r>
      </w:hyperlink>
      <w:r>
        <w:rPr>
          <w:sz w:val="16"/>
        </w:rPr>
        <w:t xml:space="preserve">. </w:t>
      </w:r>
    </w:p>
  </w:footnote>
  <w:footnote w:id="118">
    <w:p>
      <w:pPr>
        <w:pStyle w:val="Default"/>
        <w:ind w:left="142" w:hanging="142"/>
        <w:rPr>
          <w:rFonts w:ascii="Times New Roman" w:eastAsia="Times New Roman" w:hAnsi="Times New Roman" w:cs="Times New Roman"/>
          <w:sz w:val="16"/>
          <w:szCs w:val="16"/>
        </w:rPr>
      </w:pPr>
      <w:r>
        <w:rPr>
          <w:rStyle w:val="FootnoteReference"/>
        </w:rPr>
        <w:footnoteRef/>
      </w:r>
      <w:r>
        <w:rPr>
          <w:rFonts w:ascii="Times New Roman" w:hAnsi="Times New Roman"/>
          <w:sz w:val="16"/>
        </w:rPr>
        <w:t xml:space="preserve"> </w:t>
      </w:r>
      <w:hyperlink r:id="rId85">
        <w:r>
          <w:rPr>
            <w:rStyle w:val="Hyperlink"/>
            <w:rFonts w:ascii="Times New Roman" w:hAnsi="Times New Roman"/>
            <w:sz w:val="16"/>
          </w:rPr>
          <w:t>COM(2017) 198</w:t>
        </w:r>
      </w:hyperlink>
      <w:r>
        <w:rPr>
          <w:rFonts w:ascii="Times New Roman" w:hAnsi="Times New Roman"/>
          <w:sz w:val="16"/>
        </w:rPr>
        <w:t xml:space="preserve"> </w:t>
      </w:r>
      <w:r>
        <w:rPr>
          <w:rStyle w:val="Hyperlink"/>
          <w:rFonts w:ascii="Times New Roman" w:hAnsi="Times New Roman"/>
          <w:color w:val="auto"/>
          <w:sz w:val="16"/>
          <w:u w:val="none"/>
        </w:rPr>
        <w:t>u</w:t>
      </w:r>
      <w:r>
        <w:rPr>
          <w:rStyle w:val="Hyperlink"/>
          <w:rFonts w:ascii="Times New Roman" w:hAnsi="Times New Roman"/>
          <w:color w:val="auto"/>
          <w:sz w:val="16"/>
        </w:rPr>
        <w:t xml:space="preserve"> </w:t>
      </w:r>
      <w:hyperlink r:id="rId86">
        <w:r>
          <w:rPr>
            <w:rStyle w:val="Hyperlink"/>
            <w:rFonts w:ascii="Times New Roman" w:hAnsi="Times New Roman"/>
            <w:sz w:val="16"/>
          </w:rPr>
          <w:t>SWD(2017) 139</w:t>
        </w:r>
      </w:hyperlink>
      <w:r>
        <w:rPr>
          <w:rFonts w:ascii="Times New Roman" w:hAnsi="Times New Roman"/>
          <w:sz w:val="16"/>
        </w:rPr>
        <w:t>.</w:t>
      </w:r>
    </w:p>
  </w:footnote>
  <w:footnote w:id="119">
    <w:p>
      <w:pPr>
        <w:pStyle w:val="FootnoteText"/>
        <w:rPr>
          <w:rFonts w:eastAsia="Times New Roman" w:cs="Times New Roman"/>
          <w:sz w:val="16"/>
          <w:szCs w:val="16"/>
        </w:rPr>
      </w:pPr>
      <w:r>
        <w:rPr>
          <w:rStyle w:val="FootnoteReference"/>
        </w:rPr>
        <w:footnoteRef/>
      </w:r>
      <w:r>
        <w:rPr>
          <w:sz w:val="16"/>
        </w:rPr>
        <w:t xml:space="preserve"> Il-Kummissjoni Ewropea, </w:t>
      </w:r>
      <w:hyperlink r:id="rId87">
        <w:r>
          <w:rPr>
            <w:rStyle w:val="Hyperlink"/>
            <w:sz w:val="16"/>
          </w:rPr>
          <w:t>Rapport dwar l-implimentazzjoni tal-leġiżlazzjoni dwar l-iskart, inkluż ir-rapport ta’ twissija bikrija</w:t>
        </w:r>
      </w:hyperlink>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278"/>
    <w:multiLevelType w:val="hybridMultilevel"/>
    <w:tmpl w:val="D4F4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05162"/>
    <w:multiLevelType w:val="hybridMultilevel"/>
    <w:tmpl w:val="BDAE5EE4"/>
    <w:lvl w:ilvl="0" w:tplc="BB24E05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442E9"/>
    <w:multiLevelType w:val="hybridMultilevel"/>
    <w:tmpl w:val="34700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9B611B"/>
    <w:multiLevelType w:val="hybridMultilevel"/>
    <w:tmpl w:val="7826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F4EE0"/>
    <w:multiLevelType w:val="hybridMultilevel"/>
    <w:tmpl w:val="84EE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69F"/>
    <w:multiLevelType w:val="multilevel"/>
    <w:tmpl w:val="64F0E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B2B87"/>
    <w:multiLevelType w:val="hybridMultilevel"/>
    <w:tmpl w:val="1672908A"/>
    <w:lvl w:ilvl="0" w:tplc="D4F4158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7A6E2F"/>
    <w:multiLevelType w:val="multilevel"/>
    <w:tmpl w:val="E954C2A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EE20077"/>
    <w:multiLevelType w:val="hybridMultilevel"/>
    <w:tmpl w:val="23B4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FCF503B"/>
    <w:multiLevelType w:val="hybridMultilevel"/>
    <w:tmpl w:val="6EB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B718EA"/>
    <w:multiLevelType w:val="hybridMultilevel"/>
    <w:tmpl w:val="1FDE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2053C"/>
    <w:multiLevelType w:val="hybridMultilevel"/>
    <w:tmpl w:val="837CC25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nsid w:val="3AF87101"/>
    <w:multiLevelType w:val="hybridMultilevel"/>
    <w:tmpl w:val="98C6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77000"/>
    <w:multiLevelType w:val="hybridMultilevel"/>
    <w:tmpl w:val="1E90F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7D588C"/>
    <w:multiLevelType w:val="hybridMultilevel"/>
    <w:tmpl w:val="80A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372BC"/>
    <w:multiLevelType w:val="hybridMultilevel"/>
    <w:tmpl w:val="F03A9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5C69AC"/>
    <w:multiLevelType w:val="hybridMultilevel"/>
    <w:tmpl w:val="666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A67A5A"/>
    <w:multiLevelType w:val="hybridMultilevel"/>
    <w:tmpl w:val="4454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80502F"/>
    <w:multiLevelType w:val="multilevel"/>
    <w:tmpl w:val="53D6A3A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E336C05"/>
    <w:multiLevelType w:val="hybridMultilevel"/>
    <w:tmpl w:val="22A46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D0266F"/>
    <w:multiLevelType w:val="hybridMultilevel"/>
    <w:tmpl w:val="380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11"/>
  </w:num>
  <w:num w:numId="5">
    <w:abstractNumId w:val="19"/>
  </w:num>
  <w:num w:numId="6">
    <w:abstractNumId w:val="8"/>
  </w:num>
  <w:num w:numId="7">
    <w:abstractNumId w:val="0"/>
  </w:num>
  <w:num w:numId="8">
    <w:abstractNumId w:val="10"/>
  </w:num>
  <w:num w:numId="9">
    <w:abstractNumId w:val="12"/>
  </w:num>
  <w:num w:numId="10">
    <w:abstractNumId w:val="5"/>
  </w:num>
  <w:num w:numId="11">
    <w:abstractNumId w:val="1"/>
  </w:num>
  <w:num w:numId="12">
    <w:abstractNumId w:val="3"/>
  </w:num>
  <w:num w:numId="13">
    <w:abstractNumId w:val="14"/>
  </w:num>
  <w:num w:numId="14">
    <w:abstractNumId w:val="17"/>
  </w:num>
  <w:num w:numId="15">
    <w:abstractNumId w:val="9"/>
  </w:num>
  <w:num w:numId="16">
    <w:abstractNumId w:val="9"/>
  </w:num>
  <w:num w:numId="17">
    <w:abstractNumId w:val="9"/>
  </w:num>
  <w:num w:numId="18">
    <w:abstractNumId w:val="7"/>
  </w:num>
  <w:num w:numId="19">
    <w:abstractNumId w:val="15"/>
  </w:num>
  <w:num w:numId="20">
    <w:abstractNumId w:val="2"/>
  </w:num>
  <w:num w:numId="21">
    <w:abstractNumId w:val="16"/>
  </w:num>
  <w:num w:numId="22">
    <w:abstractNumId w:val="21"/>
  </w:num>
  <w:num w:numId="23">
    <w:abstractNumId w:val="18"/>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en-IE" w:vendorID="64" w:dllVersion="131078" w:nlCheck="1" w:checkStyle="1"/>
  <w:revisionView w:markup="0"/>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9916335-AF1A-4DB4-BBF8-AE701C6DA4EF"/>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ussell, "/>
    <w:docVar w:name="LW_EMISSION_SUFFIX" w:val=" "/>
    <w:docVar w:name="LW_ID_DOCTYPE_NONLW" w:val="CP-014"/>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L-Anali\u380?i tal-Implimentazzjoni Ambjentali 2019: &lt;/FMT&gt;_x000d__x000d__x000b_&lt;FMT:Bold&gt;Ewropa li tipprote\u289?i li\u267?-\u267?ittadini tag\u295?ha u ttejjeb l-kwalità ta' \u295?ajjithom&lt;/FMT&gt;_x000d__x000d__x000d__x000d__x000b_"/>
    <w:docVar w:name="LW_TYPE.DOC.CP" w:val="KOMUNIKAZZJONI TAL-KUMMISSJONI LILL-PARLAMENT EWROPEW, LILL-KUNSILL, LILL-KUMITAT EKONOMIKU U SO\u266?JALI EWROPEW U LILL-KUMITAT TAR-RE\u288?JUN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mt-M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mt-MT"/>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mt-M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mt-MT"/>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6258">
      <w:bodyDiv w:val="1"/>
      <w:marLeft w:val="0"/>
      <w:marRight w:val="0"/>
      <w:marTop w:val="0"/>
      <w:marBottom w:val="0"/>
      <w:divBdr>
        <w:top w:val="none" w:sz="0" w:space="0" w:color="auto"/>
        <w:left w:val="none" w:sz="0" w:space="0" w:color="auto"/>
        <w:bottom w:val="none" w:sz="0" w:space="0" w:color="auto"/>
        <w:right w:val="none" w:sz="0" w:space="0" w:color="auto"/>
      </w:divBdr>
    </w:div>
    <w:div w:id="180897500">
      <w:bodyDiv w:val="1"/>
      <w:marLeft w:val="0"/>
      <w:marRight w:val="0"/>
      <w:marTop w:val="0"/>
      <w:marBottom w:val="0"/>
      <w:divBdr>
        <w:top w:val="none" w:sz="0" w:space="0" w:color="auto"/>
        <w:left w:val="none" w:sz="0" w:space="0" w:color="auto"/>
        <w:bottom w:val="none" w:sz="0" w:space="0" w:color="auto"/>
        <w:right w:val="none" w:sz="0" w:space="0" w:color="auto"/>
      </w:divBdr>
    </w:div>
    <w:div w:id="250088342">
      <w:bodyDiv w:val="1"/>
      <w:marLeft w:val="0"/>
      <w:marRight w:val="0"/>
      <w:marTop w:val="0"/>
      <w:marBottom w:val="0"/>
      <w:divBdr>
        <w:top w:val="none" w:sz="0" w:space="0" w:color="auto"/>
        <w:left w:val="none" w:sz="0" w:space="0" w:color="auto"/>
        <w:bottom w:val="none" w:sz="0" w:space="0" w:color="auto"/>
        <w:right w:val="none" w:sz="0" w:space="0" w:color="auto"/>
      </w:divBdr>
    </w:div>
    <w:div w:id="460419583">
      <w:bodyDiv w:val="1"/>
      <w:marLeft w:val="0"/>
      <w:marRight w:val="0"/>
      <w:marTop w:val="0"/>
      <w:marBottom w:val="0"/>
      <w:divBdr>
        <w:top w:val="none" w:sz="0" w:space="0" w:color="auto"/>
        <w:left w:val="none" w:sz="0" w:space="0" w:color="auto"/>
        <w:bottom w:val="none" w:sz="0" w:space="0" w:color="auto"/>
        <w:right w:val="none" w:sz="0" w:space="0" w:color="auto"/>
      </w:divBdr>
      <w:divsChild>
        <w:div w:id="1312640480">
          <w:marLeft w:val="0"/>
          <w:marRight w:val="0"/>
          <w:marTop w:val="0"/>
          <w:marBottom w:val="0"/>
          <w:divBdr>
            <w:top w:val="none" w:sz="0" w:space="0" w:color="auto"/>
            <w:left w:val="none" w:sz="0" w:space="0" w:color="auto"/>
            <w:bottom w:val="none" w:sz="0" w:space="0" w:color="auto"/>
            <w:right w:val="none" w:sz="0" w:space="0" w:color="auto"/>
          </w:divBdr>
        </w:div>
        <w:div w:id="1479304681">
          <w:marLeft w:val="0"/>
          <w:marRight w:val="0"/>
          <w:marTop w:val="0"/>
          <w:marBottom w:val="0"/>
          <w:divBdr>
            <w:top w:val="none" w:sz="0" w:space="0" w:color="auto"/>
            <w:left w:val="none" w:sz="0" w:space="0" w:color="auto"/>
            <w:bottom w:val="none" w:sz="0" w:space="0" w:color="auto"/>
            <w:right w:val="none" w:sz="0" w:space="0" w:color="auto"/>
          </w:divBdr>
        </w:div>
      </w:divsChild>
    </w:div>
    <w:div w:id="528565629">
      <w:bodyDiv w:val="1"/>
      <w:marLeft w:val="0"/>
      <w:marRight w:val="0"/>
      <w:marTop w:val="0"/>
      <w:marBottom w:val="0"/>
      <w:divBdr>
        <w:top w:val="none" w:sz="0" w:space="0" w:color="auto"/>
        <w:left w:val="none" w:sz="0" w:space="0" w:color="auto"/>
        <w:bottom w:val="none" w:sz="0" w:space="0" w:color="auto"/>
        <w:right w:val="none" w:sz="0" w:space="0" w:color="auto"/>
      </w:divBdr>
      <w:divsChild>
        <w:div w:id="149102338">
          <w:marLeft w:val="0"/>
          <w:marRight w:val="0"/>
          <w:marTop w:val="0"/>
          <w:marBottom w:val="0"/>
          <w:divBdr>
            <w:top w:val="none" w:sz="0" w:space="0" w:color="auto"/>
            <w:left w:val="none" w:sz="0" w:space="0" w:color="auto"/>
            <w:bottom w:val="none" w:sz="0" w:space="0" w:color="auto"/>
            <w:right w:val="none" w:sz="0" w:space="0" w:color="auto"/>
          </w:divBdr>
        </w:div>
        <w:div w:id="844243402">
          <w:marLeft w:val="0"/>
          <w:marRight w:val="0"/>
          <w:marTop w:val="0"/>
          <w:marBottom w:val="0"/>
          <w:divBdr>
            <w:top w:val="none" w:sz="0" w:space="0" w:color="auto"/>
            <w:left w:val="none" w:sz="0" w:space="0" w:color="auto"/>
            <w:bottom w:val="none" w:sz="0" w:space="0" w:color="auto"/>
            <w:right w:val="none" w:sz="0" w:space="0" w:color="auto"/>
          </w:divBdr>
        </w:div>
        <w:div w:id="1203908982">
          <w:marLeft w:val="0"/>
          <w:marRight w:val="0"/>
          <w:marTop w:val="0"/>
          <w:marBottom w:val="0"/>
          <w:divBdr>
            <w:top w:val="none" w:sz="0" w:space="0" w:color="auto"/>
            <w:left w:val="none" w:sz="0" w:space="0" w:color="auto"/>
            <w:bottom w:val="none" w:sz="0" w:space="0" w:color="auto"/>
            <w:right w:val="none" w:sz="0" w:space="0" w:color="auto"/>
          </w:divBdr>
        </w:div>
        <w:div w:id="1273704943">
          <w:marLeft w:val="0"/>
          <w:marRight w:val="0"/>
          <w:marTop w:val="0"/>
          <w:marBottom w:val="0"/>
          <w:divBdr>
            <w:top w:val="none" w:sz="0" w:space="0" w:color="auto"/>
            <w:left w:val="none" w:sz="0" w:space="0" w:color="auto"/>
            <w:bottom w:val="none" w:sz="0" w:space="0" w:color="auto"/>
            <w:right w:val="none" w:sz="0" w:space="0" w:color="auto"/>
          </w:divBdr>
        </w:div>
      </w:divsChild>
    </w:div>
    <w:div w:id="568199502">
      <w:bodyDiv w:val="1"/>
      <w:marLeft w:val="0"/>
      <w:marRight w:val="0"/>
      <w:marTop w:val="0"/>
      <w:marBottom w:val="0"/>
      <w:divBdr>
        <w:top w:val="none" w:sz="0" w:space="0" w:color="auto"/>
        <w:left w:val="none" w:sz="0" w:space="0" w:color="auto"/>
        <w:bottom w:val="none" w:sz="0" w:space="0" w:color="auto"/>
        <w:right w:val="none" w:sz="0" w:space="0" w:color="auto"/>
      </w:divBdr>
    </w:div>
    <w:div w:id="664019909">
      <w:bodyDiv w:val="1"/>
      <w:marLeft w:val="0"/>
      <w:marRight w:val="0"/>
      <w:marTop w:val="0"/>
      <w:marBottom w:val="0"/>
      <w:divBdr>
        <w:top w:val="none" w:sz="0" w:space="0" w:color="auto"/>
        <w:left w:val="none" w:sz="0" w:space="0" w:color="auto"/>
        <w:bottom w:val="none" w:sz="0" w:space="0" w:color="auto"/>
        <w:right w:val="none" w:sz="0" w:space="0" w:color="auto"/>
      </w:divBdr>
      <w:divsChild>
        <w:div w:id="755711940">
          <w:marLeft w:val="0"/>
          <w:marRight w:val="0"/>
          <w:marTop w:val="0"/>
          <w:marBottom w:val="0"/>
          <w:divBdr>
            <w:top w:val="none" w:sz="0" w:space="0" w:color="auto"/>
            <w:left w:val="none" w:sz="0" w:space="0" w:color="auto"/>
            <w:bottom w:val="none" w:sz="0" w:space="0" w:color="auto"/>
            <w:right w:val="none" w:sz="0" w:space="0" w:color="auto"/>
          </w:divBdr>
        </w:div>
        <w:div w:id="1328174138">
          <w:marLeft w:val="0"/>
          <w:marRight w:val="0"/>
          <w:marTop w:val="0"/>
          <w:marBottom w:val="0"/>
          <w:divBdr>
            <w:top w:val="none" w:sz="0" w:space="0" w:color="auto"/>
            <w:left w:val="none" w:sz="0" w:space="0" w:color="auto"/>
            <w:bottom w:val="none" w:sz="0" w:space="0" w:color="auto"/>
            <w:right w:val="none" w:sz="0" w:space="0" w:color="auto"/>
          </w:divBdr>
        </w:div>
        <w:div w:id="1184709224">
          <w:marLeft w:val="0"/>
          <w:marRight w:val="0"/>
          <w:marTop w:val="0"/>
          <w:marBottom w:val="0"/>
          <w:divBdr>
            <w:top w:val="none" w:sz="0" w:space="0" w:color="auto"/>
            <w:left w:val="none" w:sz="0" w:space="0" w:color="auto"/>
            <w:bottom w:val="none" w:sz="0" w:space="0" w:color="auto"/>
            <w:right w:val="none" w:sz="0" w:space="0" w:color="auto"/>
          </w:divBdr>
        </w:div>
        <w:div w:id="900137051">
          <w:marLeft w:val="0"/>
          <w:marRight w:val="0"/>
          <w:marTop w:val="0"/>
          <w:marBottom w:val="0"/>
          <w:divBdr>
            <w:top w:val="none" w:sz="0" w:space="0" w:color="auto"/>
            <w:left w:val="none" w:sz="0" w:space="0" w:color="auto"/>
            <w:bottom w:val="none" w:sz="0" w:space="0" w:color="auto"/>
            <w:right w:val="none" w:sz="0" w:space="0" w:color="auto"/>
          </w:divBdr>
        </w:div>
      </w:divsChild>
    </w:div>
    <w:div w:id="738937581">
      <w:bodyDiv w:val="1"/>
      <w:marLeft w:val="0"/>
      <w:marRight w:val="0"/>
      <w:marTop w:val="0"/>
      <w:marBottom w:val="0"/>
      <w:divBdr>
        <w:top w:val="none" w:sz="0" w:space="0" w:color="auto"/>
        <w:left w:val="none" w:sz="0" w:space="0" w:color="auto"/>
        <w:bottom w:val="none" w:sz="0" w:space="0" w:color="auto"/>
        <w:right w:val="none" w:sz="0" w:space="0" w:color="auto"/>
      </w:divBdr>
      <w:divsChild>
        <w:div w:id="628169514">
          <w:marLeft w:val="0"/>
          <w:marRight w:val="0"/>
          <w:marTop w:val="0"/>
          <w:marBottom w:val="0"/>
          <w:divBdr>
            <w:top w:val="none" w:sz="0" w:space="0" w:color="auto"/>
            <w:left w:val="none" w:sz="0" w:space="0" w:color="auto"/>
            <w:bottom w:val="none" w:sz="0" w:space="0" w:color="auto"/>
            <w:right w:val="none" w:sz="0" w:space="0" w:color="auto"/>
          </w:divBdr>
        </w:div>
        <w:div w:id="940265105">
          <w:marLeft w:val="0"/>
          <w:marRight w:val="0"/>
          <w:marTop w:val="0"/>
          <w:marBottom w:val="0"/>
          <w:divBdr>
            <w:top w:val="none" w:sz="0" w:space="0" w:color="auto"/>
            <w:left w:val="none" w:sz="0" w:space="0" w:color="auto"/>
            <w:bottom w:val="none" w:sz="0" w:space="0" w:color="auto"/>
            <w:right w:val="none" w:sz="0" w:space="0" w:color="auto"/>
          </w:divBdr>
        </w:div>
      </w:divsChild>
    </w:div>
    <w:div w:id="938024900">
      <w:bodyDiv w:val="1"/>
      <w:marLeft w:val="0"/>
      <w:marRight w:val="0"/>
      <w:marTop w:val="0"/>
      <w:marBottom w:val="0"/>
      <w:divBdr>
        <w:top w:val="none" w:sz="0" w:space="0" w:color="auto"/>
        <w:left w:val="none" w:sz="0" w:space="0" w:color="auto"/>
        <w:bottom w:val="none" w:sz="0" w:space="0" w:color="auto"/>
        <w:right w:val="none" w:sz="0" w:space="0" w:color="auto"/>
      </w:divBdr>
    </w:div>
    <w:div w:id="991444582">
      <w:bodyDiv w:val="1"/>
      <w:marLeft w:val="0"/>
      <w:marRight w:val="0"/>
      <w:marTop w:val="0"/>
      <w:marBottom w:val="0"/>
      <w:divBdr>
        <w:top w:val="none" w:sz="0" w:space="0" w:color="auto"/>
        <w:left w:val="none" w:sz="0" w:space="0" w:color="auto"/>
        <w:bottom w:val="none" w:sz="0" w:space="0" w:color="auto"/>
        <w:right w:val="none" w:sz="0" w:space="0" w:color="auto"/>
      </w:divBdr>
    </w:div>
    <w:div w:id="993147472">
      <w:bodyDiv w:val="1"/>
      <w:marLeft w:val="0"/>
      <w:marRight w:val="0"/>
      <w:marTop w:val="0"/>
      <w:marBottom w:val="0"/>
      <w:divBdr>
        <w:top w:val="none" w:sz="0" w:space="0" w:color="auto"/>
        <w:left w:val="none" w:sz="0" w:space="0" w:color="auto"/>
        <w:bottom w:val="none" w:sz="0" w:space="0" w:color="auto"/>
        <w:right w:val="none" w:sz="0" w:space="0" w:color="auto"/>
      </w:divBdr>
    </w:div>
    <w:div w:id="1135416439">
      <w:bodyDiv w:val="1"/>
      <w:marLeft w:val="0"/>
      <w:marRight w:val="0"/>
      <w:marTop w:val="0"/>
      <w:marBottom w:val="0"/>
      <w:divBdr>
        <w:top w:val="none" w:sz="0" w:space="0" w:color="auto"/>
        <w:left w:val="none" w:sz="0" w:space="0" w:color="auto"/>
        <w:bottom w:val="none" w:sz="0" w:space="0" w:color="auto"/>
        <w:right w:val="none" w:sz="0" w:space="0" w:color="auto"/>
      </w:divBdr>
    </w:div>
    <w:div w:id="1161584318">
      <w:bodyDiv w:val="1"/>
      <w:marLeft w:val="0"/>
      <w:marRight w:val="0"/>
      <w:marTop w:val="0"/>
      <w:marBottom w:val="0"/>
      <w:divBdr>
        <w:top w:val="none" w:sz="0" w:space="0" w:color="auto"/>
        <w:left w:val="none" w:sz="0" w:space="0" w:color="auto"/>
        <w:bottom w:val="none" w:sz="0" w:space="0" w:color="auto"/>
        <w:right w:val="none" w:sz="0" w:space="0" w:color="auto"/>
      </w:divBdr>
      <w:divsChild>
        <w:div w:id="19478132">
          <w:marLeft w:val="0"/>
          <w:marRight w:val="0"/>
          <w:marTop w:val="0"/>
          <w:marBottom w:val="0"/>
          <w:divBdr>
            <w:top w:val="none" w:sz="0" w:space="0" w:color="auto"/>
            <w:left w:val="none" w:sz="0" w:space="0" w:color="auto"/>
            <w:bottom w:val="none" w:sz="0" w:space="0" w:color="auto"/>
            <w:right w:val="none" w:sz="0" w:space="0" w:color="auto"/>
          </w:divBdr>
        </w:div>
        <w:div w:id="337930196">
          <w:marLeft w:val="0"/>
          <w:marRight w:val="0"/>
          <w:marTop w:val="0"/>
          <w:marBottom w:val="0"/>
          <w:divBdr>
            <w:top w:val="none" w:sz="0" w:space="0" w:color="auto"/>
            <w:left w:val="none" w:sz="0" w:space="0" w:color="auto"/>
            <w:bottom w:val="none" w:sz="0" w:space="0" w:color="auto"/>
            <w:right w:val="none" w:sz="0" w:space="0" w:color="auto"/>
          </w:divBdr>
        </w:div>
        <w:div w:id="343941469">
          <w:marLeft w:val="0"/>
          <w:marRight w:val="0"/>
          <w:marTop w:val="0"/>
          <w:marBottom w:val="0"/>
          <w:divBdr>
            <w:top w:val="none" w:sz="0" w:space="0" w:color="auto"/>
            <w:left w:val="none" w:sz="0" w:space="0" w:color="auto"/>
            <w:bottom w:val="none" w:sz="0" w:space="0" w:color="auto"/>
            <w:right w:val="none" w:sz="0" w:space="0" w:color="auto"/>
          </w:divBdr>
        </w:div>
        <w:div w:id="1855225508">
          <w:marLeft w:val="0"/>
          <w:marRight w:val="0"/>
          <w:marTop w:val="0"/>
          <w:marBottom w:val="0"/>
          <w:divBdr>
            <w:top w:val="none" w:sz="0" w:space="0" w:color="auto"/>
            <w:left w:val="none" w:sz="0" w:space="0" w:color="auto"/>
            <w:bottom w:val="none" w:sz="0" w:space="0" w:color="auto"/>
            <w:right w:val="none" w:sz="0" w:space="0" w:color="auto"/>
          </w:divBdr>
        </w:div>
        <w:div w:id="2108037528">
          <w:marLeft w:val="0"/>
          <w:marRight w:val="0"/>
          <w:marTop w:val="0"/>
          <w:marBottom w:val="0"/>
          <w:divBdr>
            <w:top w:val="none" w:sz="0" w:space="0" w:color="auto"/>
            <w:left w:val="none" w:sz="0" w:space="0" w:color="auto"/>
            <w:bottom w:val="none" w:sz="0" w:space="0" w:color="auto"/>
            <w:right w:val="none" w:sz="0" w:space="0" w:color="auto"/>
          </w:divBdr>
        </w:div>
      </w:divsChild>
    </w:div>
    <w:div w:id="1238901798">
      <w:bodyDiv w:val="1"/>
      <w:marLeft w:val="0"/>
      <w:marRight w:val="0"/>
      <w:marTop w:val="0"/>
      <w:marBottom w:val="0"/>
      <w:divBdr>
        <w:top w:val="none" w:sz="0" w:space="0" w:color="auto"/>
        <w:left w:val="none" w:sz="0" w:space="0" w:color="auto"/>
        <w:bottom w:val="none" w:sz="0" w:space="0" w:color="auto"/>
        <w:right w:val="none" w:sz="0" w:space="0" w:color="auto"/>
      </w:divBdr>
      <w:divsChild>
        <w:div w:id="541674126">
          <w:marLeft w:val="0"/>
          <w:marRight w:val="0"/>
          <w:marTop w:val="0"/>
          <w:marBottom w:val="0"/>
          <w:divBdr>
            <w:top w:val="none" w:sz="0" w:space="0" w:color="auto"/>
            <w:left w:val="none" w:sz="0" w:space="0" w:color="auto"/>
            <w:bottom w:val="none" w:sz="0" w:space="0" w:color="auto"/>
            <w:right w:val="none" w:sz="0" w:space="0" w:color="auto"/>
          </w:divBdr>
        </w:div>
        <w:div w:id="1245609196">
          <w:marLeft w:val="0"/>
          <w:marRight w:val="0"/>
          <w:marTop w:val="0"/>
          <w:marBottom w:val="0"/>
          <w:divBdr>
            <w:top w:val="none" w:sz="0" w:space="0" w:color="auto"/>
            <w:left w:val="none" w:sz="0" w:space="0" w:color="auto"/>
            <w:bottom w:val="none" w:sz="0" w:space="0" w:color="auto"/>
            <w:right w:val="none" w:sz="0" w:space="0" w:color="auto"/>
          </w:divBdr>
        </w:div>
        <w:div w:id="182866711">
          <w:marLeft w:val="0"/>
          <w:marRight w:val="0"/>
          <w:marTop w:val="0"/>
          <w:marBottom w:val="0"/>
          <w:divBdr>
            <w:top w:val="none" w:sz="0" w:space="0" w:color="auto"/>
            <w:left w:val="none" w:sz="0" w:space="0" w:color="auto"/>
            <w:bottom w:val="none" w:sz="0" w:space="0" w:color="auto"/>
            <w:right w:val="none" w:sz="0" w:space="0" w:color="auto"/>
          </w:divBdr>
        </w:div>
      </w:divsChild>
    </w:div>
    <w:div w:id="1303341183">
      <w:bodyDiv w:val="1"/>
      <w:marLeft w:val="0"/>
      <w:marRight w:val="0"/>
      <w:marTop w:val="0"/>
      <w:marBottom w:val="0"/>
      <w:divBdr>
        <w:top w:val="none" w:sz="0" w:space="0" w:color="auto"/>
        <w:left w:val="none" w:sz="0" w:space="0" w:color="auto"/>
        <w:bottom w:val="none" w:sz="0" w:space="0" w:color="auto"/>
        <w:right w:val="none" w:sz="0" w:space="0" w:color="auto"/>
      </w:divBdr>
    </w:div>
    <w:div w:id="1437019592">
      <w:bodyDiv w:val="1"/>
      <w:marLeft w:val="0"/>
      <w:marRight w:val="0"/>
      <w:marTop w:val="0"/>
      <w:marBottom w:val="0"/>
      <w:divBdr>
        <w:top w:val="none" w:sz="0" w:space="0" w:color="auto"/>
        <w:left w:val="none" w:sz="0" w:space="0" w:color="auto"/>
        <w:bottom w:val="none" w:sz="0" w:space="0" w:color="auto"/>
        <w:right w:val="none" w:sz="0" w:space="0" w:color="auto"/>
      </w:divBdr>
    </w:div>
    <w:div w:id="1646858414">
      <w:bodyDiv w:val="1"/>
      <w:marLeft w:val="0"/>
      <w:marRight w:val="0"/>
      <w:marTop w:val="0"/>
      <w:marBottom w:val="0"/>
      <w:divBdr>
        <w:top w:val="none" w:sz="0" w:space="0" w:color="auto"/>
        <w:left w:val="none" w:sz="0" w:space="0" w:color="auto"/>
        <w:bottom w:val="none" w:sz="0" w:space="0" w:color="auto"/>
        <w:right w:val="none" w:sz="0" w:space="0" w:color="auto"/>
      </w:divBdr>
    </w:div>
    <w:div w:id="1728722672">
      <w:bodyDiv w:val="1"/>
      <w:marLeft w:val="0"/>
      <w:marRight w:val="0"/>
      <w:marTop w:val="0"/>
      <w:marBottom w:val="0"/>
      <w:divBdr>
        <w:top w:val="none" w:sz="0" w:space="0" w:color="auto"/>
        <w:left w:val="none" w:sz="0" w:space="0" w:color="auto"/>
        <w:bottom w:val="none" w:sz="0" w:space="0" w:color="auto"/>
        <w:right w:val="none" w:sz="0" w:space="0" w:color="auto"/>
      </w:divBdr>
    </w:div>
    <w:div w:id="1777866830">
      <w:bodyDiv w:val="1"/>
      <w:marLeft w:val="0"/>
      <w:marRight w:val="0"/>
      <w:marTop w:val="0"/>
      <w:marBottom w:val="0"/>
      <w:divBdr>
        <w:top w:val="none" w:sz="0" w:space="0" w:color="auto"/>
        <w:left w:val="none" w:sz="0" w:space="0" w:color="auto"/>
        <w:bottom w:val="none" w:sz="0" w:space="0" w:color="auto"/>
        <w:right w:val="none" w:sz="0" w:space="0" w:color="auto"/>
      </w:divBdr>
    </w:div>
    <w:div w:id="1816213781">
      <w:bodyDiv w:val="1"/>
      <w:marLeft w:val="0"/>
      <w:marRight w:val="0"/>
      <w:marTop w:val="0"/>
      <w:marBottom w:val="0"/>
      <w:divBdr>
        <w:top w:val="none" w:sz="0" w:space="0" w:color="auto"/>
        <w:left w:val="none" w:sz="0" w:space="0" w:color="auto"/>
        <w:bottom w:val="none" w:sz="0" w:space="0" w:color="auto"/>
        <w:right w:val="none" w:sz="0" w:space="0" w:color="auto"/>
      </w:divBdr>
    </w:div>
    <w:div w:id="2003191174">
      <w:bodyDiv w:val="1"/>
      <w:marLeft w:val="0"/>
      <w:marRight w:val="0"/>
      <w:marTop w:val="0"/>
      <w:marBottom w:val="0"/>
      <w:divBdr>
        <w:top w:val="none" w:sz="0" w:space="0" w:color="auto"/>
        <w:left w:val="none" w:sz="0" w:space="0" w:color="auto"/>
        <w:bottom w:val="none" w:sz="0" w:space="0" w:color="auto"/>
        <w:right w:val="none" w:sz="0" w:space="0" w:color="auto"/>
      </w:divBdr>
    </w:div>
    <w:div w:id="2078629057">
      <w:bodyDiv w:val="1"/>
      <w:marLeft w:val="0"/>
      <w:marRight w:val="0"/>
      <w:marTop w:val="0"/>
      <w:marBottom w:val="0"/>
      <w:divBdr>
        <w:top w:val="none" w:sz="0" w:space="0" w:color="auto"/>
        <w:left w:val="none" w:sz="0" w:space="0" w:color="auto"/>
        <w:bottom w:val="none" w:sz="0" w:space="0" w:color="auto"/>
        <w:right w:val="none" w:sz="0" w:space="0" w:color="auto"/>
      </w:divBdr>
    </w:div>
    <w:div w:id="20954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nvironment/nature/invasivealien/list/index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ecologique-solidaire.gouv.fr/sites/default/files/FREC%20anglais.pdf" TargetMode="External"/><Relationship Id="rId18" Type="http://schemas.openxmlformats.org/officeDocument/2006/relationships/hyperlink" Target="https://eur-lex.europa.eu/legal-content/MT/ALL/?uri=COM:2018:738:FIN" TargetMode="External"/><Relationship Id="rId26" Type="http://schemas.openxmlformats.org/officeDocument/2006/relationships/hyperlink" Target="http://eur-lex.europa.eu/legal-content/MT/TXT/PDF/?uri=CELEX:52017DC0198&amp;qid=1526058382342&amp;from=MT" TargetMode="External"/><Relationship Id="rId39" Type="http://schemas.openxmlformats.org/officeDocument/2006/relationships/hyperlink" Target="https://publications.europa.eu/mt/publication-detail/-/publication/2a754add-32fb-11e8-b5fe-01aa75ed71a1/language-mt/format-PDF/source-72304101" TargetMode="External"/><Relationship Id="rId21" Type="http://schemas.openxmlformats.org/officeDocument/2006/relationships/hyperlink" Target="http://www.alpconv.org/" TargetMode="External"/><Relationship Id="rId34" Type="http://schemas.openxmlformats.org/officeDocument/2006/relationships/hyperlink" Target="http://ec.europa.eu/environment/air/quality/aqd_fitness_check_en.htm" TargetMode="External"/><Relationship Id="rId42" Type="http://schemas.openxmlformats.org/officeDocument/2006/relationships/hyperlink" Target="http://eur-lex.europa.eu/legal-content/MT/TXT/?qid=1481623908600&amp;uri=CELEX:32006L0007" TargetMode="External"/><Relationship Id="rId47" Type="http://schemas.openxmlformats.org/officeDocument/2006/relationships/hyperlink" Target="http://eur-lex.europa.eu/legal-content/MT/TXT/?uri=CELEX:32007L0060" TargetMode="External"/><Relationship Id="rId50" Type="http://schemas.openxmlformats.org/officeDocument/2006/relationships/hyperlink" Target="https://eur-lex.europa.eu/legal-content/MT/TXT/?uri=CELEX:32008R1272" TargetMode="External"/><Relationship Id="rId55" Type="http://schemas.openxmlformats.org/officeDocument/2006/relationships/hyperlink" Target="https://ec.europa.eu/taxation_customs/news/taxation-trends-report-2018_en" TargetMode="External"/><Relationship Id="rId63" Type="http://schemas.openxmlformats.org/officeDocument/2006/relationships/hyperlink" Target="http://ec.europa.eu/environment/legal/pdf/COM_2018_10_F1_COMMUNICATION_FROM_COMMISSION_TO_INST_EN_V8_P1_959219.pdf" TargetMode="External"/><Relationship Id="rId68" Type="http://schemas.openxmlformats.org/officeDocument/2006/relationships/hyperlink" Target="http://ec.europa.eu/environment/legal/pdf/COM_2018_10_F1_COMMUNICATION_FROM_COMMISSION_TO_INST_EN_V8_P1_959219.pdf" TargetMode="External"/><Relationship Id="rId76" Type="http://schemas.openxmlformats.org/officeDocument/2006/relationships/hyperlink" Target="https://circabc.europa.eu/sd/a/abff972e-203a-4b4e-b42e-a0f291d3fdf9/SWD_2017_EN_V4_P1_885057.pdf" TargetMode="External"/><Relationship Id="rId84" Type="http://schemas.openxmlformats.org/officeDocument/2006/relationships/hyperlink" Target="https://circabc.europa.eu/sd/a/abff972e-203a-4b4e-b42e-a0f291d3fdf9/SWD_2017_EN_V4_P1_885057.pdf" TargetMode="External"/><Relationship Id="rId7" Type="http://schemas.openxmlformats.org/officeDocument/2006/relationships/hyperlink" Target="https://ec.europa.eu/eurostat/web/circular-economy/indicators/monitoring-framework" TargetMode="External"/><Relationship Id="rId71" Type="http://schemas.openxmlformats.org/officeDocument/2006/relationships/hyperlink" Target="https://eur-lex.europa.eu/legal-content/MT/TXT/?uri=CELEX:32003L0004" TargetMode="External"/><Relationship Id="rId2" Type="http://schemas.openxmlformats.org/officeDocument/2006/relationships/hyperlink" Target="http://ec.europa.eu/environment/eir/p2p/index_en.htm" TargetMode="External"/><Relationship Id="rId16" Type="http://schemas.openxmlformats.org/officeDocument/2006/relationships/hyperlink" Target="https://ec.europa.eu/clima/sites/clima/files/docs/pages/com_2018_733_en.pdf" TargetMode="External"/><Relationship Id="rId29" Type="http://schemas.openxmlformats.org/officeDocument/2006/relationships/hyperlink" Target="https://eur-lex.europa.eu/legal-content/MT/TXT/?uri=CELEX:52013DC0659" TargetMode="External"/><Relationship Id="rId11" Type="http://schemas.openxmlformats.org/officeDocument/2006/relationships/hyperlink" Target="http://appsso.eurostat.ec.europa.eu/nui/show.do?dataset=env_wasmun&amp;lang=en" TargetMode="External"/><Relationship Id="rId24" Type="http://schemas.openxmlformats.org/officeDocument/2006/relationships/hyperlink" Target="https://eur-lex.europa.eu/legal-content/MT/TXT/?uri=CELEX:31992L0043" TargetMode="External"/><Relationship Id="rId32" Type="http://schemas.openxmlformats.org/officeDocument/2006/relationships/hyperlink" Target="https://ec.europa.eu/eurostat/statistics-explained/index.php/Air_pollution_statistics_-_emission_inventories" TargetMode="External"/><Relationship Id="rId37" Type="http://schemas.openxmlformats.org/officeDocument/2006/relationships/hyperlink" Target="https://www.eca.europa.eu/Lists/ECADocuments/SR18_23/SR_AIR_QUALITY_MT.pdf" TargetMode="External"/><Relationship Id="rId40" Type="http://schemas.openxmlformats.org/officeDocument/2006/relationships/hyperlink" Target="https://eur-lex.europa.eu/legal-content/MT/TXT/?qid=1540372185676&amp;uri=CELEX:32010L0075" TargetMode="External"/><Relationship Id="rId45" Type="http://schemas.openxmlformats.org/officeDocument/2006/relationships/hyperlink" Target="http://eur-lex.europa.eu/legal-content/MT/TXT/?qid=1481624135097&amp;uri=CELEX:32000L0060" TargetMode="External"/><Relationship Id="rId53" Type="http://schemas.openxmlformats.org/officeDocument/2006/relationships/hyperlink" Target="https://www.chemischestoffengoedgeregeld.nl/content/workshop-towards-safe-chemicals-innovation-agenda-substitution-safe-design" TargetMode="External"/><Relationship Id="rId58" Type="http://schemas.openxmlformats.org/officeDocument/2006/relationships/hyperlink" Target="https://circabc.europa.eu/ui/group/cafdbfbb-a3b9-42d8-b3c9-05e8f2c6a6fe/library/3df891ed-062d-4349-8751-f64bd9e5cf4b?p=1&amp;n=10&amp;sort=modified_DESC" TargetMode="External"/><Relationship Id="rId66" Type="http://schemas.openxmlformats.org/officeDocument/2006/relationships/hyperlink" Target="https://www.impel.eu/" TargetMode="External"/><Relationship Id="rId74" Type="http://schemas.openxmlformats.org/officeDocument/2006/relationships/hyperlink" Target="http://ec.europa.eu/environment/action-programme/" TargetMode="External"/><Relationship Id="rId79" Type="http://schemas.openxmlformats.org/officeDocument/2006/relationships/hyperlink" Target="https://eur-lex.europa.eu/legal-content/MT/TXT/?uri=COM:2016:739:FIN" TargetMode="External"/><Relationship Id="rId87" Type="http://schemas.openxmlformats.org/officeDocument/2006/relationships/hyperlink" Target="http://ec.europa.eu/environment/waste/framework/early_warning.htm" TargetMode="External"/><Relationship Id="rId5" Type="http://schemas.openxmlformats.org/officeDocument/2006/relationships/hyperlink" Target="https://eur-lex.europa.eu/legal-content/MT/TXT/?uri=COM:2018:28:FIN" TargetMode="External"/><Relationship Id="rId61" Type="http://schemas.openxmlformats.org/officeDocument/2006/relationships/hyperlink" Target="http://ec.europa.eu/environment/aarhus/index.htm" TargetMode="External"/><Relationship Id="rId82" Type="http://schemas.openxmlformats.org/officeDocument/2006/relationships/hyperlink" Target="http://data.europa.eu/euodp/mt/home" TargetMode="External"/><Relationship Id="rId19" Type="http://schemas.openxmlformats.org/officeDocument/2006/relationships/hyperlink" Target="https://eur-lex.europa.eu/legal-content/MT/TXT/?uri=CELEX:32018R1999" TargetMode="External"/><Relationship Id="rId4" Type="http://schemas.openxmlformats.org/officeDocument/2006/relationships/hyperlink" Target="https://ec.europa.eu/transparency/regdoc/rep/1/2015/EN/1-2015-614-EN-F1-1.PDF" TargetMode="External"/><Relationship Id="rId9" Type="http://schemas.openxmlformats.org/officeDocument/2006/relationships/hyperlink" Target="http://ec.europa.eu/eurostat/tgm/refreshTableAction.do?tab=table&amp;plugin=1&amp;pcode=t2020_rt120&amp;language=en" TargetMode="External"/><Relationship Id="rId14" Type="http://schemas.openxmlformats.org/officeDocument/2006/relationships/hyperlink" Target="https://eur-lex.europa.eu/legal-content/MT/TXT/?uri=celex:31999L0031" TargetMode="External"/><Relationship Id="rId22" Type="http://schemas.openxmlformats.org/officeDocument/2006/relationships/hyperlink" Target="http://www.carpathianconvention.org/" TargetMode="External"/><Relationship Id="rId27" Type="http://schemas.openxmlformats.org/officeDocument/2006/relationships/hyperlink" Target="https://eur-lex.europa.eu/LexUriServ/LexUriServ.do?uri=COM:2011:0244:FIN:MT:pdf" TargetMode="External"/><Relationship Id="rId30" Type="http://schemas.openxmlformats.org/officeDocument/2006/relationships/hyperlink" Target="https://eur-lex.europa.eu/legal-content/MT/TXT/?uri=CELEX:32008L0056" TargetMode="External"/><Relationship Id="rId35" Type="http://schemas.openxmlformats.org/officeDocument/2006/relationships/hyperlink" Target="https://ec.europa.eu/research/horizonprize/index.cfm?prize=engine-retrofit" TargetMode="External"/><Relationship Id="rId43" Type="http://schemas.openxmlformats.org/officeDocument/2006/relationships/hyperlink" Target="http://eur-lex.europa.eu/legal-content/MT/ALL/?uri=CELEX:31991L0271" TargetMode="External"/><Relationship Id="rId48" Type="http://schemas.openxmlformats.org/officeDocument/2006/relationships/hyperlink" Target="http://ec.europa.eu/environment/water/pdf/water_reuse_factsheet_en.pdf" TargetMode="External"/><Relationship Id="rId56" Type="http://schemas.openxmlformats.org/officeDocument/2006/relationships/hyperlink" Target="http://ec.europa.eu/social/main.jsp?catId=738&amp;langId=en&amp;pubId=8072" TargetMode="External"/><Relationship Id="rId64" Type="http://schemas.openxmlformats.org/officeDocument/2006/relationships/hyperlink" Target="https://eur-lex.europa.eu/legal-content/MT/TXT/?uri=uriserv:OJ.L_.2018.328.01.0001.01.MLT&amp;toc=OJ:L:2018:328:FULL" TargetMode="External"/><Relationship Id="rId69" Type="http://schemas.openxmlformats.org/officeDocument/2006/relationships/hyperlink" Target="https://ec.europa.eu/digital-single-market/en/news/quality-public-administration-toolbox-practitioners" TargetMode="External"/><Relationship Id="rId77" Type="http://schemas.openxmlformats.org/officeDocument/2006/relationships/hyperlink" Target="https://www.eea.europa.eu/soer" TargetMode="External"/><Relationship Id="rId8" Type="http://schemas.openxmlformats.org/officeDocument/2006/relationships/hyperlink" Target="https://www.consilium.europa.eu/nl/press/press-releases/2018/12/19/single-use-plastics-presidency-reaches-provisional-agreement-with-parliament/" TargetMode="External"/><Relationship Id="rId51" Type="http://schemas.openxmlformats.org/officeDocument/2006/relationships/hyperlink" Target="http://ec.europa.eu/environment/chemicals/index_en.htm" TargetMode="External"/><Relationship Id="rId72" Type="http://schemas.openxmlformats.org/officeDocument/2006/relationships/hyperlink" Target="https://eur-lex.europa.eu/legal-content/MT/TXT/?uri=celex:32013L0037" TargetMode="External"/><Relationship Id="rId80" Type="http://schemas.openxmlformats.org/officeDocument/2006/relationships/hyperlink" Target="https://ec.europa.eu/social/main.jsp?catId=738&amp;langId=en&amp;pubId=8055&amp;type=2&amp;furtherPubs=no" TargetMode="External"/><Relationship Id="rId85" Type="http://schemas.openxmlformats.org/officeDocument/2006/relationships/hyperlink" Target="http://eur-lex.europa.eu/legal-content/MT/TXT/PDF/?uri=CELEX:52017DC0198&amp;qid=1526058382342&amp;from=MT" TargetMode="External"/><Relationship Id="rId3" Type="http://schemas.openxmlformats.org/officeDocument/2006/relationships/hyperlink" Target="https://eur-lex.europa.eu/legal-content/MT/TXT/?uri=COM:2016:316:FIN" TargetMode="External"/><Relationship Id="rId12" Type="http://schemas.openxmlformats.org/officeDocument/2006/relationships/hyperlink" Target="http://ec.europa.eu/environment/waste/pdf/waste_legislation_implementation_report.pdf" TargetMode="External"/><Relationship Id="rId17" Type="http://schemas.openxmlformats.org/officeDocument/2006/relationships/hyperlink" Target="https://eur-lex.europa.eu/legal-content/MT/TXT/?uri=CELEX:32018L0410" TargetMode="External"/><Relationship Id="rId25" Type="http://schemas.openxmlformats.org/officeDocument/2006/relationships/hyperlink" Target="https://eur-lex.europa.eu/legal-content/MT/TXT/?uri=CELEX:32009L0147" TargetMode="External"/><Relationship Id="rId33" Type="http://schemas.openxmlformats.org/officeDocument/2006/relationships/hyperlink" Target="https://eur-lex.europa.eu/legal-content/MT/TXT/?qid=1526552009832&amp;uri=COM:2018:330:FIN" TargetMode="External"/><Relationship Id="rId38" Type="http://schemas.openxmlformats.org/officeDocument/2006/relationships/hyperlink" Target="http://ec.europa.eu/environment/life/project/Projects/index.cfm?fuseaction=search.dspPage&amp;n_proj_id=5440" TargetMode="External"/><Relationship Id="rId46" Type="http://schemas.openxmlformats.org/officeDocument/2006/relationships/hyperlink" Target="http://eur-lex.europa.eu/legal-content/MT/TXT/?uri=CELEX:31991L0676" TargetMode="External"/><Relationship Id="rId59" Type="http://schemas.openxmlformats.org/officeDocument/2006/relationships/hyperlink" Target="http://ec.europa.eu/environment/legal/pdf/C_2018_10_F1_COMMISSION_DECISION_EN_V13_P1_959398.pdf" TargetMode="External"/><Relationship Id="rId67" Type="http://schemas.openxmlformats.org/officeDocument/2006/relationships/hyperlink" Target="https://ec.europa.eu/digital-single-market/en/european-egovernment-action-plan-2016-2020" TargetMode="External"/><Relationship Id="rId20" Type="http://schemas.openxmlformats.org/officeDocument/2006/relationships/hyperlink" Target="http://ec.europa.eu/regional_policy/mt/policy/cooperation/macro-regional-strategies/" TargetMode="External"/><Relationship Id="rId41" Type="http://schemas.openxmlformats.org/officeDocument/2006/relationships/hyperlink" Target="https://publications.europa.eu/mt/publication-detail/-/publication/2a754add-32fb-11e8-b5fe-01aa75ed71a1/language-mt/format-PDF/source-72304101" TargetMode="External"/><Relationship Id="rId54" Type="http://schemas.openxmlformats.org/officeDocument/2006/relationships/hyperlink" Target="https://ec.europa.eu/agriculture/sites/agriculture/files/exec-sum_en.pdf" TargetMode="External"/><Relationship Id="rId62" Type="http://schemas.openxmlformats.org/officeDocument/2006/relationships/hyperlink" Target="http://ec.europa.eu/environment/aarhus/pdf/notice_accesstojustice.pdf" TargetMode="External"/><Relationship Id="rId70" Type="http://schemas.openxmlformats.org/officeDocument/2006/relationships/hyperlink" Target="https://eur-lex.europa.eu/legal-content/MT/ALL/?uri=CELEX:32007L0002" TargetMode="External"/><Relationship Id="rId75" Type="http://schemas.openxmlformats.org/officeDocument/2006/relationships/hyperlink" Target="https://ec.europa.eu/transparency/regdoc/rep/1/2015/EN/1-2015-614-EN-F1-1.PDF" TargetMode="External"/><Relationship Id="rId83" Type="http://schemas.openxmlformats.org/officeDocument/2006/relationships/hyperlink" Target="http://ec.europa.eu/environment/air/pdf/clean_air_for_all.pdf" TargetMode="External"/><Relationship Id="rId1" Type="http://schemas.openxmlformats.org/officeDocument/2006/relationships/hyperlink" Target="https://eur-lex.europa.eu/legal-content/MT/TXT/PDF/?uri=CELEX:52017DC0063&amp;from=MT" TargetMode="External"/><Relationship Id="rId6" Type="http://schemas.openxmlformats.org/officeDocument/2006/relationships/hyperlink" Target="https://eur-lex.europa.eu/legal-content/MT/TXT/?uri=OJ:L:2018:150:TOC" TargetMode="External"/><Relationship Id="rId15" Type="http://schemas.openxmlformats.org/officeDocument/2006/relationships/hyperlink" Target="https://www.ipcc.ch/sr15/" TargetMode="External"/><Relationship Id="rId23" Type="http://schemas.openxmlformats.org/officeDocument/2006/relationships/hyperlink" Target="https://eur-lex.europa.eu/legal-content/MT/TXT/?uri=CELEX:52011DC0244" TargetMode="External"/><Relationship Id="rId28" Type="http://schemas.openxmlformats.org/officeDocument/2006/relationships/hyperlink" Target="https://eur-lex.europa.eu/legal-content/MT/TXT/?qid=1417443504720&amp;uri=CELEX:32014R1143" TargetMode="External"/><Relationship Id="rId36" Type="http://schemas.openxmlformats.org/officeDocument/2006/relationships/hyperlink" Target="https://www.sciencedirect.com/science/article/pii/S0013935118303086" TargetMode="External"/><Relationship Id="rId49" Type="http://schemas.openxmlformats.org/officeDocument/2006/relationships/hyperlink" Target="https://ec.europa.eu/info/events/eu-water-conference-2018_en" TargetMode="External"/><Relationship Id="rId57" Type="http://schemas.openxmlformats.org/officeDocument/2006/relationships/hyperlink" Target="https://eur-lex.europa.eu/legal-content/MT/ALL/?uri=COM:2017:63:FIN" TargetMode="External"/><Relationship Id="rId10" Type="http://schemas.openxmlformats.org/officeDocument/2006/relationships/hyperlink" Target="http://ec.europa.eu/environment/waste/pdf/waste_legislation_implementation_report.pdf" TargetMode="External"/><Relationship Id="rId31" Type="http://schemas.openxmlformats.org/officeDocument/2006/relationships/hyperlink" Target="http://connectcarpathians.ro/?lang=en" TargetMode="External"/><Relationship Id="rId44" Type="http://schemas.openxmlformats.org/officeDocument/2006/relationships/hyperlink" Target="http://eur-lex.europa.eu/legal-content/MT/TXT/?uri=CELEX:31998L0083" TargetMode="External"/><Relationship Id="rId52" Type="http://schemas.openxmlformats.org/officeDocument/2006/relationships/hyperlink" Target="https://eur-lex.europa.eu/legal-content/MT/ALL/?uri=COM:2018:0116:FIN" TargetMode="External"/><Relationship Id="rId60" Type="http://schemas.openxmlformats.org/officeDocument/2006/relationships/hyperlink" Target="http://ec.europa.eu/environment/integration/green_semester/expert_group_en.htm" TargetMode="External"/><Relationship Id="rId65" Type="http://schemas.openxmlformats.org/officeDocument/2006/relationships/hyperlink" Target="http://data.consilium.europa.eu/doc/document/ST-9450-2017-INIT/mt/pdf" TargetMode="External"/><Relationship Id="rId73" Type="http://schemas.openxmlformats.org/officeDocument/2006/relationships/hyperlink" Target="http://www.eis-data.eu/" TargetMode="External"/><Relationship Id="rId78" Type="http://schemas.openxmlformats.org/officeDocument/2006/relationships/hyperlink" Target="https://www.eea.europa.eu/publications/environmental-indicator-report-2018" TargetMode="External"/><Relationship Id="rId81" Type="http://schemas.openxmlformats.org/officeDocument/2006/relationships/hyperlink" Target="https://publications.europa.eu/en/publication-detail/-/publication/51888c17-960b-11e8-8bc1-01aa75ed71a1" TargetMode="External"/><Relationship Id="rId86" Type="http://schemas.openxmlformats.org/officeDocument/2006/relationships/hyperlink" Target="http://ec.europa.eu/environment/nature/legislation/fitness_check/action_plan/factshee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8ECC67-CB6E-4AF9-969E-E84B571EE334}">
  <ds:schemaRef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A929B3B-8303-4C6E-8650-F5C4817F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D9492-40FD-4CEF-A99A-8E43897D90CC}">
  <ds:schemaRefs>
    <ds:schemaRef ds:uri="http://schemas.microsoft.com/sharepoint/v3/contenttype/forms"/>
  </ds:schemaRefs>
</ds:datastoreItem>
</file>

<file path=customXml/itemProps4.xml><?xml version="1.0" encoding="utf-8"?>
<ds:datastoreItem xmlns:ds="http://schemas.openxmlformats.org/officeDocument/2006/customXml" ds:itemID="{071555AD-EE1F-464D-978C-743F2AA0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6961</Words>
  <Characters>52490</Characters>
  <Application>Microsoft Office Word</Application>
  <DocSecurity>0</DocSecurity>
  <Lines>699</Lines>
  <Paragraphs>180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25</cp:revision>
  <cp:lastPrinted>2019-02-01T15:12:00Z</cp:lastPrinted>
  <dcterms:created xsi:type="dcterms:W3CDTF">2019-03-19T08:41:00Z</dcterms:created>
  <dcterms:modified xsi:type="dcterms:W3CDTF">2019-03-25T10:34:00Z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0x01010078E97EA221F96E4B9233A8505060E8B9</vt:lpwstr>
  </property>
  <property fmtid="{D5CDD505-2E9C-101B-9397-08002B2CF9AE}" pid="3" name="Created using">
    <vt:lpwstr>LW 6.0.1, Build 20180503</vt:lpwstr>
  </property>
  <property fmtid="{D5CDD505-2E9C-101B-9397-08002B2CF9AE}" pid="4" name="Last edi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