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1DD4CC4-C7B1-49B2-ABFA-F8F052F7508A" style="width:450.8pt;height:485.2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ListParagraph"/>
        <w:numPr>
          <w:ilvl w:val="0"/>
          <w:numId w:val="5"/>
        </w:numPr>
        <w:spacing w:line="240" w:lineRule="auto"/>
        <w:rPr>
          <w:b/>
          <w:bCs/>
          <w:noProof/>
          <w:sz w:val="28"/>
          <w:szCs w:val="28"/>
        </w:rPr>
      </w:pPr>
      <w:bookmarkStart w:id="1" w:name="_GoBack"/>
      <w:bookmarkEnd w:id="1"/>
      <w:r>
        <w:rPr>
          <w:b/>
          <w:noProof/>
          <w:sz w:val="28"/>
        </w:rPr>
        <w:lastRenderedPageBreak/>
        <w:t xml:space="preserve">Ympäristölainsäädännön täytäntöönpanon puutteet maksavat eurooppalaisille noin 55 miljardia vuodessa </w:t>
      </w:r>
    </w:p>
    <w:p>
      <w:pPr>
        <w:rPr>
          <w:rFonts w:cs="Times New Roman"/>
          <w:noProof/>
        </w:rPr>
      </w:pPr>
      <w:r>
        <w:rPr>
          <w:noProof/>
        </w:rPr>
        <w:t xml:space="preserve">Euroopan unionin ympäristöpolitiikan ja -lainsäädännön täytäntöönpano on välttämätöntä terveellisen ympäristön kannalta. Päätösten ja täytäntöönpanon välisen kuilun kaventaminen on ratkaisevan tärkeää kansalaisiin kohdistuvien hyvien ympäristövaikutusten takaamiseksi, taloudellisten toimijoiden tasapuolisten toimintaedellytysten säilyttämiseksi ja mahdollisuuksien luomiseksi sosiaalisille ja teknologisille innovaatioille ja taloudelliselle kehitykselle. Uuden tutkimuksen mukaan nykyisen ympäristölainsäädännön täytäntöönpanon puutteista yhteiskunnalle aiheutuvat kokonaiskustannukset ovat vuosittain noin </w:t>
      </w:r>
      <w:r>
        <w:rPr>
          <w:noProof/>
          <w:color w:val="000000" w:themeColor="text1"/>
        </w:rPr>
        <w:t>55 miljardia euroa</w:t>
      </w:r>
      <w:r>
        <w:rPr>
          <w:noProof/>
          <w:vertAlign w:val="superscript"/>
        </w:rPr>
        <w:footnoteReference w:id="2"/>
      </w:r>
      <w:r>
        <w:rPr>
          <w:noProof/>
        </w:rPr>
        <w:t xml:space="preserve">. </w:t>
      </w:r>
    </w:p>
    <w:p>
      <w:pPr>
        <w:rPr>
          <w:rFonts w:cs="Times New Roman"/>
          <w:noProof/>
        </w:rPr>
      </w:pPr>
      <w:r>
        <w:rPr>
          <w:noProof/>
        </w:rPr>
        <w:t xml:space="preserve">Ympäristölainsäädännön täytäntöönpanon arvioinnin tarkoituksena on parantaa EU:n ympäristöpolitiikan ja </w:t>
      </w:r>
      <w:r>
        <w:rPr>
          <w:noProof/>
        </w:rPr>
        <w:noBreakHyphen/>
        <w:t xml:space="preserve">lainsäädännön täytäntöönpanoa. Tämä tapahtuu tunnistamalla täytäntöönpanon puutteiden syyt ja poistamalla ympäristönäkökohtien systeemiset esteet politiikan eri osa-alueilla. Arvioinnissa kartoitetaan kunkin jäsenvaltion suurimmat haasteet sekä nykyiset hyvät käytännöt ja esimerkit onnistumisista. </w:t>
      </w:r>
    </w:p>
    <w:p>
      <w:pPr>
        <w:rPr>
          <w:rFonts w:cs="Times New Roman"/>
          <w:noProof/>
        </w:rPr>
      </w:pPr>
      <w:r>
        <w:rPr>
          <w:noProof/>
        </w:rPr>
        <w:t>Ensimmäinen ympäristölainsäädännön täytäntöönpanon arviointipaketti hyväksyttiin helmikuussa 2017</w:t>
      </w:r>
      <w:r>
        <w:rPr>
          <w:noProof/>
          <w:vertAlign w:val="superscript"/>
        </w:rPr>
        <w:footnoteReference w:id="3"/>
      </w:r>
      <w:r>
        <w:rPr>
          <w:noProof/>
        </w:rPr>
        <w:t xml:space="preserve">. Sen hyväksymisen jälkeen useat jäsenvaltiot ovat käynnistäneet kansallisia ympäristölainsäädännön täytäntöönpanon arviointia koskevia keskusteluja maaraporteissa määritellyistä ensisijaisista aihepiireistä. Usein näihin keskusteluihin ovat osallistuneet alueelliset ja paikalliset viranomaiset ja keskeiset sidosryhmät. Lisäksi on järjestetty useita alakohtaisia keskusteluja. Pian ensimmäisen paketin hyväksymisen jälkeen käynnistettiin TAIEX-EIR Peer to Peer </w:t>
      </w:r>
      <w:r>
        <w:rPr>
          <w:noProof/>
        </w:rPr>
        <w:noBreakHyphen/>
        <w:t>ohjelma, jonka tarkoituksena on edistää jäsenvaltioiden sekä alue- ja paikallisviranomaisten välistä vertaisoppimista täytäntöönpanokäytäntöjen parantamisessa</w:t>
      </w:r>
      <w:r>
        <w:rPr>
          <w:noProof/>
          <w:vertAlign w:val="superscript"/>
        </w:rPr>
        <w:footnoteReference w:id="4"/>
      </w:r>
      <w:r>
        <w:rPr>
          <w:noProof/>
        </w:rPr>
        <w:t xml:space="preserve">. </w:t>
      </w:r>
    </w:p>
    <w:p>
      <w:pPr>
        <w:rPr>
          <w:rFonts w:cs="Times New Roman"/>
          <w:noProof/>
        </w:rPr>
      </w:pPr>
      <w:r>
        <w:rPr>
          <w:noProof/>
        </w:rPr>
        <w:t xml:space="preserve">Nyt käsillä oleva arviointipaketti sisältää tämän tiedonannon, liitteen ensisijaisista toimista, politiikan tausta-asiakirjan ja 28 maaraporttia, joissa arvioidaan EU:n ympäristösäännöstön pääkohtien täytäntöönpanon ja tavoitteiden nykytilannetta ja kunkin jäsenvaltion suurimpia haasteita ja mahdollisuuksia. </w:t>
      </w:r>
    </w:p>
    <w:p>
      <w:pPr>
        <w:rPr>
          <w:rFonts w:cs="Times New Roman"/>
          <w:noProof/>
        </w:rPr>
      </w:pPr>
      <w:r>
        <w:rPr>
          <w:noProof/>
        </w:rPr>
        <w:t>Rikkomusmenettelyt ovat edelleen tärkeä väline oikeudellisten velvoitteiden</w:t>
      </w:r>
      <w:r>
        <w:rPr>
          <w:noProof/>
          <w:vertAlign w:val="superscript"/>
        </w:rPr>
        <w:footnoteReference w:id="5"/>
      </w:r>
      <w:r>
        <w:rPr>
          <w:noProof/>
        </w:rPr>
        <w:t xml:space="preserve"> asianmukaisen täytäntöönpanon varmistamisessa, ja näin ollen ympäristölainsäädännön täytäntöönpanon arviointi ei rajoita perussopimusten mukaisia ja Euroopan unionin tuomioistuimen valvonnassa toteutettavia komission täytäntöönpanotoimia</w:t>
      </w:r>
      <w:r>
        <w:rPr>
          <w:noProof/>
          <w:vertAlign w:val="superscript"/>
        </w:rPr>
        <w:footnoteReference w:id="6"/>
      </w:r>
      <w:r>
        <w:rPr>
          <w:noProof/>
        </w:rPr>
        <w:t>. Ympäristölainsäädännön täytäntöönpanon arvioinnin perusteella voidaan tehostaa EU:n ympäristölainsäädännön noudattamista tarttumalla heikon täytäntöönpanon perussyihin ja edistämällä tehokkaampaa soveltamista, mikäli jäsenvaltiot toteuttavat nopeasti ja määrätietoisesti ainakin ensisijaiset toimet.</w:t>
      </w:r>
    </w:p>
    <w:p>
      <w:pPr>
        <w:rPr>
          <w:rFonts w:cs="Times New Roman"/>
          <w:noProof/>
        </w:rPr>
      </w:pPr>
      <w:r>
        <w:rPr>
          <w:noProof/>
        </w:rPr>
        <w:t xml:space="preserve">Arviointipaketissa kuvataan ympäristölainsäädännön täytäntöönpanon tilannetta tammikuussa 2019, ja sen tavoitteena on edistää viranomaisten ja sidosryhmien yhteistyötä sellaisten räätälöityjen ratkaisujen löytämiseksi, joiden avulla täytäntöönpanon puutteisiin voidaan tarttua tehokkaammin. Erityisesti vastauksena jäsenvaltioiden, Euroopan parlamentin, talous- ja sosiaalikomitean, alueiden komitean ja eri sidosryhmien ensimmäisellä kierroksella antamaan palautteeseen vuoden 2019 maaraporteissa käsitellään vuoden 2017 maaraportteihin verrattuna myös muun muassa seuraavia uusia teemoja: ilmastonmuutos, haitalliset vieraslajit, teollisuuden päästöt ja kemikaalit sekä uudet tiedot. Uusien maaraporttien rakenne on kuitenkin sama kuin vuoden 2017 ympäristölainsäädännön täytäntöönpanon arvioinnissa. </w:t>
      </w:r>
    </w:p>
    <w:p>
      <w:pPr>
        <w:pStyle w:val="ListParagraph"/>
        <w:numPr>
          <w:ilvl w:val="0"/>
          <w:numId w:val="5"/>
        </w:numPr>
        <w:spacing w:before="240"/>
        <w:rPr>
          <w:rFonts w:cs="Times New Roman"/>
          <w:noProof/>
          <w:sz w:val="28"/>
          <w:szCs w:val="28"/>
        </w:rPr>
      </w:pPr>
      <w:r>
        <w:rPr>
          <w:b/>
          <w:noProof/>
          <w:sz w:val="28"/>
        </w:rPr>
        <w:t>Täytäntöönpanon tila: keskeiset prioriteetit</w:t>
      </w:r>
    </w:p>
    <w:p>
      <w:pPr>
        <w:pStyle w:val="ListParagraph"/>
        <w:ind w:left="360"/>
        <w:rPr>
          <w:rFonts w:cs="Times New Roman"/>
          <w:noProof/>
          <w:sz w:val="28"/>
        </w:rPr>
      </w:pPr>
    </w:p>
    <w:p>
      <w:pPr>
        <w:rPr>
          <w:rFonts w:cs="Times New Roman"/>
          <w:b/>
          <w:bCs/>
          <w:noProof/>
          <w:sz w:val="24"/>
          <w:szCs w:val="24"/>
        </w:rPr>
      </w:pPr>
      <w:r>
        <w:rPr>
          <w:b/>
          <w:noProof/>
          <w:sz w:val="24"/>
        </w:rPr>
        <w:t>2.1. Muutetaan EU resurssitehokkaaksi, vihreäksi ja kilpailukykyiseksi vähähiiliseksi kiertotaloudeksi</w:t>
      </w:r>
    </w:p>
    <w:p>
      <w:pPr>
        <w:rPr>
          <w:rFonts w:cs="Times New Roman"/>
          <w:noProof/>
        </w:rPr>
      </w:pPr>
      <w:r>
        <w:rPr>
          <w:b/>
          <w:noProof/>
        </w:rPr>
        <w:t>Siirtyminen lineaaritaloudesta kiertotalouteen mahdollistaa taloutemme muuttamisen, myös kestävämmäksi</w:t>
      </w:r>
      <w:r>
        <w:rPr>
          <w:noProof/>
        </w:rPr>
        <w:t xml:space="preserve">. Tässä prosessissa siirrytään toimintamalliin, jossa tuotteita, materiaaleja ja luonnonvaroja ylläpidetään ja käytetään niin pitkään kuin mahdollista. Hyvä jätteen syntymisen ehkäiseminen ja jätehuolto ovat olennainen osa kiertotaloutta, ja niiden avulla paitsi ehkäistään jätteen kielteisiä vaikutuksia ympäristöön ja terveyteen, myös ohjataan jätettä hyötykäyttöön. </w:t>
      </w:r>
    </w:p>
    <w:p>
      <w:pPr>
        <w:rPr>
          <w:rFonts w:cs="Times New Roman"/>
          <w:noProof/>
        </w:rPr>
      </w:pPr>
      <w:r>
        <w:rPr>
          <w:noProof/>
          <w:lang w:val="en-GB" w:eastAsia="en-GB" w:bidi="ar-SA"/>
        </w:rPr>
        <w:drawing>
          <wp:anchor distT="0" distB="0" distL="114300" distR="114300" simplePos="0" relativeHeight="251662336" behindDoc="1" locked="0" layoutInCell="1" allowOverlap="1">
            <wp:simplePos x="0" y="0"/>
            <wp:positionH relativeFrom="column">
              <wp:posOffset>0</wp:posOffset>
            </wp:positionH>
            <wp:positionV relativeFrom="paragraph">
              <wp:posOffset>190500</wp:posOffset>
            </wp:positionV>
            <wp:extent cx="2571750" cy="3600450"/>
            <wp:effectExtent l="0" t="0" r="0" b="0"/>
            <wp:wrapThrough wrapText="bothSides">
              <wp:wrapPolygon edited="0">
                <wp:start x="2720" y="0"/>
                <wp:lineTo x="1760" y="343"/>
                <wp:lineTo x="0" y="1486"/>
                <wp:lineTo x="0" y="18971"/>
                <wp:lineTo x="480" y="20229"/>
                <wp:lineTo x="2400" y="21029"/>
                <wp:lineTo x="2560" y="21257"/>
                <wp:lineTo x="18720" y="21257"/>
                <wp:lineTo x="19040" y="21029"/>
                <wp:lineTo x="20800" y="20229"/>
                <wp:lineTo x="21440" y="18629"/>
                <wp:lineTo x="21440" y="1600"/>
                <wp:lineTo x="19360" y="229"/>
                <wp:lineTo x="18560" y="0"/>
                <wp:lineTo x="272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0" cy="360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Vuodesta 2017 lähtien komissio on edennyt antamansa kiertotaloutta koskevan toimintasuunnitelman</w:t>
      </w:r>
      <w:r>
        <w:rPr>
          <w:noProof/>
          <w:vertAlign w:val="superscript"/>
        </w:rPr>
        <w:footnoteReference w:id="7"/>
      </w:r>
      <w:r>
        <w:rPr>
          <w:noProof/>
        </w:rPr>
        <w:t xml:space="preserve"> täytäntöönpanossa. Siihen on kuulunut muoveja kiertotaloudessa koskevan EU:n strategian julkaiseminen vuoden 2018 kiertotalouspaketissa</w:t>
      </w:r>
      <w:r>
        <w:rPr>
          <w:noProof/>
          <w:vertAlign w:val="superscript"/>
        </w:rPr>
        <w:footnoteReference w:id="8"/>
      </w:r>
      <w:r>
        <w:rPr>
          <w:noProof/>
        </w:rPr>
        <w:t xml:space="preserve"> ja lainsäätäjien jätelainsäädäntöön tekemien muutosten hyväksyminen</w:t>
      </w:r>
      <w:r>
        <w:rPr>
          <w:noProof/>
          <w:vertAlign w:val="superscript"/>
        </w:rPr>
        <w:footnoteReference w:id="9"/>
      </w:r>
      <w:r>
        <w:rPr>
          <w:noProof/>
        </w:rPr>
        <w:t>. Komissio on niin ikään hyväksynyt kiertotalouden seurantakehyksen</w:t>
      </w:r>
      <w:r>
        <w:rPr>
          <w:noProof/>
          <w:vertAlign w:val="superscript"/>
        </w:rPr>
        <w:footnoteReference w:id="10"/>
      </w:r>
      <w:r>
        <w:rPr>
          <w:noProof/>
        </w:rPr>
        <w:t xml:space="preserve"> uutena välineenä, joka auttaa päättäjiä tunnistamaan hyviä käytäntöjä ja asettamaan tärkeysjärjestykseen lisätoimia tarvitsevat alat. Lokakuussa 2018 komissio esitti uuden tiedonannon ”Kestävä biotalous Euroopalle”</w:t>
      </w:r>
      <w:r>
        <w:rPr>
          <w:noProof/>
          <w:vertAlign w:val="superscript"/>
        </w:rPr>
        <w:footnoteReference w:id="11"/>
      </w:r>
      <w:r>
        <w:rPr>
          <w:noProof/>
        </w:rPr>
        <w:t>, jolla pyritään lujittamaan talouden, yhteiskunnan ja ympäristön välistä yhteyttä. Vuonna 2018 tehty ehdotus joidenkin muovien ympäristövaikutusten vähentämisestä</w:t>
      </w:r>
      <w:r>
        <w:rPr>
          <w:noProof/>
          <w:vertAlign w:val="superscript"/>
        </w:rPr>
        <w:footnoteReference w:id="12"/>
      </w:r>
      <w:r>
        <w:rPr>
          <w:noProof/>
        </w:rPr>
        <w:t xml:space="preserve"> on myös osoitus EU:n yhteisestä pyrkimyksestä ratkaista tehokkaammin muovien suunnitteluun, tuotantoon ja hävittämiseen liittyviä ympäristöongelmia. Ehdotuksen täytäntöönpanoa arvioidaan seuraavilla ympäristölainsäädännön täytäntöönpanon arviointikierroksilla. </w:t>
      </w:r>
    </w:p>
    <w:p>
      <w:pPr>
        <w:rPr>
          <w:rFonts w:cs="Times New Roman"/>
          <w:noProof/>
        </w:rPr>
      </w:pPr>
      <w:r>
        <w:rPr>
          <w:noProof/>
        </w:rPr>
        <w:t>Lisäksi komissio on hiljattain ehdottanut useita vaatimuksia, joilla edistetään tuotteiden käyttöiän pidentämistä</w:t>
      </w:r>
      <w:r>
        <w:rPr>
          <w:noProof/>
          <w:vertAlign w:val="superscript"/>
        </w:rPr>
        <w:footnoteReference w:id="13"/>
      </w:r>
      <w:r>
        <w:rPr>
          <w:noProof/>
        </w:rPr>
        <w:t>. Kuluttajansuojaviranomaiset keskittyvät työssään yhä enemmän tuotteiden ennenaikaisesta vanhenemisesta johtuvaan ongelmaan. Komissio jatkaa kehityssuunnan seuraamista kuluttajansuojaa koskevan yhteistyön puitteissa</w:t>
      </w:r>
      <w:r>
        <w:rPr>
          <w:noProof/>
          <w:vertAlign w:val="superscript"/>
        </w:rPr>
        <w:footnoteReference w:id="14"/>
      </w:r>
      <w:r>
        <w:rPr>
          <w:noProof/>
        </w:rPr>
        <w:t xml:space="preserve">. </w:t>
      </w:r>
    </w:p>
    <w:p>
      <w:pPr>
        <w:rPr>
          <w:rFonts w:cs="Times New Roman"/>
          <w:noProof/>
        </w:rPr>
      </w:pPr>
      <w:r>
        <w:rPr>
          <w:noProof/>
        </w:rPr>
        <w:t>Jätehuoltoa koskevien EU:n vaatimusten noudattamisessa on otettu pieniä edistysaskeleita. EU:n tasolla kierrätysaste on noussut vuoden 2014 43,7 prosentista 46,4 prosenttiin vuonna 2017 ja kaatopaikoille sijoitetun yhdyskuntajätteen määrä väheni 20,6 prosenttia vuosina 2013–2017</w:t>
      </w:r>
      <w:r>
        <w:rPr>
          <w:noProof/>
          <w:vertAlign w:val="superscript"/>
        </w:rPr>
        <w:footnoteReference w:id="15"/>
      </w:r>
      <w:r>
        <w:rPr>
          <w:noProof/>
        </w:rPr>
        <w:t>. Tilanne vaihtelee kuitenkin huomattavasti eri jäsenvaltioissa. Jätteidenkäsittelyvelvoitteita ei vieläkään täytetä kokonaisuudessaan, ja erot toiminnassa ovat EU:ssa edelleen suuria.</w:t>
      </w:r>
    </w:p>
    <w:p>
      <w:pPr>
        <w:rPr>
          <w:rFonts w:cs="Times New Roman"/>
          <w:noProof/>
        </w:rPr>
      </w:pPr>
      <w:r>
        <w:rPr>
          <w:noProof/>
        </w:rPr>
        <w:t>Niille jäsenvaltioille, jotka ovat vaarassa jäädä yhdyskuntajätteen uudelleenkäyttöön valmistelulle / kierrätykselle asetetusta, vuoteen 2020 ulottuvasta tavoitteesta, komissio on esittänyt varhaisvaroituskertomuksen</w:t>
      </w:r>
      <w:r>
        <w:rPr>
          <w:noProof/>
          <w:vertAlign w:val="superscript"/>
        </w:rPr>
        <w:footnoteReference w:id="16"/>
      </w:r>
      <w:r>
        <w:rPr>
          <w:noProof/>
        </w:rPr>
        <w:t xml:space="preserve">, joka sisältää etenemissuunnitelman EU:n jätelainsäädännön täytäntöönpanemiseksi. </w:t>
      </w:r>
    </w:p>
    <w:p>
      <w:pPr>
        <w:rPr>
          <w:rFonts w:cs="Times New Roman"/>
          <w:noProof/>
        </w:rPr>
      </w:pPr>
    </w:p>
    <w:p>
      <w:pPr>
        <w:spacing w:after="200" w:line="276" w:lineRule="auto"/>
        <w:rPr>
          <w:rFonts w:cs="Times New Roman"/>
          <w:i/>
          <w:iCs/>
          <w:noProof/>
        </w:rPr>
      </w:pPr>
      <w:r>
        <w:rPr>
          <w:i/>
          <w:noProof/>
        </w:rPr>
        <w:t>Politiikanalaa koskevat tulokset</w:t>
      </w:r>
    </w:p>
    <w:p>
      <w:pPr>
        <w:numPr>
          <w:ilvl w:val="0"/>
          <w:numId w:val="3"/>
        </w:numPr>
        <w:spacing w:after="200" w:line="240" w:lineRule="auto"/>
        <w:rPr>
          <w:rFonts w:cs="Times New Roman"/>
          <w:i/>
          <w:iCs/>
          <w:noProof/>
        </w:rPr>
      </w:pPr>
      <w:r>
        <w:rPr>
          <w:i/>
          <w:noProof/>
        </w:rPr>
        <w:t>Kiertotalouden politiikkakehystä on vahvistettu vuodesta 2017. Usean jäsenvaltion</w:t>
      </w:r>
      <w:r>
        <w:rPr>
          <w:i/>
          <w:noProof/>
          <w:vertAlign w:val="superscript"/>
        </w:rPr>
        <w:footnoteReference w:id="17"/>
      </w:r>
      <w:r>
        <w:rPr>
          <w:i/>
          <w:noProof/>
        </w:rPr>
        <w:t xml:space="preserve"> pitäisi kuitenkin panna paremmin täytäntöön kiertotalouden periaatteet eri aloilla, kuten veden ja energian säästämisessä, jätteen syntymisen estämisessä, materiaalien kierrättämisessä, uudelleenkäytön ja korjaamisen edistämisessä ja uusioraaka-aineiden hyödyntämisessä.</w:t>
      </w:r>
    </w:p>
    <w:p>
      <w:pPr>
        <w:numPr>
          <w:ilvl w:val="0"/>
          <w:numId w:val="3"/>
        </w:numPr>
        <w:spacing w:after="200" w:line="240" w:lineRule="auto"/>
        <w:rPr>
          <w:rFonts w:cs="Times New Roman"/>
          <w:b/>
          <w:bCs/>
          <w:i/>
          <w:iCs/>
          <w:noProof/>
        </w:rPr>
      </w:pPr>
      <w:r>
        <w:rPr>
          <w:i/>
          <w:noProof/>
        </w:rPr>
        <w:t>Joidenkin jäsenvaltioiden</w:t>
      </w:r>
      <w:r>
        <w:rPr>
          <w:i/>
          <w:noProof/>
          <w:vertAlign w:val="superscript"/>
        </w:rPr>
        <w:footnoteReference w:id="18"/>
      </w:r>
      <w:r>
        <w:rPr>
          <w:i/>
          <w:noProof/>
        </w:rPr>
        <w:t xml:space="preserve"> olisi luotava kannustimia resurssitehokkuutta koskeville toimenpiteille, parannettava ekoinnovaatiotoiminnan tasoa, lisättävä tietoisuutta ja edistettävä vapaaehtoisten välineiden, kuten EU:n ympäristömerkin ja ympäristöasioiden hallinta- ja auditointijärjestelmän, käyttöä, lisättävä kierrätys- ja kiertotalouden toimia pk-yrityksissä ja helpotettava ympäristöystävällisiä investointeja ja rahoituksensaantia. </w:t>
      </w:r>
    </w:p>
    <w:p>
      <w:pPr>
        <w:numPr>
          <w:ilvl w:val="0"/>
          <w:numId w:val="3"/>
        </w:numPr>
        <w:spacing w:line="240" w:lineRule="auto"/>
        <w:ind w:left="357" w:hanging="357"/>
        <w:rPr>
          <w:rFonts w:cs="Times New Roman"/>
          <w:i/>
          <w:iCs/>
          <w:noProof/>
        </w:rPr>
      </w:pPr>
      <w:r>
        <w:rPr>
          <w:i/>
          <w:noProof/>
        </w:rPr>
        <w:t>Jätteen syntymisen ehkäiseminen on yhä keskeinen haaste kaikissa jäsenvaltioissa, myös niissä, joissa kierrätysaste on korkea. Kuudessa jäsenvaltiossa syntyy vähintään kaksi kertaa niin paljon yhdyskuntajätettä asukasta kohden kuin vähiten jätettä tuottavassa jäsenvaltiossa</w:t>
      </w:r>
      <w:r>
        <w:rPr>
          <w:i/>
          <w:noProof/>
          <w:vertAlign w:val="superscript"/>
        </w:rPr>
        <w:footnoteReference w:id="19"/>
      </w:r>
      <w:r>
        <w:rPr>
          <w:i/>
          <w:noProof/>
        </w:rPr>
        <w:t>. Lisäksi syntyvän yhdyskuntajätteen määrä on keskimäärin lisääntynyt vuodesta 2014: vain yhdeksän jäsenvaltiota on vähentänyt yhdyskuntajätteen määrää henkeä kohti vuosina 2014–2016</w:t>
      </w:r>
      <w:r>
        <w:rPr>
          <w:i/>
          <w:noProof/>
          <w:vertAlign w:val="superscript"/>
        </w:rPr>
        <w:footnoteReference w:id="20"/>
      </w:r>
      <w:r>
        <w:rPr>
          <w:i/>
          <w:noProof/>
        </w:rPr>
        <w:t>.</w:t>
      </w:r>
    </w:p>
    <w:p>
      <w:pPr>
        <w:numPr>
          <w:ilvl w:val="0"/>
          <w:numId w:val="3"/>
        </w:numPr>
        <w:spacing w:line="240" w:lineRule="auto"/>
        <w:ind w:left="357" w:hanging="357"/>
        <w:rPr>
          <w:rFonts w:cs="Times New Roman"/>
          <w:i/>
          <w:iCs/>
          <w:noProof/>
        </w:rPr>
      </w:pPr>
      <w:r>
        <w:rPr>
          <w:i/>
          <w:noProof/>
        </w:rPr>
        <w:t>Komission saamien tietojen mukaan vain muutama jäsenvaltio on jo saavuttanut vuodelle 2020 asetetun yhdyskuntajätteen 50 prosentin kierrätystavoitteen</w:t>
      </w:r>
      <w:r>
        <w:rPr>
          <w:i/>
          <w:noProof/>
          <w:vertAlign w:val="superscript"/>
        </w:rPr>
        <w:footnoteReference w:id="21"/>
      </w:r>
      <w:r>
        <w:rPr>
          <w:i/>
          <w:noProof/>
        </w:rPr>
        <w:t xml:space="preserve"> ja moni jäsenvaltio on vaarassa jäädä tavoitteesta</w:t>
      </w:r>
      <w:r>
        <w:rPr>
          <w:i/>
          <w:noProof/>
          <w:vertAlign w:val="superscript"/>
        </w:rPr>
        <w:footnoteReference w:id="22"/>
      </w:r>
      <w:r>
        <w:rPr>
          <w:i/>
          <w:noProof/>
        </w:rPr>
        <w:t>. Voitaisiin ottaa käyttöön uusia politiikkoja ja taloudellisia välineitä ja kehittää nykyisiä (esim. kaatopaikkaverot, laajennettu tuottajavastuu, maksa itse omat jätekustannuksesi -järjestelmä), joilla edistettäisiin jätehierarkian täytäntöönpanoa ja tehtäisiin uudelleenkäytöstä ja kierrätyksestä taloudellisesti houkuttelevampaa.</w:t>
      </w:r>
    </w:p>
    <w:p>
      <w:pPr>
        <w:framePr w:hSpace="180" w:wrap="around" w:vAnchor="text" w:hAnchor="margin" w:y="222"/>
        <w:spacing w:line="240" w:lineRule="auto"/>
        <w:ind w:left="357"/>
        <w:rPr>
          <w:rFonts w:cs="Times New Roman"/>
          <w:noProof/>
        </w:rPr>
      </w:pPr>
      <w:r>
        <w:rPr>
          <w:i/>
          <w:noProof/>
        </w:rPr>
        <w:t xml:space="preserve"> </w:t>
      </w:r>
    </w:p>
    <w:tbl>
      <w:tblPr>
        <w:tblStyle w:val="TableGrid"/>
        <w:tblpPr w:leftFromText="180" w:rightFromText="180" w:vertAnchor="text" w:horzAnchor="margin" w:tblpY="222"/>
        <w:tblW w:w="0" w:type="auto"/>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noProof/>
              </w:rPr>
            </w:pPr>
            <w:r>
              <w:rPr>
                <w:b/>
                <w:noProof/>
              </w:rPr>
              <w:t xml:space="preserve">Hyviä käytäntöjä: </w:t>
            </w:r>
          </w:p>
          <w:p>
            <w:pPr>
              <w:rPr>
                <w:rFonts w:eastAsia="Calibri" w:cs="Times New Roman"/>
                <w:noProof/>
              </w:rPr>
            </w:pPr>
            <w:r>
              <w:rPr>
                <w:b/>
                <w:noProof/>
              </w:rPr>
              <w:t>Slovenia</w:t>
            </w:r>
            <w:r>
              <w:rPr>
                <w:noProof/>
              </w:rPr>
              <w:t xml:space="preserve"> on osoittanut, että kiertotalouden politiikkoja ja jätehuoltoa voidaan kehittää lyhyessäkin ajassa. Kattava kiertotalousstrategia on EU:n varojen tuella vauhdittanut erilliskeräystä ja kierrätystä. </w:t>
            </w:r>
          </w:p>
          <w:p>
            <w:pPr>
              <w:spacing w:after="200" w:line="240" w:lineRule="auto"/>
              <w:rPr>
                <w:rFonts w:cs="Times New Roman"/>
                <w:noProof/>
              </w:rPr>
            </w:pPr>
            <w:r>
              <w:rPr>
                <w:b/>
                <w:noProof/>
              </w:rPr>
              <w:t xml:space="preserve">Tanska </w:t>
            </w:r>
            <w:r>
              <w:rPr>
                <w:noProof/>
              </w:rPr>
              <w:t>on hyvä esimerkki avoimesta yhteistyöstä arvoketjuissa ja kiertotaloutta edistävistä innovaatioista. Ympäristöystävällisiä tuotteita tai palveluja tarjoavien pk-yritysten määrä on merkittävästi EU:n keskiarvoa korkeampi.</w:t>
            </w:r>
          </w:p>
          <w:p>
            <w:pPr>
              <w:spacing w:after="200" w:line="240" w:lineRule="auto"/>
              <w:rPr>
                <w:rFonts w:cs="Times New Roman"/>
                <w:noProof/>
              </w:rPr>
            </w:pPr>
            <w:r>
              <w:rPr>
                <w:b/>
                <w:noProof/>
              </w:rPr>
              <w:t>Ranska</w:t>
            </w:r>
            <w:r>
              <w:rPr>
                <w:noProof/>
              </w:rPr>
              <w:t xml:space="preserve"> hyväksyi vuonna 2018 kunnianhimoisen kiertotalouden etenemissuunnitelman</w:t>
            </w:r>
            <w:r>
              <w:rPr>
                <w:noProof/>
                <w:vertAlign w:val="superscript"/>
              </w:rPr>
              <w:footnoteReference w:id="23"/>
            </w:r>
            <w:r>
              <w:rPr>
                <w:noProof/>
              </w:rPr>
              <w:t xml:space="preserve">, jonka toimien tavoitteena on vähentää luonnonvarojen käyttöä 30 prosentilla vuoteen 2030 mennessä. Suunnitelman mittavana tavoitteena on saavuttaa muovin 100-prosenttinen kierrätystavoite vuoteen 2025 mennessä, minkä arvioidaan luovan 300 000 uutta vihreää työpaikkaa. </w:t>
            </w:r>
          </w:p>
        </w:tc>
      </w:tr>
    </w:tbl>
    <w:p>
      <w:pPr>
        <w:spacing w:after="200" w:line="276" w:lineRule="auto"/>
        <w:jc w:val="left"/>
        <w:rPr>
          <w:rFonts w:cs="Times New Roman"/>
          <w:b/>
          <w:bCs/>
          <w:noProof/>
          <w:sz w:val="24"/>
          <w:szCs w:val="24"/>
        </w:rPr>
      </w:pPr>
    </w:p>
    <w:p>
      <w:pPr>
        <w:numPr>
          <w:ilvl w:val="0"/>
          <w:numId w:val="3"/>
        </w:numPr>
        <w:spacing w:line="240" w:lineRule="auto"/>
        <w:ind w:left="357" w:hanging="357"/>
        <w:rPr>
          <w:rFonts w:cs="Times New Roman"/>
          <w:noProof/>
        </w:rPr>
      </w:pPr>
      <w:r>
        <w:rPr>
          <w:i/>
          <w:noProof/>
        </w:rPr>
        <w:t>Useissa jäsenvaltioissa</w:t>
      </w:r>
      <w:r>
        <w:rPr>
          <w:i/>
          <w:noProof/>
          <w:vertAlign w:val="superscript"/>
        </w:rPr>
        <w:footnoteReference w:id="24"/>
      </w:r>
      <w:r>
        <w:rPr>
          <w:i/>
          <w:noProof/>
        </w:rPr>
        <w:t xml:space="preserve"> on tehostettava jätteen erilliskeräystä, mikä on edellytys kierrätyksen määrälliselle ja/tai laadulliselle parantamiselle. Ongelmana on myös kierrätykseen kelpaavan jätteen polttaminen tai sijoittaminen kaatopaikalle. Lähes kaikkia jäsenvaltioita kannustetaan ottamaan käyttöön uusia toimenpiteitä, jotta uudelleenkäyttöön ja kierrätykseen kelpaavaa jätettä ei polteta tai sijoiteta kaatopaikalle, ja kehittämään ja laajentamaan erilliskierrätysjärjestelmiään.</w:t>
      </w:r>
      <w:r>
        <w:rPr>
          <w:noProof/>
        </w:rPr>
        <w:t xml:space="preserve"> </w:t>
      </w:r>
      <w:r>
        <w:rPr>
          <w:i/>
          <w:noProof/>
        </w:rPr>
        <w:t>On yhä syytä kantaa huolta niiden kaatopaikkojen määrästä, jotka eivät täytä kaatopaikkadirektiivin</w:t>
      </w:r>
      <w:r>
        <w:rPr>
          <w:i/>
          <w:noProof/>
          <w:vertAlign w:val="superscript"/>
        </w:rPr>
        <w:footnoteReference w:id="25"/>
      </w:r>
      <w:r>
        <w:rPr>
          <w:i/>
          <w:noProof/>
          <w:vertAlign w:val="superscript"/>
        </w:rPr>
        <w:t xml:space="preserve"> </w:t>
      </w:r>
      <w:r>
        <w:rPr>
          <w:i/>
          <w:noProof/>
        </w:rPr>
        <w:t xml:space="preserve">vaatimuksia. </w:t>
      </w:r>
    </w:p>
    <w:p>
      <w:pPr>
        <w:spacing w:after="200" w:line="276" w:lineRule="auto"/>
        <w:jc w:val="left"/>
        <w:rPr>
          <w:rFonts w:cs="Times New Roman"/>
          <w:b/>
          <w:bCs/>
          <w:noProof/>
          <w:sz w:val="24"/>
          <w:szCs w:val="24"/>
        </w:rPr>
      </w:pPr>
    </w:p>
    <w:p>
      <w:pPr>
        <w:pStyle w:val="ListParagraph"/>
        <w:numPr>
          <w:ilvl w:val="1"/>
          <w:numId w:val="5"/>
        </w:numPr>
        <w:spacing w:before="240" w:line="240" w:lineRule="auto"/>
        <w:rPr>
          <w:rFonts w:cs="Times New Roman"/>
          <w:b/>
          <w:bCs/>
          <w:noProof/>
          <w:sz w:val="24"/>
          <w:szCs w:val="24"/>
        </w:rPr>
      </w:pPr>
      <w:r>
        <w:rPr>
          <w:b/>
          <w:noProof/>
          <w:sz w:val="24"/>
        </w:rPr>
        <w:t>Ilmastonmuutos ja ympäristö</w:t>
      </w:r>
    </w:p>
    <w:p>
      <w:pPr>
        <w:spacing w:before="240" w:line="240" w:lineRule="auto"/>
        <w:rPr>
          <w:rFonts w:cs="Times New Roman"/>
          <w:noProof/>
        </w:rPr>
      </w:pPr>
      <w:r>
        <w:rPr>
          <w:noProof/>
        </w:rPr>
        <w:t>Monet ekosysteemit ja jotkin ekosysteemipalvelut ovat jo muuttuneet ilmaston lämpenemisen vuoksi</w:t>
      </w:r>
      <w:r>
        <w:rPr>
          <w:noProof/>
          <w:vertAlign w:val="superscript"/>
        </w:rPr>
        <w:footnoteReference w:id="26"/>
      </w:r>
      <w:r>
        <w:rPr>
          <w:noProof/>
        </w:rPr>
        <w:t xml:space="preserve"> ja ovat muuttuvien ilmasto-olosuhteiden vuoksi edelleen vaarassa.</w:t>
      </w:r>
    </w:p>
    <w:p>
      <w:pPr>
        <w:spacing w:line="240" w:lineRule="auto"/>
        <w:rPr>
          <w:rFonts w:cs="Times New Roman"/>
          <w:noProof/>
        </w:rPr>
      </w:pPr>
      <w:r>
        <w:rPr>
          <w:noProof/>
        </w:rPr>
        <w:t>Ilmastotoimet ovat ensiarvoisen tärkeitä useiden, muun muassa ilman saastumiseen, luonnon monimuotoisuuteen, veden pilaantumiseen tai haitallisiin vieraslajeihin liittyvien ympäristöhaasteiden ratkaisemisessa. Lisäksi monilla ympäristön eri alueilla toteutettavilla toimilla on välittömiä vaikutuksia ilmastoon; esimerkkinä voidaan mainita maatalous ja maankäyttö, jätteet sekä ilmansuojelu. Komission strateginen pitkän aikavälin visio kukoistavasta, nykyaikaisesta, kilpailukykyisestä ja ilmastoneutraalista taloudesta</w:t>
      </w:r>
      <w:r>
        <w:rPr>
          <w:noProof/>
          <w:vertAlign w:val="superscript"/>
        </w:rPr>
        <w:footnoteReference w:id="27"/>
      </w:r>
      <w:r>
        <w:rPr>
          <w:noProof/>
          <w:vertAlign w:val="superscript"/>
        </w:rPr>
        <w:t xml:space="preserve"> </w:t>
      </w:r>
      <w:r>
        <w:rPr>
          <w:noProof/>
        </w:rPr>
        <w:t>vahvistaa Euroopan sitoumuksen johtaa maailmanlaajuisia ilmastotoimia. Visiossa esitetään myös näkemys, jonka mukaan kasvihuonekaasupäästöjen nollataso voidaan saavuttaa vuoteen 2050 mennessä.</w:t>
      </w:r>
    </w:p>
    <w:p>
      <w:pPr>
        <w:rPr>
          <w:rFonts w:cs="Times New Roman"/>
          <w:noProof/>
        </w:rPr>
      </w:pPr>
      <w:r>
        <w:rPr>
          <w:noProof/>
        </w:rPr>
        <w:t>Vuonna 2018 Euroopan unionissa hyväksyttiin lainsäädäntö, jonka tavoitteena on vähentää kasvihuonekaasupäästöjen kokonaismäärää vuoden 1990 tasosta vähintään 40 prosentilla vuoteen 2030 mennessä</w:t>
      </w:r>
      <w:r>
        <w:rPr>
          <w:noProof/>
          <w:vertAlign w:val="superscript"/>
        </w:rPr>
        <w:footnoteReference w:id="28"/>
      </w:r>
      <w:r>
        <w:rPr>
          <w:noProof/>
        </w:rPr>
        <w:t xml:space="preserve">. EU:n kehys kattaa nyt ensimmäistä kertaa maankäytöstä aiheutuvat päästöt ja poistumat. Direktiivi on myös nostanut uusiutuvaan energian ja energiatehokkuuden tavoitetasoa. Kun hyväksytty EU:n lainsäädäntö on pantu kokonaisuudessaan täytäntöön, EU:n päästöjen arvioidaan vähenevän noin 45 prosenttia vuoteen 2030 mennessä. </w:t>
      </w:r>
    </w:p>
    <w:p>
      <w:pPr>
        <w:spacing w:line="240" w:lineRule="auto"/>
        <w:rPr>
          <w:rFonts w:cs="Times New Roman"/>
          <w:noProof/>
        </w:rPr>
      </w:pPr>
      <w:r>
        <w:rPr>
          <w:noProof/>
        </w:rPr>
        <w:t xml:space="preserve">Jäsenvaltioiden piti toimittaa luonnos kansallisista energia- ja ilmastosuunnitelmistaan, kehittää kansallisten ilmansuojeluohjelmiensa luonnoksia sekä maankäytöstä, maankäytön muutoksesta ja metsätaloudesta aiheutuvia kasvihuonekaasujen päästöjä ja poistumia koskevia kirjanpitosuunnitelmiaan vuoden 2018 loppuun mennessä. Suunnitelmien pitäisi lisätä ilmasto-, ilmanlaatu- ja energiapolitiikkojen yhdenmukaisuutta ja toimia siten hyvinä esimerkkeinä siitä, miten alakohtaisia politiikkoja linkittämällä (esim. maatalous–luonto–vesi ja liikenne–ilma–terveys) voidaan vastata yhteisiin haasteisiin. </w:t>
      </w:r>
    </w:p>
    <w:p>
      <w:pPr>
        <w:rPr>
          <w:rFonts w:cs="Times New Roman"/>
          <w:noProof/>
        </w:rPr>
      </w:pPr>
      <w:r>
        <w:rPr>
          <w:noProof/>
        </w:rPr>
        <w:t>Komission ilmastonmuutokseen sopeutumisen lähestymistavassa tavoitteena on luoda ilmastonmuutosta paremmin kestävä Eurooppa. Tämä tapahtuu parantamalla valmistautumista ja vahvistamalla valmiuksia reagoida ilmastonmuutoksen vaikutuksiin paikallisella, alueellisella, kansallisella ja EU:n tasolla. Komissio on arvioinut vuonna 2013 annetun EU:n sopeutumisstrategian, jossa ehdotetaan osa-alueita, joilla on toteutettava toimia haavoittuvien alueiden ja alojen ilmastokestävyyden parantamiseksi</w:t>
      </w:r>
      <w:r>
        <w:rPr>
          <w:noProof/>
          <w:vertAlign w:val="superscript"/>
        </w:rPr>
        <w:footnoteReference w:id="29"/>
      </w:r>
      <w:r>
        <w:rPr>
          <w:noProof/>
        </w:rPr>
        <w:t>. Tulevien vahinkojen ehkäisemiseksi sopeutumisen, kestävän kehityksen ja katastrofiriskien vähentämistoimien välille on luotava synergiaa.</w:t>
      </w:r>
    </w:p>
    <w:p>
      <w:pPr>
        <w:rPr>
          <w:rFonts w:cs="Times New Roman"/>
          <w:noProof/>
        </w:rPr>
      </w:pPr>
      <w:r>
        <w:rPr>
          <w:noProof/>
        </w:rPr>
        <w:t>Kaiken kaikkiaan jäsenvaltiot ovat edistyneet hyvin kansallisten sopeutumisstrategioiden ja/tai -suunnitelmien kehittämisessä. Tämä edistys viittaa siihen, että valmistautumiseen ja sopeutumiseen liittyvässä päätöksenteossa on merkittävästi korkeampi lähtötaso kuin vuonna 2013. Energiaunionin mukaisesti sopeutumistavoitteet on sisällytettävä myös kansallisiin energia- ja ilmastosuunnitelmiin</w:t>
      </w:r>
      <w:r>
        <w:rPr>
          <w:noProof/>
          <w:vertAlign w:val="superscript"/>
        </w:rPr>
        <w:footnoteReference w:id="30"/>
      </w:r>
      <w:r>
        <w:rPr>
          <w:noProof/>
        </w:rPr>
        <w:t>.</w:t>
      </w:r>
    </w:p>
    <w:p>
      <w:pPr>
        <w:spacing w:after="200" w:line="240" w:lineRule="auto"/>
        <w:jc w:val="left"/>
        <w:rPr>
          <w:rFonts w:cs="Times New Roman"/>
          <w:i/>
          <w:iCs/>
          <w:noProof/>
        </w:rPr>
      </w:pPr>
      <w:r>
        <w:rPr>
          <w:i/>
          <w:noProof/>
        </w:rPr>
        <w:t>Politiikanalaa koskevat tulokset:</w:t>
      </w:r>
    </w:p>
    <w:p>
      <w:pPr>
        <w:numPr>
          <w:ilvl w:val="0"/>
          <w:numId w:val="3"/>
        </w:numPr>
        <w:spacing w:line="240" w:lineRule="auto"/>
        <w:ind w:left="357" w:hanging="357"/>
        <w:rPr>
          <w:rFonts w:cs="Times New Roman"/>
          <w:i/>
          <w:iCs/>
          <w:noProof/>
        </w:rPr>
      </w:pPr>
      <w:r>
        <w:rPr>
          <w:i/>
          <w:noProof/>
        </w:rPr>
        <w:t xml:space="preserve">Kaiken kaikkiaan ilmastolainsäädäntö on pantu täytäntöön koko EU:ssa varsin hyvin, ja näin ollen vuodeksi 2020 asetetut tavoitteet tullaan todennäköisesti saavuttamaan. </w:t>
      </w:r>
    </w:p>
    <w:p>
      <w:pPr>
        <w:numPr>
          <w:ilvl w:val="0"/>
          <w:numId w:val="3"/>
        </w:numPr>
        <w:spacing w:line="240" w:lineRule="auto"/>
        <w:ind w:left="357" w:hanging="357"/>
        <w:rPr>
          <w:rFonts w:cs="Times New Roman"/>
          <w:i/>
          <w:iCs/>
          <w:noProof/>
        </w:rPr>
      </w:pPr>
      <w:r>
        <w:rPr>
          <w:i/>
          <w:noProof/>
        </w:rPr>
        <w:t>Kaikki jäsenvaltiot täyttivät taakanjakopäätöksen mukaiset velvoitteensa vuosien 2013 ja 2015 välisenä aikana. Joidenkin jäsenvaltioiden</w:t>
      </w:r>
      <w:r>
        <w:rPr>
          <w:i/>
          <w:noProof/>
          <w:vertAlign w:val="superscript"/>
        </w:rPr>
        <w:footnoteReference w:id="31"/>
      </w:r>
      <w:r>
        <w:rPr>
          <w:i/>
          <w:noProof/>
        </w:rPr>
        <w:t xml:space="preserve"> on otettava käyttöön lainsäädännön mukainen joustojärjestelmä nykyisten velvoitteidensa täyttämiseksi. </w:t>
      </w:r>
    </w:p>
    <w:p>
      <w:pPr>
        <w:numPr>
          <w:ilvl w:val="0"/>
          <w:numId w:val="3"/>
        </w:numPr>
        <w:spacing w:line="240" w:lineRule="auto"/>
        <w:ind w:left="357" w:hanging="357"/>
        <w:rPr>
          <w:rFonts w:cs="Times New Roman"/>
          <w:i/>
          <w:iCs/>
          <w:noProof/>
        </w:rPr>
      </w:pPr>
      <w:r>
        <w:rPr>
          <w:i/>
          <w:noProof/>
        </w:rPr>
        <w:t xml:space="preserve">EU:n päästökauppajärjestelmän noudattamisaste on todella korkea, sillä vuosittain laitokset kattavat päästöoikeuksillaan noin 99 prosenttia päästöistään. </w:t>
      </w:r>
    </w:p>
    <w:p>
      <w:pPr>
        <w:numPr>
          <w:ilvl w:val="0"/>
          <w:numId w:val="3"/>
        </w:numPr>
        <w:spacing w:line="240" w:lineRule="auto"/>
        <w:ind w:left="357" w:hanging="357"/>
        <w:rPr>
          <w:rFonts w:cs="Times New Roman"/>
          <w:noProof/>
        </w:rPr>
      </w:pPr>
      <w:r>
        <w:rPr>
          <w:i/>
          <w:noProof/>
        </w:rPr>
        <w:t>Lokakuussa 2018 oli 25 jäsenvaltiota</w:t>
      </w:r>
      <w:r>
        <w:rPr>
          <w:i/>
          <w:noProof/>
          <w:vertAlign w:val="superscript"/>
        </w:rPr>
        <w:footnoteReference w:id="32"/>
      </w:r>
      <w:r>
        <w:rPr>
          <w:i/>
          <w:noProof/>
        </w:rPr>
        <w:t xml:space="preserve"> jo laatinut kansallisen sopeutumisstrategian ja loput kolme jäsenvaltiota ovat työssään loppusuoralla.</w:t>
      </w:r>
    </w:p>
    <w:p>
      <w:pPr>
        <w:numPr>
          <w:ilvl w:val="0"/>
          <w:numId w:val="3"/>
        </w:numPr>
        <w:spacing w:line="240" w:lineRule="auto"/>
        <w:rPr>
          <w:rFonts w:cs="Times New Roman"/>
          <w:noProof/>
        </w:rPr>
      </w:pPr>
      <w:r>
        <w:rPr>
          <w:i/>
          <w:noProof/>
        </w:rPr>
        <w:t>Sopeutumispyrkimyksiä on tehostettava niin jäsenvaltiossa kuin EU:nkin tasolla, sillä ilmastonmuutoksen aiheuttamien vahinkojen torjumiseen tai minimoimiseen suunnatuilla asianmukaisilla toimilla on merkittäviä taloudellisia ja yhteiskunnallisia hyötyjä.</w:t>
      </w:r>
    </w:p>
    <w:tbl>
      <w:tblPr>
        <w:tblStyle w:val="TableGrid"/>
        <w:tblpPr w:leftFromText="180" w:rightFromText="180" w:vertAnchor="text" w:horzAnchor="margin" w:tblpY="273"/>
        <w:tblOverlap w:val="never"/>
        <w:tblW w:w="9242" w:type="dxa"/>
        <w:shd w:val="clear" w:color="auto" w:fill="D6E3BC" w:themeFill="accent3" w:themeFillTint="66"/>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Hyviä käytäntöjä:</w:t>
            </w:r>
          </w:p>
          <w:p>
            <w:pPr>
              <w:spacing w:after="200" w:line="240" w:lineRule="auto"/>
              <w:rPr>
                <w:rFonts w:cs="Times New Roman"/>
                <w:noProof/>
              </w:rPr>
            </w:pPr>
            <w:r>
              <w:rPr>
                <w:noProof/>
              </w:rPr>
              <w:t xml:space="preserve">Taakanjakopäätöksen mukaisesti </w:t>
            </w:r>
            <w:r>
              <w:rPr>
                <w:b/>
                <w:noProof/>
              </w:rPr>
              <w:t xml:space="preserve">Ruotsi </w:t>
            </w:r>
            <w:r>
              <w:rPr>
                <w:noProof/>
              </w:rPr>
              <w:t xml:space="preserve">ei käyttänyt koko päästökiintiötään ja peruutti vuosittaisen päästökiintiönsä ylijäämän painottaakseen koko järjestelmän ympäristötavoitteiden tinkimättömyyttä. </w:t>
            </w:r>
          </w:p>
          <w:p>
            <w:pPr>
              <w:rPr>
                <w:rFonts w:cs="Times New Roman"/>
                <w:noProof/>
              </w:rPr>
            </w:pPr>
            <w:r>
              <w:rPr>
                <w:noProof/>
              </w:rPr>
              <w:t xml:space="preserve">EU:n Tonavan alueen strategiassa on kiinnitetty erityistä huomiota äärimmäisiin sääilmiöihin sopeutumiseen. Strategia on tärkeä alusta, jolla edistetään </w:t>
            </w:r>
            <w:r>
              <w:rPr>
                <w:b/>
                <w:noProof/>
              </w:rPr>
              <w:t>Bulgarian, Itävallan, Kroatian, Romanian, Saksan, Slovakian, Tšekin ja Unkarin</w:t>
            </w:r>
            <w:r>
              <w:rPr>
                <w:noProof/>
              </w:rPr>
              <w:t xml:space="preserve"> yhteistyötä yhteisissä seuranta- ja tulvantorjuntatoimissa</w:t>
            </w:r>
            <w:r>
              <w:rPr>
                <w:noProof/>
                <w:vertAlign w:val="superscript"/>
              </w:rPr>
              <w:footnoteReference w:id="33"/>
            </w:r>
            <w:r>
              <w:rPr>
                <w:noProof/>
              </w:rPr>
              <w:t xml:space="preserve">. </w:t>
            </w:r>
          </w:p>
          <w:p>
            <w:pPr>
              <w:rPr>
                <w:rFonts w:cs="Times New Roman"/>
                <w:noProof/>
              </w:rPr>
            </w:pPr>
            <w:r>
              <w:rPr>
                <w:noProof/>
              </w:rPr>
              <w:t>Lisäksi on tehty Alppeja</w:t>
            </w:r>
            <w:r>
              <w:rPr>
                <w:noProof/>
                <w:vertAlign w:val="superscript"/>
              </w:rPr>
              <w:footnoteReference w:id="34"/>
            </w:r>
            <w:r>
              <w:rPr>
                <w:noProof/>
              </w:rPr>
              <w:t xml:space="preserve"> ja Karpaatteja</w:t>
            </w:r>
            <w:r>
              <w:rPr>
                <w:noProof/>
                <w:vertAlign w:val="superscript"/>
              </w:rPr>
              <w:footnoteReference w:id="35"/>
            </w:r>
            <w:r>
              <w:rPr>
                <w:noProof/>
              </w:rPr>
              <w:t xml:space="preserve"> koskevat kansainväliset sopimukset. Niin ikään Pohjois-Euroopassa tehdään monimuotoisuuden suojeluun ja ilmastonmuutokseen sopeutumiseen liittyvissä kysymyksissä rajat ylittävää yhteistyötä EU:n ulkopuolisten valtioiden kanssa. Fennoskandian vihreä vyöhyke -aloitteessa tuetaan </w:t>
            </w:r>
            <w:r>
              <w:rPr>
                <w:b/>
                <w:noProof/>
              </w:rPr>
              <w:t>Suomen</w:t>
            </w:r>
            <w:r>
              <w:rPr>
                <w:noProof/>
              </w:rPr>
              <w:t xml:space="preserve">, Norjan ja Venäjän luonnonsuojeluyhteistyötä, jonka painopisteenä ovat muun muassa ilmastonmuutoksesta ekosysteemipalveluihin kohdistuvat uhat. </w:t>
            </w:r>
          </w:p>
        </w:tc>
      </w:tr>
    </w:tbl>
    <w:p>
      <w:pPr>
        <w:pStyle w:val="ListParagraph"/>
        <w:spacing w:before="240"/>
        <w:ind w:left="360"/>
        <w:rPr>
          <w:rFonts w:cs="Times New Roman"/>
          <w:b/>
          <w:bCs/>
          <w:noProof/>
          <w:sz w:val="24"/>
          <w:szCs w:val="24"/>
        </w:rPr>
      </w:pPr>
    </w:p>
    <w:p>
      <w:pPr>
        <w:pStyle w:val="ListParagraph"/>
        <w:numPr>
          <w:ilvl w:val="1"/>
          <w:numId w:val="5"/>
        </w:numPr>
        <w:spacing w:before="240"/>
        <w:rPr>
          <w:rFonts w:cs="Times New Roman"/>
          <w:b/>
          <w:bCs/>
          <w:noProof/>
          <w:sz w:val="24"/>
          <w:szCs w:val="24"/>
        </w:rPr>
      </w:pPr>
      <w:r>
        <w:rPr>
          <w:b/>
          <w:noProof/>
          <w:sz w:val="24"/>
        </w:rPr>
        <w:t xml:space="preserve">Suojellaan, säilytetään ja parannetaan luonnon pääomaa </w:t>
      </w:r>
    </w:p>
    <w:p>
      <w:pPr>
        <w:rPr>
          <w:rFonts w:cs="Times New Roman"/>
          <w:noProof/>
        </w:rPr>
      </w:pPr>
      <w:r>
        <w:rPr>
          <w:noProof/>
        </w:rPr>
        <w:t>Euroopan rikas ja ainutlaatuinen luonto on arvo sinänsä ja arvokkaiden resurssien ja pääoman lähde niin ihmisille kuin taloudellekin. EU on luonut luonnon, monimuotoisuuden, maaperän ja merien suojelemiseksi kattavan sääntöjärjestelmän. Se on keskeisessä asemassa tavoiteltaessa luonnon monimuotoisuutta koskevassa EU:n strategiassa</w:t>
      </w:r>
      <w:r>
        <w:rPr>
          <w:noProof/>
          <w:vertAlign w:val="superscript"/>
        </w:rPr>
        <w:footnoteReference w:id="36"/>
      </w:r>
      <w:r>
        <w:rPr>
          <w:noProof/>
        </w:rPr>
        <w:t xml:space="preserve"> vuodeksi 2020 asetettua päätavoitetta, joka on luonnon monimuotoisuuden köyhtymisen ja ekosysteemipalvelujen heikentymisen pysäyttäminen ja niiden ennallistaminen mahdollisimman pitkälle. </w:t>
      </w:r>
    </w:p>
    <w:p>
      <w:pPr>
        <w:rPr>
          <w:rFonts w:cs="Times New Roman"/>
          <w:noProof/>
        </w:rPr>
      </w:pPr>
      <w:r>
        <w:rPr>
          <w:noProof/>
        </w:rPr>
        <w:t>Suojeltujen lajien ja luontotyyppien suotuisan suojelun tason saavuttaminen edellyttää luontodirektiivin ja lintudirektiivin</w:t>
      </w:r>
      <w:r>
        <w:rPr>
          <w:noProof/>
          <w:vertAlign w:val="superscript"/>
        </w:rPr>
        <w:footnoteReference w:id="37"/>
      </w:r>
      <w:r>
        <w:rPr>
          <w:noProof/>
        </w:rPr>
        <w:t xml:space="preserve"> täysimääräistä täytäntöönpanoa. Toimintasuunnitelmassa luontoa, ihmisiä ja taloutta varten</w:t>
      </w:r>
      <w:r>
        <w:rPr>
          <w:noProof/>
          <w:vertAlign w:val="superscript"/>
        </w:rPr>
        <w:footnoteReference w:id="38"/>
      </w:r>
      <w:r>
        <w:rPr>
          <w:noProof/>
        </w:rPr>
        <w:t xml:space="preserve"> tavoitteena on parantaa nopeasti edellä mainittujen luontodirektiivien käytännön täytäntöönpanoa sekä vauhdittaa EU:n vuodeksi 2020 asetettujen, luonnon monimuotoisuuden köyhtymistä ja ekosysteemipalvelujen häviämistä sekä niiden ennallistamista koskevien tavoitteiden saavuttamista</w:t>
      </w:r>
      <w:r>
        <w:rPr>
          <w:rFonts w:eastAsiaTheme="minorEastAsia"/>
          <w:noProof/>
          <w:vertAlign w:val="superscript"/>
        </w:rPr>
        <w:footnoteReference w:id="39"/>
      </w:r>
      <w:r>
        <w:rPr>
          <w:noProof/>
        </w:rPr>
        <w:t xml:space="preserve">. Jäsenvaltiot raportoivat edistymisestään tällä osa-alueella kuuden vuoden välein, joten tällä ympäristölainsäädännön arvioinnin kierroksella ei ole saatavilla uutta tietoa. Myöhemmin vuonna 2019 saatavat raportit otetaan huomioon komission luonnon tilaa koskevassa kertomuksessa vuonna 2020. </w:t>
      </w:r>
    </w:p>
    <w:p>
      <w:pPr>
        <w:rPr>
          <w:rFonts w:cs="Times New Roman"/>
          <w:noProof/>
        </w:rPr>
      </w:pPr>
      <w:r>
        <w:rPr>
          <w:noProof/>
        </w:rPr>
        <w:t xml:space="preserve">Vaikka paikoin on havaittavissa suuria puutteita, Natura 2000 -verkostoa on laajennettu merialueille ja EU on jo saavuttanut vuodelle 2020 asetetun Aichin tavoitteensa, jonka mukaisesti 10 prosenttia ranta- ja merialueista kuuluu suojelualueisiin. Edistymistä on tapahtunut myös tarvittavien suojelutoimenpiteiden, kuten alueiden hoitosuunnitelmien, hyväksymisessä, vaikkakin vain 70 prosentilla Natura 2000 </w:t>
      </w:r>
      <w:r>
        <w:rPr>
          <w:noProof/>
        </w:rPr>
        <w:noBreakHyphen/>
        <w:t xml:space="preserve">verkoston alueista on hyväksytty hoitosuunnitelma. Näiden toimenpiteiden käytännön täytäntöönpanon varmistaminen ja niiden suojelutavoitteiden saavuttaminen edellyttää edelleen huomattavia ponnisteluja – myös taloudellisia. Tilanne on sama joillakin syrjäisimmillä alueilla ja merentakaisissa maissa ja merentakaisilla alueilla toteutettavissa toimenpiteissä. </w:t>
      </w:r>
    </w:p>
    <w:p>
      <w:pPr>
        <w:rPr>
          <w:rFonts w:cs="Times New Roman"/>
          <w:noProof/>
        </w:rPr>
      </w:pPr>
      <w:r>
        <w:rPr>
          <w:noProof/>
        </w:rPr>
        <w:t xml:space="preserve">Haitallisten vieraslajien tuonti ja leviäminen on vakava uhka Euroopan luonnon monimuotoisuudelle. Haitallisia vieraslajeja koskevassa asetuksessa määrätään </w:t>
      </w:r>
      <w:hyperlink r:id="rId20">
        <w:r>
          <w:rPr>
            <w:noProof/>
          </w:rPr>
          <w:t>unionin kannalta merkityksellisten vieraslajien luettelossa</w:t>
        </w:r>
      </w:hyperlink>
      <w:r>
        <w:rPr>
          <w:noProof/>
        </w:rPr>
        <w:t xml:space="preserve"> olevia lajeja koskevista toimenpiteistä, jotka on toteutettava koko EU:n alueella</w:t>
      </w:r>
      <w:r>
        <w:rPr>
          <w:noProof/>
          <w:vertAlign w:val="superscript"/>
        </w:rPr>
        <w:footnoteReference w:id="40"/>
      </w:r>
      <w:r>
        <w:rPr>
          <w:noProof/>
        </w:rPr>
        <w:t xml:space="preserve">. </w:t>
      </w:r>
    </w:p>
    <w:p>
      <w:pPr>
        <w:rPr>
          <w:rFonts w:cs="Times New Roman"/>
          <w:noProof/>
        </w:rPr>
      </w:pPr>
      <w:r>
        <w:rPr>
          <w:noProof/>
        </w:rPr>
        <w:t xml:space="preserve">Käytettävissä olevien tietojen mukaan meri- ja maaekosysteemeihin ja maaperään kohdistuu edelleen useita paineita. Näitä ovat esimerkiksi vääränlaiset maatalouskäytännöt, maankäytöstä luopuminen, ilmastonmuutos, infrastruktuurikehitys, kaupunkirakenteen hajautuminen, ilman, maaperän ja vesistöjen pilaantuminen sekä yhä enenevässä määrin haitalliset vieraslajit. Paineiden purkaminen näin monella osa-alueella edellyttää muun muassa luonnon monimuotoisuustavoitteiden sisällyttämistä muihin, etenkin rahoitukseen liittyviin politiikkoihin, ja toimijoiden välisen vuoropuhelun edistämistä. </w:t>
      </w:r>
    </w:p>
    <w:p>
      <w:pPr>
        <w:spacing w:after="200" w:line="276" w:lineRule="auto"/>
        <w:jc w:val="left"/>
        <w:rPr>
          <w:rFonts w:cs="Times New Roman"/>
          <w:i/>
          <w:iCs/>
          <w:noProof/>
        </w:rPr>
      </w:pPr>
      <w:r>
        <w:rPr>
          <w:i/>
          <w:noProof/>
        </w:rPr>
        <w:t>Politiikanalaa koskevat tulokset:</w:t>
      </w:r>
    </w:p>
    <w:p>
      <w:pPr>
        <w:numPr>
          <w:ilvl w:val="0"/>
          <w:numId w:val="3"/>
        </w:numPr>
        <w:spacing w:line="240" w:lineRule="auto"/>
        <w:ind w:left="357" w:hanging="357"/>
        <w:rPr>
          <w:rFonts w:cs="Times New Roman"/>
          <w:i/>
          <w:iCs/>
          <w:noProof/>
        </w:rPr>
      </w:pPr>
      <w:r>
        <w:rPr>
          <w:i/>
          <w:noProof/>
        </w:rPr>
        <w:t xml:space="preserve">Täytäntöönpanossa ja sen valvonnassa, rahoituksessa ja asiaa koskevien näkökohtien huomioimisessa muilla politiikanaloilla olevat merkittävät puutteet vaikuttavat Euroopan ekosysteemien suojelupyrkimyksiin. Monimuotoisuus vähenee edelleen EU:ssa, vaikka paikallistasolla onkin edistytty jonkin verran. </w:t>
      </w:r>
    </w:p>
    <w:p>
      <w:pPr>
        <w:numPr>
          <w:ilvl w:val="0"/>
          <w:numId w:val="3"/>
        </w:numPr>
        <w:spacing w:line="240" w:lineRule="auto"/>
        <w:ind w:left="357" w:hanging="357"/>
        <w:rPr>
          <w:rFonts w:cs="Times New Roman"/>
          <w:i/>
          <w:iCs/>
          <w:noProof/>
        </w:rPr>
      </w:pPr>
      <w:r>
        <w:rPr>
          <w:i/>
          <w:noProof/>
        </w:rPr>
        <w:t xml:space="preserve">Vaikka Natura 2000 </w:t>
      </w:r>
      <w:r>
        <w:rPr>
          <w:noProof/>
        </w:rPr>
        <w:noBreakHyphen/>
      </w:r>
      <w:r>
        <w:rPr>
          <w:i/>
          <w:noProof/>
        </w:rPr>
        <w:t>verkoston toteutumisessa ja hallinnassa onkin tapahtunut vuodesta 2017 lähtien jonkinlaista edistymistä, useimpien jäsenvaltioiden</w:t>
      </w:r>
      <w:r>
        <w:rPr>
          <w:i/>
          <w:noProof/>
          <w:vertAlign w:val="superscript"/>
        </w:rPr>
        <w:footnoteReference w:id="41"/>
      </w:r>
      <w:r>
        <w:rPr>
          <w:i/>
          <w:noProof/>
        </w:rPr>
        <w:t xml:space="preserve"> on vauhditettava verkostojensa toteuttamista etenkin meriympäristössä. Samoin jäsenvaltioiden on saatettava päätökseen erityisten suojelutoimien alueiden nimeämisprosessi kehittämällä ja panemalla täytäntöön tehokkaampia suojelutoimenpiteitä. Joidenkin jäsenvaltioiden</w:t>
      </w:r>
      <w:r>
        <w:rPr>
          <w:noProof/>
          <w:vertAlign w:val="superscript"/>
        </w:rPr>
        <w:footnoteReference w:id="42"/>
      </w:r>
      <w:r>
        <w:rPr>
          <w:i/>
          <w:noProof/>
        </w:rPr>
        <w:t xml:space="preserve"> on noudattamisen varmistamiseksi lisäksi kehitettävä ja edistettävä älykkäitä ja keveämpiä täytäntöönpanotapoja. Natura 2000 </w:t>
      </w:r>
      <w:r>
        <w:rPr>
          <w:noProof/>
        </w:rPr>
        <w:noBreakHyphen/>
      </w:r>
      <w:r>
        <w:rPr>
          <w:i/>
          <w:noProof/>
        </w:rPr>
        <w:t>alueiden elinympäristöjen heikentymisen estäminen ja hyvän hoidon varmistaminen edellyttävät kansallisten hallinnollisten valmiuksien parantamista ja riittävää rahoitusta</w:t>
      </w:r>
      <w:r>
        <w:rPr>
          <w:i/>
          <w:noProof/>
          <w:vertAlign w:val="superscript"/>
        </w:rPr>
        <w:footnoteReference w:id="43"/>
      </w:r>
      <w:r>
        <w:rPr>
          <w:i/>
          <w:noProof/>
        </w:rPr>
        <w:t>.</w:t>
      </w:r>
    </w:p>
    <w:p>
      <w:pPr>
        <w:numPr>
          <w:ilvl w:val="0"/>
          <w:numId w:val="3"/>
        </w:numPr>
        <w:spacing w:line="240" w:lineRule="auto"/>
        <w:ind w:left="357" w:hanging="357"/>
        <w:rPr>
          <w:rFonts w:cs="Times New Roman"/>
          <w:i/>
          <w:iCs/>
          <w:noProof/>
        </w:rPr>
      </w:pPr>
      <w:r>
        <w:rPr>
          <w:i/>
          <w:noProof/>
        </w:rPr>
        <w:t>Ekosysteemien ja ekosysteemipalvelujen kartoittaminen on yleisesti ottaen parantunut vuodesta 2017, mutta muutamat jäsenvaltiot</w:t>
      </w:r>
      <w:r>
        <w:rPr>
          <w:i/>
          <w:noProof/>
          <w:vertAlign w:val="superscript"/>
        </w:rPr>
        <w:footnoteReference w:id="44"/>
      </w:r>
      <w:r>
        <w:rPr>
          <w:i/>
          <w:noProof/>
        </w:rPr>
        <w:t xml:space="preserve"> ovat työssään edelleen jäljessä. </w:t>
      </w:r>
    </w:p>
    <w:p>
      <w:pPr>
        <w:numPr>
          <w:ilvl w:val="0"/>
          <w:numId w:val="3"/>
        </w:numPr>
        <w:spacing w:line="240" w:lineRule="auto"/>
        <w:ind w:left="357" w:hanging="357"/>
        <w:rPr>
          <w:rFonts w:eastAsia="Times New Roman,Calibri" w:cs="Times New Roman"/>
          <w:i/>
          <w:iCs/>
          <w:noProof/>
        </w:rPr>
      </w:pPr>
      <w:r>
        <w:rPr>
          <w:i/>
          <w:noProof/>
        </w:rPr>
        <w:t>Joidenkin jäsenvaltioiden</w:t>
      </w:r>
      <w:r>
        <w:rPr>
          <w:i/>
          <w:noProof/>
          <w:vertAlign w:val="superscript"/>
        </w:rPr>
        <w:footnoteReference w:id="45"/>
      </w:r>
      <w:r>
        <w:rPr>
          <w:i/>
          <w:noProof/>
        </w:rPr>
        <w:t xml:space="preserve"> pitäisi parantaa metsien ja niittyjen luontotyyppien suojeluaan tarjoamalla metsänhoitajille ja viljelijöille kannustimia vuonna 2013 hyväksytyn EU:n metsästrategian mukaisesti</w:t>
      </w:r>
      <w:r>
        <w:rPr>
          <w:i/>
          <w:noProof/>
          <w:vertAlign w:val="superscript"/>
        </w:rPr>
        <w:footnoteReference w:id="46"/>
      </w:r>
      <w:r>
        <w:rPr>
          <w:i/>
          <w:noProof/>
        </w:rPr>
        <w:t>. Kestävä metsänhoito ja biomassan tehokas käyttö ovat luonnonvarojen kestävän käytön avaintekijöitä.</w:t>
      </w:r>
    </w:p>
    <w:p>
      <w:pPr>
        <w:numPr>
          <w:ilvl w:val="0"/>
          <w:numId w:val="3"/>
        </w:numPr>
        <w:spacing w:line="240" w:lineRule="auto"/>
        <w:ind w:left="357" w:hanging="357"/>
        <w:rPr>
          <w:rFonts w:eastAsia="Times New Roman,Calibri" w:cs="Times New Roman"/>
          <w:i/>
          <w:iCs/>
          <w:noProof/>
        </w:rPr>
      </w:pPr>
      <w:r>
        <w:rPr>
          <w:i/>
          <w:noProof/>
        </w:rPr>
        <w:t>Jotkin jäsenvaltiot</w:t>
      </w:r>
      <w:r>
        <w:rPr>
          <w:i/>
          <w:noProof/>
          <w:vertAlign w:val="superscript"/>
        </w:rPr>
        <w:footnoteReference w:id="47"/>
      </w:r>
      <w:r>
        <w:rPr>
          <w:i/>
          <w:noProof/>
        </w:rPr>
        <w:t xml:space="preserve"> eivät ole saattaneet haitallisia vieraslajeja koskevaa asetusta osaksi kansallista lainsäädäntöään ja/tai eivät ole ilmoittaneet hävittämistoimenpiteistään komissiolle määräajassa</w:t>
      </w:r>
      <w:r>
        <w:rPr>
          <w:i/>
          <w:noProof/>
          <w:vertAlign w:val="superscript"/>
        </w:rPr>
        <w:footnoteReference w:id="48"/>
      </w:r>
      <w:r>
        <w:rPr>
          <w:i/>
          <w:noProof/>
        </w:rPr>
        <w:t xml:space="preserve">. </w:t>
      </w:r>
    </w:p>
    <w:p>
      <w:pPr>
        <w:numPr>
          <w:ilvl w:val="0"/>
          <w:numId w:val="3"/>
        </w:numPr>
        <w:spacing w:line="240" w:lineRule="auto"/>
        <w:rPr>
          <w:rFonts w:eastAsia="Times New Roman,Calibri" w:cs="Times New Roman"/>
          <w:i/>
          <w:iCs/>
          <w:noProof/>
        </w:rPr>
      </w:pPr>
      <w:r>
        <w:rPr>
          <w:i/>
          <w:noProof/>
        </w:rPr>
        <w:t>Puutteelliset tiedot, seuranta ja raportointi ovat merialueiden suojelutoimenpiteiden arviointiin vaikuttavia tekijöitä. Jotkin jäsenvaltiot</w:t>
      </w:r>
      <w:r>
        <w:rPr>
          <w:i/>
          <w:noProof/>
          <w:vertAlign w:val="superscript"/>
        </w:rPr>
        <w:footnoteReference w:id="49"/>
      </w:r>
      <w:r>
        <w:rPr>
          <w:i/>
          <w:noProof/>
        </w:rPr>
        <w:t xml:space="preserve"> eivät ole raportoineet määräajassa</w:t>
      </w:r>
      <w:r>
        <w:rPr>
          <w:i/>
          <w:noProof/>
          <w:vertAlign w:val="superscript"/>
        </w:rPr>
        <w:footnoteReference w:id="50"/>
      </w:r>
      <w:r>
        <w:rPr>
          <w:i/>
          <w:noProof/>
        </w:rPr>
        <w:t xml:space="preserve"> ja monen muun</w:t>
      </w:r>
      <w:r>
        <w:rPr>
          <w:i/>
          <w:noProof/>
          <w:vertAlign w:val="superscript"/>
        </w:rPr>
        <w:footnoteReference w:id="51"/>
      </w:r>
      <w:r>
        <w:rPr>
          <w:i/>
          <w:noProof/>
        </w:rPr>
        <w:t xml:space="preserve"> on parannettava yhteistyötään ja seurantaohjelmiaan.</w:t>
      </w:r>
    </w:p>
    <w:p>
      <w:pPr>
        <w:spacing w:line="240" w:lineRule="auto"/>
        <w:ind w:left="360"/>
        <w:rPr>
          <w:rFonts w:eastAsia="Times New Roman,Calibri" w:cs="Times New Roman"/>
          <w:i/>
          <w:iCs/>
          <w:noProof/>
        </w:rPr>
      </w:pPr>
    </w:p>
    <w:tbl>
      <w:tblPr>
        <w:tblStyle w:val="TableGrid"/>
        <w:tblpPr w:leftFromText="180" w:rightFromText="180" w:vertAnchor="text" w:horzAnchor="margin" w:tblpY="242"/>
        <w:tblW w:w="0" w:type="auto"/>
        <w:shd w:val="clear" w:color="auto" w:fill="D6E3BC" w:themeFill="accent3" w:themeFillTint="66"/>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Hyviä käytäntöjä:</w:t>
            </w:r>
          </w:p>
          <w:p>
            <w:pPr>
              <w:spacing w:after="200" w:line="240" w:lineRule="auto"/>
              <w:rPr>
                <w:rFonts w:cs="Times New Roman"/>
                <w:noProof/>
              </w:rPr>
            </w:pPr>
            <w:r>
              <w:rPr>
                <w:b/>
                <w:noProof/>
              </w:rPr>
              <w:t>Romaniassa</w:t>
            </w:r>
            <w:r>
              <w:rPr>
                <w:noProof/>
              </w:rPr>
              <w:t xml:space="preserve"> LIFE-ohjelman hankkeen ”Connect Carpathians”</w:t>
            </w:r>
            <w:r>
              <w:rPr>
                <w:noProof/>
                <w:vertAlign w:val="superscript"/>
              </w:rPr>
              <w:footnoteReference w:id="52"/>
            </w:r>
            <w:r>
              <w:rPr>
                <w:noProof/>
              </w:rPr>
              <w:t xml:space="preserve"> tavoitteena on parantaa maisemien välisiä yhteyksiä Natura 2000 </w:t>
            </w:r>
            <w:r>
              <w:rPr>
                <w:noProof/>
              </w:rPr>
              <w:noBreakHyphen/>
              <w:t xml:space="preserve">alueiden ekologisten käytävien välityksellä Länsi-Romaniassa. Näillä alueilla niille ominaiset lajit, kuten karhut ja sudet, voivat liikkua vapaasti ilman vaaraa tulla metsästetyksi tai vahingossa surmatuksi. Ohjelmaa on täydennetty useilla toimilla, joiden tarkoituksena on parantaa hallinnollisia valmiuksia, saada mukaan paikalliset sidosryhmät ja varata maata yhteyskäytäviä varten. </w:t>
            </w:r>
          </w:p>
          <w:p>
            <w:pPr>
              <w:spacing w:after="200" w:line="240" w:lineRule="auto"/>
              <w:rPr>
                <w:rFonts w:cs="Times New Roman"/>
                <w:noProof/>
              </w:rPr>
            </w:pPr>
            <w:r>
              <w:rPr>
                <w:b/>
                <w:noProof/>
              </w:rPr>
              <w:t>Kypros</w:t>
            </w:r>
            <w:r>
              <w:rPr>
                <w:noProof/>
              </w:rPr>
              <w:t xml:space="preserve"> on yksi niistä jäsenvaltioista, joissa ollaan pitkällä EU:n puutavara-asetuksen täytäntöönpanossa. Pienestä koostaan huolimatta maa on tarkastanut jäsenvaltioista eniten kotimaisia ja ulkomaalaisia puutavara-alan toimijoita. Kaikki kansalliset toimijat ovat saaneet koulutusta oikeudellisista velvollisuuksistaan, ja rikkomistapauksissa sovellettavat sakot ovat EU:n korkeimpia.</w:t>
            </w:r>
          </w:p>
        </w:tc>
      </w:tr>
    </w:tbl>
    <w:p>
      <w:pPr>
        <w:pStyle w:val="ListParagraph"/>
        <w:numPr>
          <w:ilvl w:val="1"/>
          <w:numId w:val="5"/>
        </w:numPr>
        <w:spacing w:before="240"/>
        <w:rPr>
          <w:rFonts w:eastAsia="Calibri" w:cs="Times New Roman"/>
          <w:b/>
          <w:noProof/>
          <w:sz w:val="24"/>
          <w:szCs w:val="24"/>
        </w:rPr>
      </w:pPr>
      <w:r>
        <w:rPr>
          <w:b/>
          <w:noProof/>
          <w:sz w:val="24"/>
        </w:rPr>
        <w:t xml:space="preserve"> Kansalaisten terveydestä ja elämänlaadusta huolehtiminen</w:t>
      </w:r>
    </w:p>
    <w:p>
      <w:pPr>
        <w:spacing w:line="240" w:lineRule="auto"/>
        <w:rPr>
          <w:rFonts w:eastAsia="Calibri" w:cs="Times New Roman"/>
          <w:b/>
          <w:i/>
          <w:noProof/>
        </w:rPr>
      </w:pPr>
      <w:r>
        <w:rPr>
          <w:b/>
          <w:i/>
          <w:noProof/>
        </w:rPr>
        <w:t>Ilmanlaatu ja melu</w:t>
      </w:r>
    </w:p>
    <w:p>
      <w:pPr>
        <w:spacing w:line="240" w:lineRule="auto"/>
        <w:rPr>
          <w:rFonts w:cs="Times New Roman"/>
          <w:noProof/>
        </w:rPr>
      </w:pPr>
      <w:r>
        <w:rPr>
          <w:noProof/>
        </w:rPr>
        <w:t>EU:n, kansallisten, alueellisten ja paikallisviranomaisten yhteisten ponnistelujen ansiosta Euroopan ilmanlaatu on parantunut viimeisten vuosikymmenien aikana</w:t>
      </w:r>
      <w:r>
        <w:rPr>
          <w:noProof/>
          <w:vertAlign w:val="superscript"/>
        </w:rPr>
        <w:footnoteReference w:id="53"/>
      </w:r>
      <w:r>
        <w:rPr>
          <w:noProof/>
        </w:rPr>
        <w:t xml:space="preserve">. Vuodesta 2000 EU:n bruttokansantuote on kasvanut 32 prosenttia ja merkittävimpiä ilman epäpuhtauksia on pystytty vähentämään 10–70 prosenttia epäpuhtauden mukaan. Useimpien ilman epäpuhtauksien pitoisuudet ovat myös laskeneet viime vuosina. Useimmissa jäsenvaltioissa kansalaisten elämänlaatu on kuitenkin edelleen huono, koska </w:t>
      </w:r>
      <w:r>
        <w:rPr>
          <w:rStyle w:val="st"/>
          <w:noProof/>
        </w:rPr>
        <w:t xml:space="preserve">joidenkin </w:t>
      </w:r>
      <w:r>
        <w:rPr>
          <w:rStyle w:val="Emphasis"/>
          <w:i w:val="0"/>
          <w:noProof/>
        </w:rPr>
        <w:t>ilman</w:t>
      </w:r>
      <w:r>
        <w:rPr>
          <w:rStyle w:val="st"/>
          <w:noProof/>
        </w:rPr>
        <w:t xml:space="preserve"> epäpuhtauksien pitoisuudet ylittävät</w:t>
      </w:r>
      <w:r>
        <w:rPr>
          <w:rStyle w:val="Emphasis"/>
          <w:i w:val="0"/>
          <w:noProof/>
        </w:rPr>
        <w:t xml:space="preserve"> EU:n</w:t>
      </w:r>
      <w:r>
        <w:rPr>
          <w:rStyle w:val="st"/>
          <w:noProof/>
        </w:rPr>
        <w:t xml:space="preserve"> ilmanlaatunormit</w:t>
      </w:r>
      <w:r>
        <w:rPr>
          <w:noProof/>
        </w:rPr>
        <w:t xml:space="preserve">. Tilanne on erityisen vakava kaupunkialueilla, joilla suurin osa eurooppalaisista asuu. </w:t>
      </w:r>
    </w:p>
    <w:p>
      <w:pPr>
        <w:spacing w:line="240" w:lineRule="auto"/>
        <w:rPr>
          <w:rFonts w:cs="Times New Roman"/>
          <w:noProof/>
        </w:rPr>
      </w:pPr>
      <w:r>
        <w:rPr>
          <w:noProof/>
        </w:rPr>
        <w:t xml:space="preserve">Komissio hyväksyi vuonna 2018 tiedonannon </w:t>
      </w:r>
      <w:r>
        <w:rPr>
          <w:i/>
          <w:noProof/>
        </w:rPr>
        <w:t>Suojeleva Eurooppa: Puhdasta ilmaa kaikille</w:t>
      </w:r>
      <w:r>
        <w:rPr>
          <w:noProof/>
        </w:rPr>
        <w:t>. Siinä hahmotellaan käytettävissä olevat toimenpiteet joiden avulla jäsenvaltiot voivat torjua ilman saastumista ja käynnistää useampia korkeatasoisia puhdasta ilmaa koskevia vuoropuheluja</w:t>
      </w:r>
      <w:r>
        <w:rPr>
          <w:noProof/>
          <w:vertAlign w:val="superscript"/>
        </w:rPr>
        <w:footnoteReference w:id="54"/>
      </w:r>
      <w:r>
        <w:rPr>
          <w:noProof/>
        </w:rPr>
        <w:t>. EU:n kahden ilmanlaatua koskevan direktiivin toimivuustarkastusta tehdään parhaillaan, ja siinä arvioidaan direktiivien merkityksellisyyttä, vaikuttavuutta, tehokkuutta, johdonmukaisuutta ja lisäarvoa</w:t>
      </w:r>
      <w:r>
        <w:rPr>
          <w:noProof/>
          <w:vertAlign w:val="superscript"/>
        </w:rPr>
        <w:footnoteReference w:id="55"/>
      </w:r>
      <w:r>
        <w:rPr>
          <w:noProof/>
        </w:rPr>
        <w:t>. Jäsenvaltiot ovat alkaneet laatia kansallisia ilmansuojeluohjelmiaan, jotka on määrä saada valmiiksi vuonna 2019. Kansallisten ja paikallisten viranomaisten tueksi on käynnistetty tutkimus- ja innovaatioaloitteita, joissa tavoitteena on ilman pilaantumista koskevan tietämyksen lisääminen ja pilaantumisen torjuminen</w:t>
      </w:r>
      <w:r>
        <w:rPr>
          <w:noProof/>
          <w:vertAlign w:val="superscript"/>
        </w:rPr>
        <w:footnoteReference w:id="56"/>
      </w:r>
      <w:r>
        <w:rPr>
          <w:noProof/>
        </w:rPr>
        <w:t>.</w:t>
      </w:r>
    </w:p>
    <w:p>
      <w:pPr>
        <w:spacing w:line="240" w:lineRule="auto"/>
        <w:rPr>
          <w:rFonts w:cs="Times New Roman"/>
          <w:noProof/>
        </w:rPr>
      </w:pPr>
      <w:r>
        <w:rPr>
          <w:noProof/>
        </w:rPr>
        <w:t>Osana melusaasteen torjuntaa EU:ssa on otettu käyttöön yhteinen lähestymistapa, jonka avulla pyritään torjumaan ja vähentämään ympäristömelulle altistumisen haitallisia vaikutuksia. Lähestymistavassa keskeistä on melun kartoittaminen yhteisin menetelmin, yleisölle tiedottaminen ja räätälöityjen paikallistason toimintasuunnitelmien hyväksyminen ja täytäntöönpano.</w:t>
      </w:r>
    </w:p>
    <w:p>
      <w:pPr>
        <w:spacing w:after="200" w:line="276" w:lineRule="auto"/>
        <w:jc w:val="left"/>
        <w:rPr>
          <w:rFonts w:cs="Times New Roman"/>
          <w:i/>
          <w:iCs/>
          <w:noProof/>
        </w:rPr>
      </w:pPr>
      <w:r>
        <w:rPr>
          <w:i/>
          <w:noProof/>
        </w:rPr>
        <w:t>Politiikanalaa koskevat tulokset:</w:t>
      </w:r>
    </w:p>
    <w:p>
      <w:pPr>
        <w:pStyle w:val="ListParagraph"/>
        <w:numPr>
          <w:ilvl w:val="0"/>
          <w:numId w:val="3"/>
        </w:numPr>
        <w:rPr>
          <w:rFonts w:cs="Times New Roman"/>
          <w:i/>
          <w:iCs/>
          <w:noProof/>
        </w:rPr>
      </w:pPr>
      <w:r>
        <w:rPr>
          <w:i/>
          <w:noProof/>
        </w:rPr>
        <w:t>Vaarana on, että joissain tapauksissa ilman pilaantumista aliarvioidaan, koska ilmanlaatua ei valvota oikeissa paikoissa</w:t>
      </w:r>
      <w:r>
        <w:rPr>
          <w:i/>
          <w:noProof/>
          <w:vertAlign w:val="superscript"/>
        </w:rPr>
        <w:footnoteReference w:id="57"/>
      </w:r>
      <w:r>
        <w:rPr>
          <w:i/>
          <w:noProof/>
        </w:rPr>
        <w:t>. Jotta ilmanlaatu mitataan suurten teollisuusalueiden tai tärkeiden kaupunkiliikenteen reittien lähellä, näytteenottopaikat on sijoitettava sekä alueille, ”joilla esiintyvät korkeimmat pitoisuudet”, että muille alueille, ”jotka edustavat väestön yleistä alistumista”.</w:t>
      </w:r>
    </w:p>
    <w:p>
      <w:pPr>
        <w:numPr>
          <w:ilvl w:val="0"/>
          <w:numId w:val="3"/>
        </w:numPr>
        <w:spacing w:line="240" w:lineRule="auto"/>
        <w:ind w:left="357" w:hanging="357"/>
        <w:rPr>
          <w:rFonts w:cs="Times New Roman"/>
          <w:i/>
          <w:iCs/>
          <w:noProof/>
        </w:rPr>
      </w:pPr>
      <w:r>
        <w:rPr>
          <w:i/>
          <w:noProof/>
        </w:rPr>
        <w:t>Vaikka tilanne onkin parantunut joissakin jäsenvaltioissa, 18 jäsenvaltion</w:t>
      </w:r>
      <w:r>
        <w:rPr>
          <w:i/>
          <w:noProof/>
          <w:vertAlign w:val="superscript"/>
        </w:rPr>
        <w:footnoteReference w:id="58"/>
      </w:r>
      <w:r>
        <w:rPr>
          <w:i/>
          <w:noProof/>
        </w:rPr>
        <w:t xml:space="preserve"> on vauhditettava typpioksidipäästöjen (NO</w:t>
      </w:r>
      <w:r>
        <w:rPr>
          <w:i/>
          <w:noProof/>
          <w:vertAlign w:val="subscript"/>
        </w:rPr>
        <w:t>x</w:t>
      </w:r>
      <w:r>
        <w:rPr>
          <w:i/>
          <w:noProof/>
        </w:rPr>
        <w:t>) ja typpidioksidipitoisuuksien (NO</w:t>
      </w:r>
      <w:r>
        <w:rPr>
          <w:i/>
          <w:noProof/>
          <w:vertAlign w:val="subscript"/>
        </w:rPr>
        <w:t>2</w:t>
      </w:r>
      <w:r>
        <w:rPr>
          <w:i/>
          <w:noProof/>
        </w:rPr>
        <w:t>) vähentämistä alentamalla edelleen liikenteen päästöjä etenkin kaupunkialueilla. Tässä saatetaan tarvita myös ajoneuvojen pääsyyn kaupunkialueille kohdistettuja oikeasuhtaisia ja kohdennettuja rajoituksia ja/tai verokannustimia. Jos ylityksiä on ollut toistuvasti, komissio on aloittanut rikkomusmenettelyn nostamalla useita jäsenvaltioita vastaan kanteen Euroopan unionin tuomioistuimessa.</w:t>
      </w:r>
      <w:r>
        <w:rPr>
          <w:i/>
          <w:noProof/>
          <w:color w:val="70AD47"/>
        </w:rPr>
        <w:t xml:space="preserve"> </w:t>
      </w:r>
    </w:p>
    <w:p>
      <w:pPr>
        <w:numPr>
          <w:ilvl w:val="0"/>
          <w:numId w:val="3"/>
        </w:numPr>
        <w:spacing w:line="240" w:lineRule="auto"/>
        <w:ind w:left="357" w:hanging="357"/>
        <w:rPr>
          <w:rFonts w:cs="Times New Roman"/>
          <w:i/>
          <w:iCs/>
          <w:noProof/>
        </w:rPr>
      </w:pPr>
      <w:r>
        <w:rPr>
          <w:i/>
          <w:noProof/>
        </w:rPr>
        <w:t>Erityisesti pienhiukkaspäästöjen (PM</w:t>
      </w:r>
      <w:r>
        <w:rPr>
          <w:i/>
          <w:noProof/>
          <w:vertAlign w:val="subscript"/>
        </w:rPr>
        <w:t>2,5</w:t>
      </w:r>
      <w:r>
        <w:rPr>
          <w:i/>
          <w:noProof/>
        </w:rPr>
        <w:t xml:space="preserve"> ja PM</w:t>
      </w:r>
      <w:r>
        <w:rPr>
          <w:i/>
          <w:noProof/>
          <w:vertAlign w:val="subscript"/>
        </w:rPr>
        <w:t>10</w:t>
      </w:r>
      <w:r>
        <w:rPr>
          <w:i/>
          <w:noProof/>
        </w:rPr>
        <w:t>) vähentämistä on vauhditettava 15 jäsenvaltiossa</w:t>
      </w:r>
      <w:r>
        <w:rPr>
          <w:i/>
          <w:noProof/>
          <w:vertAlign w:val="superscript"/>
        </w:rPr>
        <w:footnoteReference w:id="59"/>
      </w:r>
      <w:r>
        <w:rPr>
          <w:i/>
          <w:noProof/>
        </w:rPr>
        <w:t>, muun muassa edistämällä puhtaampaa energiantuotantoa ja tehokasta ja puhdasta kaukolämmitystä. Tästä on vireillä useita rikkomusmenettelyjä. Joitakin asianosaisia jäsenvaltioita vastaan on nostettu kanne Euroopan unionin tuomioistuimessa alituisesti korkeana pysyvän pienhiukkaspäästöjen (PM</w:t>
      </w:r>
      <w:r>
        <w:rPr>
          <w:i/>
          <w:noProof/>
          <w:vertAlign w:val="subscript"/>
        </w:rPr>
        <w:t>10</w:t>
      </w:r>
      <w:r>
        <w:rPr>
          <w:i/>
          <w:noProof/>
        </w:rPr>
        <w:t xml:space="preserve">) tason vuoksi. Tuomioistuin on antanut päätöksensä jo kahdessa tapauksessa. </w:t>
      </w:r>
    </w:p>
    <w:p>
      <w:pPr>
        <w:numPr>
          <w:ilvl w:val="0"/>
          <w:numId w:val="3"/>
        </w:numPr>
        <w:spacing w:line="240" w:lineRule="auto"/>
        <w:ind w:left="357" w:hanging="357"/>
        <w:rPr>
          <w:rFonts w:cs="Times New Roman"/>
          <w:i/>
          <w:iCs/>
          <w:noProof/>
        </w:rPr>
      </w:pPr>
      <w:r>
        <w:rPr>
          <w:i/>
          <w:noProof/>
        </w:rPr>
        <w:t>Ammoniakkipäästöjen (NH</w:t>
      </w:r>
      <w:r>
        <w:rPr>
          <w:i/>
          <w:noProof/>
          <w:vertAlign w:val="subscript"/>
        </w:rPr>
        <w:t>3</w:t>
      </w:r>
      <w:r>
        <w:rPr>
          <w:i/>
          <w:noProof/>
        </w:rPr>
        <w:t>) vähentäminen kuudessa jäsenvaltiossa</w:t>
      </w:r>
      <w:r>
        <w:rPr>
          <w:i/>
          <w:noProof/>
          <w:vertAlign w:val="superscript"/>
        </w:rPr>
        <w:footnoteReference w:id="60"/>
      </w:r>
      <w:r>
        <w:rPr>
          <w:i/>
          <w:noProof/>
          <w:vertAlign w:val="superscript"/>
        </w:rPr>
        <w:t xml:space="preserve"> </w:t>
      </w:r>
      <w:r>
        <w:rPr>
          <w:i/>
          <w:noProof/>
        </w:rPr>
        <w:t xml:space="preserve">edellyttää maatalouden päästöjen vähentämistä. Tähän päästään ottamalla käyttöön vähäpäästöisiä viljelytekniikoita ja karjanhoitoon sekä lannan ja lannoitteiden käsittelyyn liittyviä tekniikoita. </w:t>
      </w:r>
    </w:p>
    <w:p>
      <w:pPr>
        <w:numPr>
          <w:ilvl w:val="0"/>
          <w:numId w:val="3"/>
        </w:numPr>
        <w:spacing w:line="240" w:lineRule="auto"/>
        <w:rPr>
          <w:rFonts w:cs="Times New Roman"/>
          <w:i/>
          <w:iCs/>
          <w:noProof/>
        </w:rPr>
      </w:pPr>
      <w:r>
        <w:rPr>
          <w:i/>
          <w:noProof/>
        </w:rPr>
        <w:t>Kolmeltatoista jäsenvaltiolta puuttuu edelleen melunhallinnan toimintasuunnitelma</w:t>
      </w:r>
      <w:r>
        <w:rPr>
          <w:i/>
          <w:noProof/>
          <w:vertAlign w:val="superscript"/>
        </w:rPr>
        <w:footnoteReference w:id="61"/>
      </w:r>
      <w:r>
        <w:rPr>
          <w:i/>
          <w:noProof/>
        </w:rPr>
        <w:t>, ja seitsemän</w:t>
      </w:r>
      <w:r>
        <w:rPr>
          <w:i/>
          <w:noProof/>
          <w:vertAlign w:val="superscript"/>
        </w:rPr>
        <w:footnoteReference w:id="62"/>
      </w:r>
      <w:r>
        <w:rPr>
          <w:i/>
          <w:noProof/>
        </w:rPr>
        <w:t xml:space="preserve"> on vielä hyväksyttävä vaaditut melukartat.</w:t>
      </w:r>
    </w:p>
    <w:tbl>
      <w:tblPr>
        <w:tblStyle w:val="TableGrid"/>
        <w:tblpPr w:leftFromText="180" w:rightFromText="180" w:vertAnchor="text" w:horzAnchor="margin" w:tblpY="222"/>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Hyviä käytäntöjä:</w:t>
            </w:r>
          </w:p>
          <w:p>
            <w:pPr>
              <w:spacing w:after="200" w:line="240" w:lineRule="auto"/>
              <w:rPr>
                <w:rFonts w:cs="Times New Roman"/>
                <w:noProof/>
              </w:rPr>
            </w:pPr>
            <w:r>
              <w:rPr>
                <w:noProof/>
              </w:rPr>
              <w:t xml:space="preserve">Jäsenvaltiot ja komissio ovat järjestäneet vuodesta 2017 lähtien ilmanlaatua koskevia vuoropuhelukierroksia. Vuoden 2018 loppuun mennessä on järjestetty kuusi puhtaan ilman vuoropuhelua, joissa on käsitelty </w:t>
            </w:r>
            <w:r>
              <w:rPr>
                <w:b/>
                <w:noProof/>
              </w:rPr>
              <w:t>Espanjan, Irlannin, Luxemburgin, Slovakian, Tšekin ja Unkarin</w:t>
            </w:r>
            <w:r>
              <w:rPr>
                <w:noProof/>
              </w:rPr>
              <w:t xml:space="preserve"> erityisiä haasteita. Näitä ponnisteluja on täydennetty aihekohtaisilla työpajoilla Euroopan komission TAIEX-EIR Peer2Peer </w:t>
            </w:r>
            <w:r>
              <w:rPr>
                <w:noProof/>
              </w:rPr>
              <w:noBreakHyphen/>
              <w:t>mekanismin tukemana.</w:t>
            </w:r>
          </w:p>
          <w:p>
            <w:pPr>
              <w:spacing w:after="200" w:line="240" w:lineRule="auto"/>
              <w:rPr>
                <w:rFonts w:cs="Times New Roman"/>
                <w:b/>
                <w:bCs/>
                <w:noProof/>
              </w:rPr>
            </w:pPr>
            <w:r>
              <w:rPr>
                <w:b/>
                <w:noProof/>
              </w:rPr>
              <w:t>Puolassa</w:t>
            </w:r>
            <w:r>
              <w:rPr>
                <w:noProof/>
              </w:rPr>
              <w:t xml:space="preserve"> LIFE-ohjelman hanke ”Małopolska Region”</w:t>
            </w:r>
            <w:r>
              <w:rPr>
                <w:noProof/>
                <w:vertAlign w:val="superscript"/>
              </w:rPr>
              <w:footnoteReference w:id="63"/>
            </w:r>
            <w:r>
              <w:rPr>
                <w:noProof/>
              </w:rPr>
              <w:t xml:space="preserve"> tarjoaa tukea ja neuvontapalveluja, joilla on tarkoitus edistää alueen vakavan ilman pilaantumisongelman ratkaisemiseen suunnattujen toimenpiteiden täytäntöönpanemista.</w:t>
            </w:r>
          </w:p>
        </w:tc>
      </w:tr>
    </w:tbl>
    <w:p>
      <w:pPr>
        <w:spacing w:before="240"/>
        <w:rPr>
          <w:rFonts w:eastAsia="Calibri" w:cs="Times New Roman"/>
          <w:b/>
          <w:i/>
          <w:noProof/>
        </w:rPr>
      </w:pPr>
      <w:r>
        <w:rPr>
          <w:b/>
          <w:i/>
          <w:noProof/>
        </w:rPr>
        <w:t>Teollisuuden päästöt</w:t>
      </w:r>
    </w:p>
    <w:p>
      <w:pPr>
        <w:spacing w:line="240" w:lineRule="auto"/>
        <w:rPr>
          <w:rFonts w:cs="Times New Roman"/>
          <w:noProof/>
        </w:rPr>
      </w:pPr>
      <w:r>
        <w:rPr>
          <w:noProof/>
        </w:rPr>
        <w:t>Teollisuuden osuus EU:n BKT:stä on 24 prosenttia, ja se työllistää 50 miljoonaa ihmistä. Se edistää siis merkittävästi mantereemme taloudellista hyvinvointia ja kehitystä</w:t>
      </w:r>
      <w:r>
        <w:rPr>
          <w:noProof/>
          <w:vertAlign w:val="superscript"/>
        </w:rPr>
        <w:footnoteReference w:id="64"/>
      </w:r>
      <w:r>
        <w:rPr>
          <w:noProof/>
        </w:rPr>
        <w:t>. Teollisesta toiminnasta aiheutuva pilaantuminen voi kuitenkin vaikuttaa kielteisesti ihmisiin ja ympäristöön. Tämän vuoksi puhdas teollisuus on meille olennaisen tärkeä. EU pyrkii turvaamaan ihmisten terveyden ja ympäristön suojelun mahdollisimman korkean tason sekä edistämään innovointia ja kilpailukykyä kattavan lähestymistavan – ja ennen kaikkea teollisuuden päästöjä koskevan direktiivin</w:t>
      </w:r>
      <w:r>
        <w:rPr>
          <w:noProof/>
          <w:vertAlign w:val="superscript"/>
        </w:rPr>
        <w:footnoteReference w:id="65"/>
      </w:r>
      <w:r>
        <w:rPr>
          <w:noProof/>
          <w:vertAlign w:val="superscript"/>
        </w:rPr>
        <w:t xml:space="preserve"> </w:t>
      </w:r>
      <w:r>
        <w:rPr>
          <w:noProof/>
        </w:rPr>
        <w:t>– avulla.</w:t>
      </w:r>
    </w:p>
    <w:p>
      <w:pPr>
        <w:spacing w:line="240" w:lineRule="auto"/>
        <w:rPr>
          <w:rFonts w:cs="Times New Roman"/>
          <w:noProof/>
        </w:rPr>
      </w:pPr>
      <w:r>
        <w:rPr>
          <w:noProof/>
        </w:rPr>
        <w:t>Tällä hetkellä ilmakehän saasteista 40 prosenttia ja vesistöjen saasteista 20 prosenttia on peräisin teollisuudesta</w:t>
      </w:r>
      <w:r>
        <w:rPr>
          <w:noProof/>
          <w:vertAlign w:val="superscript"/>
        </w:rPr>
        <w:footnoteReference w:id="66"/>
      </w:r>
      <w:r>
        <w:rPr>
          <w:noProof/>
        </w:rPr>
        <w:t xml:space="preserve">. Teollisuuden päästöistä annetulla EU:n direktiivillä säännellään 50 000 suurimman teollisuuslaitoksen ympäristövaikutuksia. EU on asettanut teollisuuden päästörajoitukset yli 80 ilman- ja vedensaasteelle. Teollisuuden ympäristövaikutuksia rajoitetaan myös suoritusvaatimuksilla. Direktiivissä asetetaan laitosten hyväksymisen ja valvonnan keskeiset periaatteet, jotka perustuvat yhtenäiseen menettelyyn ja parhaimpien käytettävissä olevien tekniikoiden käyttöön ympäristönsuojelun korkean tason varmistamiseksi, ottaen huomioon kustannukset ja hyödyt. Käyttöön on otettu jo useita läpimurtoteknologioita, joiden avulla kasvihuonekaasuja ja saasteita on saatu vähennettyä huomattavasti ja jotka usein yhdistetään kiertoteollisuuden teknologioihin. </w:t>
      </w:r>
    </w:p>
    <w:p>
      <w:pPr>
        <w:spacing w:after="200" w:line="276" w:lineRule="auto"/>
        <w:jc w:val="left"/>
        <w:rPr>
          <w:rFonts w:cs="Times New Roman"/>
          <w:i/>
          <w:iCs/>
          <w:noProof/>
        </w:rPr>
      </w:pPr>
      <w:r>
        <w:rPr>
          <w:i/>
          <w:noProof/>
        </w:rPr>
        <w:t>Politiikanalaa koskevat tulokset:</w:t>
      </w:r>
    </w:p>
    <w:p>
      <w:pPr>
        <w:pStyle w:val="ListParagraph"/>
        <w:numPr>
          <w:ilvl w:val="0"/>
          <w:numId w:val="3"/>
        </w:numPr>
        <w:spacing w:line="240" w:lineRule="auto"/>
        <w:contextualSpacing w:val="0"/>
        <w:rPr>
          <w:rFonts w:cs="Times New Roman"/>
          <w:noProof/>
        </w:rPr>
      </w:pPr>
      <w:r>
        <w:rPr>
          <w:i/>
          <w:noProof/>
        </w:rPr>
        <w:t>Kaikkien EU:n jäsenvaltioiden on tarkistettava myönnetyt luvat siltä osin, että ne ovat yhdenmukaisia hiljattain hyväksyttyjen parhaita käytettävissä olevia tekniikoita koskevien päätelmien kanssa ja että ne vahvistavat valvontaa ja täytäntöönpanoa kentällä.</w:t>
      </w:r>
    </w:p>
    <w:p>
      <w:pPr>
        <w:pStyle w:val="ListParagraph"/>
        <w:numPr>
          <w:ilvl w:val="0"/>
          <w:numId w:val="3"/>
        </w:numPr>
        <w:spacing w:line="240" w:lineRule="auto"/>
        <w:contextualSpacing w:val="0"/>
        <w:rPr>
          <w:rFonts w:cs="Times New Roman"/>
          <w:noProof/>
        </w:rPr>
      </w:pPr>
      <w:r>
        <w:rPr>
          <w:i/>
          <w:noProof/>
        </w:rPr>
        <w:t>Voimalaitosten päästöihin liittyvät ilman ja/tai veden saasteet ovat pääasiallinen saastumisen lähde yhdessätoista EU:n jäsenvaltiossa</w:t>
      </w:r>
      <w:r>
        <w:rPr>
          <w:i/>
          <w:noProof/>
          <w:vertAlign w:val="superscript"/>
        </w:rPr>
        <w:footnoteReference w:id="67"/>
      </w:r>
      <w:r>
        <w:rPr>
          <w:i/>
          <w:noProof/>
        </w:rPr>
        <w:t>. Seitsemässä jäsenvaltiossa</w:t>
      </w:r>
      <w:r>
        <w:rPr>
          <w:i/>
          <w:noProof/>
          <w:vertAlign w:val="superscript"/>
        </w:rPr>
        <w:footnoteReference w:id="68"/>
      </w:r>
      <w:r>
        <w:rPr>
          <w:i/>
          <w:noProof/>
        </w:rPr>
        <w:t xml:space="preserve"> suurin osa päästöistä tulee siipikarjan ja sikojen tehokasvatuksesta. Vakavana huolenaiheena ovat lisäksi kahden jäsenvaltion</w:t>
      </w:r>
      <w:r>
        <w:rPr>
          <w:i/>
          <w:noProof/>
          <w:vertAlign w:val="superscript"/>
        </w:rPr>
        <w:footnoteReference w:id="69"/>
      </w:r>
      <w:r>
        <w:rPr>
          <w:i/>
          <w:noProof/>
        </w:rPr>
        <w:t xml:space="preserve"> rauta- ja terästehtaiden päästöistä peräisin olevat ilmansaasteet. Jätteidenkäsittelylaitosten päästöt aiheuttavat huolta kolmessa jäsenvaltiossa</w:t>
      </w:r>
      <w:r>
        <w:rPr>
          <w:i/>
          <w:noProof/>
          <w:vertAlign w:val="superscript"/>
        </w:rPr>
        <w:footnoteReference w:id="70"/>
      </w:r>
      <w:r>
        <w:rPr>
          <w:i/>
          <w:noProof/>
        </w:rPr>
        <w:t>.</w:t>
      </w:r>
    </w:p>
    <w:p>
      <w:pPr>
        <w:spacing w:before="240"/>
        <w:rPr>
          <w:rFonts w:eastAsia="Calibri" w:cs="Times New Roman"/>
          <w:b/>
          <w:i/>
          <w:noProof/>
        </w:rPr>
      </w:pPr>
      <w:r>
        <w:rPr>
          <w:b/>
          <w:i/>
          <w:noProof/>
        </w:rPr>
        <w:t>Vedenlaatu, tulvat ja vesihuolto</w:t>
      </w:r>
    </w:p>
    <w:p>
      <w:pPr>
        <w:widowControl w:val="0"/>
        <w:autoSpaceDE w:val="0"/>
        <w:spacing w:line="240" w:lineRule="auto"/>
        <w:rPr>
          <w:rFonts w:cs="Times New Roman"/>
          <w:noProof/>
        </w:rPr>
      </w:pPr>
      <w:r>
        <w:rPr>
          <w:noProof/>
        </w:rPr>
        <w:t>Vesivarojen, makean ja meriveden ekosysteemien sekä juoma- ja uimaveden suojelu on tärkeä osa ympäristönsuojelua Euroopassa. Voimassa olevalla EU:n vesilainsäädännöllä</w:t>
      </w:r>
      <w:r>
        <w:rPr>
          <w:noProof/>
          <w:vertAlign w:val="superscript"/>
        </w:rPr>
        <w:footnoteReference w:id="71"/>
      </w:r>
      <w:r>
        <w:rPr>
          <w:noProof/>
        </w:rPr>
        <w:t xml:space="preserve"> on luotu kehys makean ja meriveden hallinnalle sekä tiettyihin veden pilaantumisen aiheuttajiin puuttumiselle. Yhteisen kalastuspolitiikan tavoitteena on rajoittaa kalastuksen vaikutukset kalakantojen tuotantopotentiaalin kestävälle pyyntitasolle, mikä rajoittaa ekosysteemiin kohdistuvia vaikutuksia. </w:t>
      </w:r>
    </w:p>
    <w:p>
      <w:pPr>
        <w:widowControl w:val="0"/>
        <w:autoSpaceDE w:val="0"/>
        <w:spacing w:line="240" w:lineRule="auto"/>
        <w:rPr>
          <w:rFonts w:cs="Times New Roman"/>
          <w:noProof/>
        </w:rPr>
      </w:pPr>
      <w:r>
        <w:rPr>
          <w:noProof/>
        </w:rPr>
        <w:t>Ilmastonmuutos vaikuttaa yhä enemmän Euroopan vesistöihin. EU:n vesilainsäädännön noudattaminen auttaa jo nyt hallitsemaan ilmastonmuutoksen vaikutuksia, sillä osaamme ennakoida kuivuutta ja tulvia paremmin. EU:n vesipolitiikalla voidaan merkittävästi lieventää ilmastonmuutoksen vaikutuksia, jos tehokkaisiin toimiin ryhdytään heti. Lisäksi EU:n vesipolitiikka on tukenut myös dynaamisen, maailman johtavan vesialan syntyä. Alalla toimii 9 000 pk-yritystä ja on lähes puoli miljoonaa kokoaikaista työpaikkaa</w:t>
      </w:r>
      <w:r>
        <w:rPr>
          <w:noProof/>
          <w:vertAlign w:val="superscript"/>
        </w:rPr>
        <w:footnoteReference w:id="72"/>
      </w:r>
      <w:r>
        <w:rPr>
          <w:noProof/>
        </w:rPr>
        <w:t xml:space="preserve">. </w:t>
      </w:r>
    </w:p>
    <w:p>
      <w:pPr>
        <w:spacing w:line="240" w:lineRule="auto"/>
        <w:rPr>
          <w:rFonts w:cs="Times New Roman"/>
          <w:noProof/>
        </w:rPr>
      </w:pPr>
      <w:r>
        <w:rPr>
          <w:noProof/>
        </w:rPr>
        <w:t>Arvioituaan vesipolitiikan puitedirektiivin mukaiset jäsenvaltioiden toiset vesienhoitosuunnitelmat komissio totesi, että tietoisuus puitedirektiivistä ja sen noudattamista koskeva raportointi on parantunut merkittävästi. Jäsenvaltioiden ensimmäisten tulvariskien hallintasuunnitelmien arviossa komissio totesi, että asiassa on edistytty merkittävästi, vaikka käytännön täytäntöönpanoasteessa onkin eroja. Komissio on ottanut huomioon Wienissä vuonna 2018 pidetyn EU:n vesikonferenssin</w:t>
      </w:r>
      <w:r>
        <w:rPr>
          <w:noProof/>
          <w:vertAlign w:val="superscript"/>
        </w:rPr>
        <w:footnoteReference w:id="73"/>
      </w:r>
      <w:r>
        <w:rPr>
          <w:noProof/>
        </w:rPr>
        <w:t xml:space="preserve">, jossa useat sidosryhmät ja jäsenvaltiot vaihtoivat kokemuksiaan EU:n vesilainsäädännön täytäntöönpanemisesta ja antoivat siitä vaihtelevan kuvan. </w:t>
      </w:r>
    </w:p>
    <w:p>
      <w:pPr>
        <w:spacing w:line="240" w:lineRule="auto"/>
        <w:rPr>
          <w:rFonts w:cs="Times New Roman"/>
          <w:i/>
          <w:iCs/>
          <w:noProof/>
        </w:rPr>
      </w:pPr>
      <w:r>
        <w:rPr>
          <w:i/>
          <w:noProof/>
        </w:rPr>
        <w:t>Politiikanalaa koskevat tulokset:</w:t>
      </w:r>
    </w:p>
    <w:p>
      <w:pPr>
        <w:pStyle w:val="ListParagraph"/>
        <w:numPr>
          <w:ilvl w:val="0"/>
          <w:numId w:val="3"/>
        </w:numPr>
        <w:spacing w:line="240" w:lineRule="auto"/>
        <w:contextualSpacing w:val="0"/>
        <w:rPr>
          <w:rFonts w:cs="Times New Roman"/>
          <w:i/>
          <w:iCs/>
          <w:noProof/>
        </w:rPr>
      </w:pPr>
      <w:r>
        <w:rPr>
          <w:i/>
          <w:noProof/>
        </w:rPr>
        <w:t>Komissio arvioi jäsenvaltioiden toisten vesienhoitosuunnitelmien</w:t>
      </w:r>
      <w:r>
        <w:rPr>
          <w:i/>
          <w:noProof/>
          <w:vertAlign w:val="superscript"/>
        </w:rPr>
        <w:footnoteReference w:id="74"/>
      </w:r>
      <w:r>
        <w:rPr>
          <w:i/>
          <w:noProof/>
        </w:rPr>
        <w:t xml:space="preserve"> pohjalta, että vesipolitiikan puitedirektiivin tavoitteiden noudattamisessa edistytään vähitellen. Tie vesipuitedirektiivin tavoitteiden täysimääräiseen saavuttamiseen vuoteen 2027 mennessä, minkä jälkeen poikkeusmahdollisuudet ovat rajalliset, näyttää tällä hetkellä kuitenkin haastavalta.</w:t>
      </w:r>
    </w:p>
    <w:p>
      <w:pPr>
        <w:pStyle w:val="ListParagraph"/>
        <w:numPr>
          <w:ilvl w:val="0"/>
          <w:numId w:val="3"/>
        </w:numPr>
        <w:spacing w:line="240" w:lineRule="auto"/>
        <w:contextualSpacing w:val="0"/>
        <w:rPr>
          <w:rFonts w:cs="Times New Roman"/>
          <w:i/>
          <w:iCs/>
          <w:noProof/>
        </w:rPr>
      </w:pPr>
      <w:r>
        <w:rPr>
          <w:i/>
          <w:noProof/>
        </w:rPr>
        <w:t xml:space="preserve">Tehtävää on vielä paljon vesipuitedirektiivin ja muiden asiaa koskevien direktiivien tavoitteiden täysimääräiseksi saavuttamiseksi. Siinä on investointien lisääminen välttämätöntä. Jäsenvaltiot hyötyvät siitä, että kaikki merkitykselliset markkinoiden ja kansalaisyhteiskunnan toimijat ovat aktiivisesti mukana varmistamassa sen, että aiheuttaja maksaa </w:t>
      </w:r>
      <w:r>
        <w:rPr>
          <w:noProof/>
        </w:rPr>
        <w:noBreakHyphen/>
      </w:r>
      <w:r>
        <w:rPr>
          <w:i/>
          <w:noProof/>
        </w:rPr>
        <w:t xml:space="preserve">periaatteen noudattamista valvotaan paremmin. Täytäntöönpanotoimia tuetaan edelleen EU:n varoin. </w:t>
      </w:r>
    </w:p>
    <w:p>
      <w:pPr>
        <w:pStyle w:val="ListParagraph"/>
        <w:numPr>
          <w:ilvl w:val="0"/>
          <w:numId w:val="3"/>
        </w:numPr>
        <w:spacing w:line="240" w:lineRule="auto"/>
        <w:contextualSpacing w:val="0"/>
        <w:rPr>
          <w:rFonts w:cs="Times New Roman"/>
          <w:i/>
          <w:iCs/>
          <w:noProof/>
        </w:rPr>
      </w:pPr>
      <w:r>
        <w:rPr>
          <w:i/>
          <w:noProof/>
        </w:rPr>
        <w:t xml:space="preserve">Vaikka moni jäsenvaltio onkin toteuttanut hyviä poliittisia toimenpiteitä ja tehnyt investointeja, veden laadun parantuminen vie vielä aikaa monessa vesienhoitosuunnitelmassa. </w:t>
      </w:r>
    </w:p>
    <w:p>
      <w:pPr>
        <w:pStyle w:val="ListParagraph"/>
        <w:numPr>
          <w:ilvl w:val="0"/>
          <w:numId w:val="3"/>
        </w:numPr>
        <w:spacing w:line="240" w:lineRule="auto"/>
        <w:contextualSpacing w:val="0"/>
        <w:rPr>
          <w:rFonts w:cs="Times New Roman"/>
          <w:i/>
          <w:iCs/>
          <w:noProof/>
        </w:rPr>
      </w:pPr>
      <w:r>
        <w:rPr>
          <w:i/>
          <w:noProof/>
        </w:rPr>
        <w:t xml:space="preserve">Vaikka useimpien pohjavesimuodostumien tila on hyvä, pintavesimuodostumissa näin on alle puolessa. Kehitys useiden keskeisten yksittäisten laatutekijöiden ja aineiden kohdalla on kuitenkin parempi. </w:t>
      </w:r>
    </w:p>
    <w:p>
      <w:pPr>
        <w:pStyle w:val="ListParagraph"/>
        <w:numPr>
          <w:ilvl w:val="0"/>
          <w:numId w:val="3"/>
        </w:numPr>
        <w:spacing w:line="240" w:lineRule="auto"/>
        <w:contextualSpacing w:val="0"/>
        <w:rPr>
          <w:rFonts w:cs="Times New Roman"/>
          <w:i/>
          <w:iCs/>
          <w:noProof/>
        </w:rPr>
      </w:pPr>
      <w:r>
        <w:rPr>
          <w:i/>
          <w:noProof/>
        </w:rPr>
        <w:t>Pyrkiminen tulvadirektiivin tavoitteeseen, joka koskee suurten tulvien mahdollisten haitallisten seurausten lieventämistä, edellyttää jäsenvaltioilta jatkuvia ponnisteluja seuraavien kierrosten aikana.</w:t>
      </w:r>
    </w:p>
    <w:p>
      <w:pPr>
        <w:pStyle w:val="ListParagraph"/>
        <w:numPr>
          <w:ilvl w:val="0"/>
          <w:numId w:val="3"/>
        </w:numPr>
        <w:spacing w:line="240" w:lineRule="auto"/>
        <w:contextualSpacing w:val="0"/>
        <w:rPr>
          <w:rFonts w:cs="Times New Roman"/>
          <w:i/>
          <w:iCs/>
          <w:noProof/>
        </w:rPr>
      </w:pPr>
      <w:r>
        <w:rPr>
          <w:i/>
          <w:noProof/>
        </w:rPr>
        <w:t xml:space="preserve">Yhdyskuntajätevesiä ei vieläkään käsitellä kuten pitäisi useissa jäsenvaltioissa </w:t>
      </w:r>
      <w:r>
        <w:rPr>
          <w:i/>
          <w:noProof/>
          <w:vertAlign w:val="superscript"/>
        </w:rPr>
        <w:footnoteReference w:id="75"/>
      </w:r>
      <w:r>
        <w:rPr>
          <w:i/>
          <w:noProof/>
        </w:rPr>
        <w:t>, minkä vuoksi useimpia niitä vastaan aiotaan käynnistää rikkomusmenettely ja muutamalle on määrätty taloudellisia seuraamuksia. Edistyminen riippuu siitä, asettavatko jäsenvaltiot yhdyskuntajätevesien käsittelylaitoksia koskevat investoinnit etusijalle esimerkiksi koheesiopolitiikkaan sisältyvän rahoituksen ja Euroopan Investointipankin lainojen tehokkaalla käytöllä.</w:t>
      </w:r>
    </w:p>
    <w:p>
      <w:pPr>
        <w:pStyle w:val="ListParagraph"/>
        <w:numPr>
          <w:ilvl w:val="0"/>
          <w:numId w:val="3"/>
        </w:numPr>
        <w:spacing w:line="240" w:lineRule="auto"/>
        <w:contextualSpacing w:val="0"/>
        <w:rPr>
          <w:rFonts w:cs="Times New Roman"/>
          <w:i/>
          <w:iCs/>
          <w:noProof/>
        </w:rPr>
      </w:pPr>
      <w:r>
        <w:rPr>
          <w:i/>
          <w:noProof/>
        </w:rPr>
        <w:t>Tehomaatalouden käytännöistä johtuva nitraattien aiheuttama veden pilaantumien on vähentynyt Euroopassa kahden viime vuosikymmenen aikana. Tästä yleisestä positiivisesta kehityksestä huolimatta nitraateista johtuva pilaantuminen ja rehevöityminen aiheuttaa edelleen ongelmia monissa jäsenvaltioissa</w:t>
      </w:r>
      <w:r>
        <w:rPr>
          <w:i/>
          <w:noProof/>
          <w:vertAlign w:val="superscript"/>
        </w:rPr>
        <w:footnoteReference w:id="76"/>
      </w:r>
      <w:r>
        <w:rPr>
          <w:i/>
          <w:noProof/>
        </w:rPr>
        <w:t>, sillä veden laatuun kohdistuvat, maatalouden aiheuttamat paineet ovat joillakin alueilla edelleen lisääntyneet. Jäsenvaltioiden on tehostettava toimiaan, jotka koskevat nitraattien ja fosfaattien aiheuttamasta hajakuormituksesta johtuvaan pilaantumiseen puuttumista.</w:t>
      </w:r>
      <w:r>
        <w:rPr>
          <w:noProof/>
          <w:color w:val="404040"/>
          <w:sz w:val="23"/>
        </w:rPr>
        <w:t xml:space="preserve"> </w:t>
      </w:r>
    </w:p>
    <w:tbl>
      <w:tblPr>
        <w:tblStyle w:val="TableGrid"/>
        <w:tblW w:w="0" w:type="auto"/>
        <w:shd w:val="clear" w:color="auto" w:fill="EAF1DD" w:themeFill="accent3" w:themeFillTint="33"/>
        <w:tblLook w:val="04A0" w:firstRow="1" w:lastRow="0" w:firstColumn="1" w:lastColumn="0" w:noHBand="0" w:noVBand="1"/>
      </w:tblPr>
      <w:tblGrid>
        <w:gridCol w:w="9196"/>
      </w:tblGrid>
      <w:tr>
        <w:tc>
          <w:tcPr>
            <w:tcW w:w="9196" w:type="dxa"/>
            <w:shd w:val="clear" w:color="auto" w:fill="EAF1DD" w:themeFill="accent3" w:themeFillTint="33"/>
          </w:tcPr>
          <w:p>
            <w:pPr>
              <w:spacing w:line="240" w:lineRule="auto"/>
              <w:rPr>
                <w:rFonts w:cs="Times New Roman"/>
                <w:b/>
                <w:noProof/>
              </w:rPr>
            </w:pPr>
            <w:r>
              <w:rPr>
                <w:b/>
                <w:noProof/>
              </w:rPr>
              <w:t>Hyviä käytäntöjä:</w:t>
            </w:r>
          </w:p>
          <w:p>
            <w:pPr>
              <w:widowControl w:val="0"/>
              <w:rPr>
                <w:rFonts w:eastAsiaTheme="minorEastAsia" w:cs="Times New Roman"/>
                <w:noProof/>
              </w:rPr>
            </w:pPr>
            <w:r>
              <w:rPr>
                <w:rFonts w:eastAsiaTheme="minorEastAsia"/>
                <w:noProof/>
                <w:color w:val="000000" w:themeColor="text1"/>
              </w:rPr>
              <w:t xml:space="preserve">Vihreä infrastruktuuri rahoitetaan </w:t>
            </w:r>
            <w:r>
              <w:rPr>
                <w:noProof/>
              </w:rPr>
              <w:t xml:space="preserve">Schelden suistoalueen SIGMA II -ohjelmasta </w:t>
            </w:r>
            <w:r>
              <w:rPr>
                <w:rFonts w:eastAsiaTheme="minorEastAsia"/>
                <w:b/>
                <w:noProof/>
              </w:rPr>
              <w:t>Belgiassa</w:t>
            </w:r>
            <w:r>
              <w:rPr>
                <w:noProof/>
              </w:rPr>
              <w:t>.</w:t>
            </w:r>
          </w:p>
          <w:p>
            <w:pPr>
              <w:widowControl w:val="0"/>
              <w:rPr>
                <w:rFonts w:eastAsiaTheme="minorEastAsia" w:cs="Times New Roman"/>
                <w:noProof/>
                <w:color w:val="000000" w:themeColor="text1"/>
              </w:rPr>
            </w:pPr>
            <w:r>
              <w:rPr>
                <w:rFonts w:eastAsiaTheme="minorEastAsia"/>
                <w:b/>
                <w:noProof/>
                <w:color w:val="000000" w:themeColor="text1"/>
              </w:rPr>
              <w:t>Luxemburg</w:t>
            </w:r>
            <w:r>
              <w:rPr>
                <w:rFonts w:eastAsiaTheme="minorEastAsia"/>
                <w:noProof/>
                <w:color w:val="000000" w:themeColor="text1"/>
              </w:rPr>
              <w:t xml:space="preserve"> ja </w:t>
            </w:r>
            <w:r>
              <w:rPr>
                <w:rFonts w:eastAsiaTheme="minorEastAsia"/>
                <w:b/>
                <w:noProof/>
                <w:color w:val="000000" w:themeColor="text1"/>
              </w:rPr>
              <w:t>Portugali</w:t>
            </w:r>
            <w:r>
              <w:rPr>
                <w:rFonts w:eastAsiaTheme="minorEastAsia"/>
                <w:noProof/>
                <w:color w:val="000000" w:themeColor="text1"/>
              </w:rPr>
              <w:t xml:space="preserve"> ovat selättäneet aiemmat ongelmat ja noudattavat nyt tyydyttävästi yhdyskuntajätevesien käsittelystä annetun direktiivin vaatimuksia.</w:t>
            </w:r>
            <w:r>
              <w:rPr>
                <w:noProof/>
              </w:rPr>
              <w:t xml:space="preserve"> Maat ovat hyvä esimerkki siitä, miten lainsäädännön noudattamiseen liittyviin ongelmiin suunnatut määrätietoiset julkiset investoinnit voivat vähentää ympäristöriskejä ja suojella kansalaisia jokapäiväisessä elämässään. </w:t>
            </w:r>
          </w:p>
        </w:tc>
      </w:tr>
    </w:tbl>
    <w:p>
      <w:pPr>
        <w:spacing w:before="240" w:after="200" w:line="276" w:lineRule="auto"/>
        <w:rPr>
          <w:rFonts w:cs="Times New Roman"/>
          <w:b/>
          <w:bCs/>
          <w:i/>
          <w:iCs/>
          <w:noProof/>
        </w:rPr>
      </w:pPr>
      <w:r>
        <w:rPr>
          <w:b/>
          <w:i/>
          <w:noProof/>
        </w:rPr>
        <w:t>Kemikaalit</w:t>
      </w:r>
    </w:p>
    <w:p>
      <w:pPr>
        <w:widowControl w:val="0"/>
        <w:suppressAutoHyphens/>
        <w:spacing w:line="240" w:lineRule="auto"/>
        <w:rPr>
          <w:rFonts w:cs="Times New Roman"/>
          <w:noProof/>
        </w:rPr>
      </w:pPr>
      <w:r>
        <w:rPr>
          <w:noProof/>
        </w:rPr>
        <w:t>EU:n kemikaalilainsäädännön ensisijainen tavoite on kemikaalien ympäristöystävällinen hallinta ja turvallinen käyttö yhteismarkkinoilla. Tämän lainsäädännön keskiössä ovat asetukset, jotka koskevat kemikaalien rekisteröintiä, arviointia, lupamenettelyjä ja rajoituksia (REACH)</w:t>
      </w:r>
      <w:r>
        <w:rPr>
          <w:noProof/>
          <w:vertAlign w:val="superscript"/>
        </w:rPr>
        <w:footnoteReference w:id="77"/>
      </w:r>
      <w:r>
        <w:rPr>
          <w:noProof/>
          <w:vertAlign w:val="superscript"/>
        </w:rPr>
        <w:t xml:space="preserve"> </w:t>
      </w:r>
      <w:r>
        <w:rPr>
          <w:noProof/>
        </w:rPr>
        <w:t>sekä aineiden ja seosten luokitusta, merkintöjä ja pakkaamista (CLP-asetus)</w:t>
      </w:r>
      <w:r>
        <w:rPr>
          <w:noProof/>
          <w:vertAlign w:val="superscript"/>
        </w:rPr>
        <w:footnoteReference w:id="78"/>
      </w:r>
      <w:r>
        <w:rPr>
          <w:noProof/>
        </w:rPr>
        <w:t>. Tietyistä erityisistä tuoteryhmistä, kuten torjunta-aineista, tuholaismyrkyistä, lääkkeistä tai kosmetiikasta,</w:t>
      </w:r>
      <w:r>
        <w:rPr>
          <w:noProof/>
          <w:vertAlign w:val="superscript"/>
        </w:rPr>
        <w:footnoteReference w:id="79"/>
      </w:r>
      <w:r>
        <w:rPr>
          <w:noProof/>
        </w:rPr>
        <w:t xml:space="preserve"> on kuitenkin annettu omat lainsäädäntönsä. </w:t>
      </w:r>
    </w:p>
    <w:p>
      <w:pPr>
        <w:widowControl w:val="0"/>
        <w:suppressAutoHyphens/>
        <w:spacing w:line="240" w:lineRule="auto"/>
        <w:rPr>
          <w:rFonts w:cs="Times New Roman"/>
          <w:noProof/>
        </w:rPr>
      </w:pPr>
      <w:r>
        <w:rPr>
          <w:noProof/>
        </w:rPr>
        <w:t>Sellaisenaan sovellettavalla lainsäädännöllä varmistetaan aineiden vapaa liikkuvuus sisämarkkinoilla, lisätään kilpailukykyä ja edistetään innovointia. Viimeiset REACH-asetuksen soveltamisalaan kuuluvat kemikaalit eli ne kemikaalit, joita valmistetaan tai tuodaan maahan vähintään yksi tonni, piti rekisteröidä kesäkuuhun 2018 mennessä. Näin ollen REACH-asetus tuli täysimääräisesti voimaan vasta vuonna 2018. Ensimmäinen täytäntöönpanokertomus annetaan vuonna 2021, jolloin saadaan kokonaiskäsitys täytäntöönpanosta jäsenvaltioissa.</w:t>
      </w:r>
    </w:p>
    <w:p>
      <w:pPr>
        <w:widowControl w:val="0"/>
        <w:suppressAutoHyphens/>
        <w:spacing w:line="240" w:lineRule="auto"/>
        <w:rPr>
          <w:rFonts w:cs="Times New Roman"/>
          <w:noProof/>
        </w:rPr>
      </w:pPr>
      <w:r>
        <w:rPr>
          <w:noProof/>
        </w:rPr>
        <w:t>Euroopan kemikaalivirasto (ECHA) tekee säännöllisesti kohdennettuja vaatimustenmukaisuuden tarkastuksia, joilla varmistetaan, että rekisteröintiasiakirjat vastaavat tietovaatimuksia. Komission yleiskertomuksessa REACH-asetuksen toiminnasta</w:t>
      </w:r>
      <w:r>
        <w:rPr>
          <w:noProof/>
          <w:vertAlign w:val="superscript"/>
        </w:rPr>
        <w:footnoteReference w:id="80"/>
      </w:r>
      <w:r>
        <w:rPr>
          <w:noProof/>
        </w:rPr>
        <w:t xml:space="preserve"> prosessissa havaittiin kuitenkin puutteita ja kemikaalivirastoa pyydettiin parantamaan huomattavasti arviointimenettelyjen tehokkuutta eri keinoin vuoteen 2019 mennessä.</w:t>
      </w:r>
    </w:p>
    <w:p>
      <w:pPr>
        <w:widowControl w:val="0"/>
        <w:suppressAutoHyphens/>
        <w:spacing w:line="240" w:lineRule="auto"/>
        <w:rPr>
          <w:rFonts w:cs="Times New Roman"/>
          <w:noProof/>
        </w:rPr>
      </w:pPr>
      <w:r>
        <w:rPr>
          <w:noProof/>
        </w:rPr>
        <w:t>Vaikka tiedot aineiden ominaisuuksista ovat saatavilla EU:n tasolla, edellä mainitussa tiedonannossa todetaan, että kaikkia toimijoita koskevien velvoitteiden täytäntöönpanon lujittaminen on tarpeen. Tämä koskee myös rekisteröijiä, jatkokäyttäjiä ja erityisesti maahantuojia. Yhdenmukaistettujen täytäntöönpanon valvontahankkeiden ja yhteisten tarkastusten koordinoinnissa ja arvioinnissa jäsenvaltiot toimivat yhteistyössä täytäntöönpanoa koskevassa tietojenvaihtofoorumissa, joka on perustettu REACH-asetuksen mukaisesti. Tärkeä tehtävä jatkossa on tulli- ja rajavalvonnan sisällyttäminen osaksi muita suunnitelmia. Näin on tarkoitus estää se, että kiellettyjä aineita tulee sisämarkkinoille sellaisenaan tai valmiissa tavaroissa.</w:t>
      </w:r>
    </w:p>
    <w:p>
      <w:pPr>
        <w:widowControl w:val="0"/>
        <w:suppressAutoHyphens/>
        <w:spacing w:line="240" w:lineRule="auto"/>
        <w:rPr>
          <w:rFonts w:cs="Times New Roman"/>
          <w:noProof/>
        </w:rPr>
      </w:pPr>
      <w:r>
        <w:rPr>
          <w:noProof/>
        </w:rPr>
        <w:t xml:space="preserve">Tulevissa ympäristöpolitiikan täytäntöönpanon arvioinnin sykleissä on tarkoitus tarkastella enemmän täytäntöönpanoa jäsenvaltioissa koskevia tietoja, jotka liittyvät esimerkiksi kansallisten viranomaisten suorittamien tullitarkastusten määrään ja laatuun sekä kansallisten tarkastuslaitosten valmiuksiin. </w:t>
      </w:r>
    </w:p>
    <w:tbl>
      <w:tblPr>
        <w:tblStyle w:val="TableGrid"/>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line="240" w:lineRule="auto"/>
              <w:rPr>
                <w:rFonts w:cs="Times New Roman"/>
                <w:b/>
                <w:bCs/>
                <w:noProof/>
              </w:rPr>
            </w:pPr>
            <w:r>
              <w:rPr>
                <w:b/>
                <w:noProof/>
              </w:rPr>
              <w:t>Hyviä käytäntöjä:</w:t>
            </w:r>
          </w:p>
          <w:p>
            <w:pPr>
              <w:spacing w:line="240" w:lineRule="auto"/>
              <w:rPr>
                <w:rFonts w:cs="Times New Roman"/>
                <w:noProof/>
              </w:rPr>
            </w:pPr>
            <w:r>
              <w:rPr>
                <w:b/>
                <w:noProof/>
              </w:rPr>
              <w:t>Italia</w:t>
            </w:r>
            <w:r>
              <w:rPr>
                <w:noProof/>
              </w:rPr>
              <w:t xml:space="preserve"> hyödyntää komission Yritys-Eurooppa-verkostoa lisätäkseen yritysten tietoisuutta niiden REACH-asetuksen mukaisista tehtävistä ja velvollisuuksista. Tämä on erityisen haasteellista, koska maan kemian alalla toimivia mikro- ja pk-yrityksiä on paljon. </w:t>
            </w:r>
          </w:p>
          <w:p>
            <w:pPr>
              <w:widowControl w:val="0"/>
              <w:suppressAutoHyphens/>
              <w:spacing w:line="240" w:lineRule="auto"/>
              <w:rPr>
                <w:rFonts w:cs="Times New Roman"/>
                <w:noProof/>
              </w:rPr>
            </w:pPr>
            <w:r>
              <w:rPr>
                <w:b/>
                <w:noProof/>
              </w:rPr>
              <w:t xml:space="preserve">Alankomaiden </w:t>
            </w:r>
            <w:r>
              <w:rPr>
                <w:noProof/>
              </w:rPr>
              <w:t xml:space="preserve">hallitus valmistelee ”National safe chemicals innovation agenda” </w:t>
            </w:r>
            <w:r>
              <w:rPr>
                <w:noProof/>
              </w:rPr>
              <w:noBreakHyphen/>
              <w:t>aloitetta (SCIA). Sen tarkoituksena on korvata vaaralliset kemikaalit edistämällä turvallisten materiaalien ja tuotteiden käyttöä. Tutkimussuunnitelman tavoitteena on toimia tutkimus- ja kehityspolitiikkojen oppaana EU:n ja jäsenvaltioiden tasolla</w:t>
            </w:r>
            <w:r>
              <w:rPr>
                <w:rFonts w:eastAsiaTheme="minorEastAsia"/>
                <w:noProof/>
                <w:vertAlign w:val="superscript"/>
              </w:rPr>
              <w:footnoteReference w:id="81"/>
            </w:r>
            <w:r>
              <w:rPr>
                <w:noProof/>
              </w:rPr>
              <w:t>.</w:t>
            </w:r>
          </w:p>
        </w:tc>
      </w:tr>
    </w:tbl>
    <w:p>
      <w:pPr>
        <w:spacing w:line="240" w:lineRule="auto"/>
        <w:rPr>
          <w:rFonts w:cs="Times New Roman"/>
          <w:noProof/>
        </w:rPr>
      </w:pPr>
    </w:p>
    <w:p>
      <w:pPr>
        <w:pStyle w:val="ListParagraph"/>
        <w:numPr>
          <w:ilvl w:val="1"/>
          <w:numId w:val="5"/>
        </w:numPr>
        <w:rPr>
          <w:rFonts w:cs="Times New Roman"/>
          <w:b/>
          <w:bCs/>
          <w:noProof/>
          <w:sz w:val="24"/>
          <w:szCs w:val="24"/>
        </w:rPr>
      </w:pPr>
      <w:r>
        <w:rPr>
          <w:b/>
          <w:noProof/>
          <w:sz w:val="24"/>
        </w:rPr>
        <w:t xml:space="preserve"> Ympäristövero, ympäristöystävälliset julkiset hankinnat ja ympäristörahoitus</w:t>
      </w:r>
    </w:p>
    <w:p>
      <w:pPr>
        <w:rPr>
          <w:rFonts w:cs="Times New Roman"/>
          <w:noProof/>
        </w:rPr>
      </w:pPr>
      <w:r>
        <w:rPr>
          <w:noProof/>
          <w:lang w:val="en-GB" w:eastAsia="en-GB" w:bidi="ar-SA"/>
        </w:rPr>
        <w:drawing>
          <wp:anchor distT="0" distB="0" distL="114300" distR="114300" simplePos="0" relativeHeight="251663360" behindDoc="0" locked="0" layoutInCell="1" allowOverlap="1">
            <wp:simplePos x="0" y="0"/>
            <wp:positionH relativeFrom="column">
              <wp:posOffset>2266950</wp:posOffset>
            </wp:positionH>
            <wp:positionV relativeFrom="paragraph">
              <wp:posOffset>34925</wp:posOffset>
            </wp:positionV>
            <wp:extent cx="3486150" cy="5000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86150" cy="500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Taloudelliset kannustimet ja välineet ovat tehokkaita ja toimivia keinoja ympäristöpolitiikan tavoitteiden saavuttamisessa. Maaraporteissa on analyysi ympäristöverosta, ympäristön kannalta haitallisten tukien lopettamisesta vaiheittain ja ympäristöystävällisistä julkisista hankinnoista. Komissio keskustelee tällaisten taloudellisten välineiden käytöstä laajemmin talouspolitiikan eurooppalaisen ohjausjakson yhteydessä, minkä vuoksi erityisiä uusia ensisijaisia toimia ei oteta tässä esille. </w:t>
      </w:r>
    </w:p>
    <w:p>
      <w:pPr>
        <w:rPr>
          <w:rFonts w:cs="Times New Roman"/>
          <w:noProof/>
        </w:rPr>
      </w:pPr>
      <w:r>
        <w:rPr>
          <w:noProof/>
        </w:rPr>
        <w:t>Ympäristötavoitteiden saavuttaminen edellyttää usein erillistä rahoitusta. Tällainen rahoitus voi tulla EU:n tai kansallisista julkisista varoista sekä EIP:n ja kansallisten pankkien lainoista, ja rahoituksella voidaan täydentää tarvittavia yksityisiä investointeja. Maaraporteissa esitetyissä analyyseissä pyritään tuomaan esiin julkisten investointien useat lähteet ja suhteuttamaan ne esimerkiksi ilmoittamalla ne prosenttiosuuksina BKT:stä</w:t>
      </w:r>
      <w:r>
        <w:rPr>
          <w:noProof/>
          <w:vertAlign w:val="superscript"/>
        </w:rPr>
        <w:footnoteReference w:id="82"/>
      </w:r>
      <w:r>
        <w:rPr>
          <w:noProof/>
        </w:rPr>
        <w:t>.</w:t>
      </w:r>
    </w:p>
    <w:p>
      <w:pPr>
        <w:spacing w:after="200" w:line="276" w:lineRule="auto"/>
        <w:jc w:val="left"/>
        <w:rPr>
          <w:rFonts w:cs="Times New Roman"/>
          <w:i/>
          <w:iCs/>
          <w:noProof/>
        </w:rPr>
      </w:pPr>
      <w:r>
        <w:rPr>
          <w:i/>
          <w:noProof/>
        </w:rPr>
        <w:t>Politiikanalaa koskevat tulokset:</w:t>
      </w:r>
    </w:p>
    <w:p>
      <w:pPr>
        <w:pStyle w:val="ListParagraph"/>
        <w:numPr>
          <w:ilvl w:val="0"/>
          <w:numId w:val="3"/>
        </w:numPr>
        <w:spacing w:line="240" w:lineRule="auto"/>
        <w:contextualSpacing w:val="0"/>
        <w:rPr>
          <w:rFonts w:cs="Times New Roman"/>
          <w:i/>
          <w:iCs/>
          <w:noProof/>
        </w:rPr>
      </w:pPr>
      <w:r>
        <w:rPr>
          <w:i/>
          <w:noProof/>
        </w:rPr>
        <w:t>Ympäristöveron osuudet BKT:stä vaihtelevat ja ovat 1,7–4 prosenttia. Monissa jäsenvaltioissa otettiin vuonna 2017 käyttöön ympäristöön liittyviä veroja esimerkiksi korottamalla dieselpolttoaineen hintaa</w:t>
      </w:r>
      <w:r>
        <w:rPr>
          <w:i/>
          <w:noProof/>
          <w:vertAlign w:val="superscript"/>
        </w:rPr>
        <w:footnoteReference w:id="83"/>
      </w:r>
      <w:r>
        <w:rPr>
          <w:i/>
          <w:noProof/>
        </w:rPr>
        <w:t xml:space="preserve"> tai alentamalla ympäristön kannalta haitallisia tukia. Työsuhdeautojen yksityiskäyttöä koskevat veroetuudet hidastavat kuitenkin monessa jäsenvaltiossa edelleen liikenneruuhkia ja ilman epäpuhtauksia koskevien tavoitteiden saavuttamista</w:t>
      </w:r>
      <w:r>
        <w:rPr>
          <w:i/>
          <w:noProof/>
          <w:vertAlign w:val="superscript"/>
        </w:rPr>
        <w:footnoteReference w:id="84"/>
      </w:r>
      <w:r>
        <w:rPr>
          <w:i/>
          <w:noProof/>
        </w:rPr>
        <w:t>.</w:t>
      </w:r>
    </w:p>
    <w:p>
      <w:pPr>
        <w:pStyle w:val="ListParagraph"/>
        <w:numPr>
          <w:ilvl w:val="0"/>
          <w:numId w:val="3"/>
        </w:numPr>
        <w:spacing w:line="240" w:lineRule="auto"/>
        <w:contextualSpacing w:val="0"/>
        <w:rPr>
          <w:rFonts w:cs="Times New Roman"/>
          <w:i/>
          <w:iCs/>
          <w:noProof/>
        </w:rPr>
      </w:pPr>
      <w:r>
        <w:rPr>
          <w:i/>
          <w:noProof/>
        </w:rPr>
        <w:t>Euroopan rakenne- ja investointirahastoista kohdennetaan vuosina 2014–2020 eniten määrärahoja ympäristönsuojeluun ja resurssitehokkuuteen 12 jäsenvaltiossa</w:t>
      </w:r>
      <w:r>
        <w:rPr>
          <w:i/>
          <w:noProof/>
          <w:vertAlign w:val="superscript"/>
        </w:rPr>
        <w:footnoteReference w:id="85"/>
      </w:r>
      <w:r>
        <w:rPr>
          <w:i/>
          <w:noProof/>
        </w:rPr>
        <w:t>. Lisäksi vuosina 2014–2018 EU suuntasi ympäristöön määrärahoja kansallisten hallitusten julkisia ympäristömenoja enemmän 11 jäsenvaltiossa</w:t>
      </w:r>
      <w:r>
        <w:rPr>
          <w:i/>
          <w:noProof/>
          <w:vertAlign w:val="superscript"/>
        </w:rPr>
        <w:footnoteReference w:id="86"/>
      </w:r>
      <w:r>
        <w:rPr>
          <w:i/>
          <w:noProof/>
        </w:rPr>
        <w:t xml:space="preserve">. </w:t>
      </w:r>
    </w:p>
    <w:tbl>
      <w:tblPr>
        <w:tblStyle w:val="TableGrid"/>
        <w:tblpPr w:leftFromText="180" w:rightFromText="180" w:vertAnchor="text" w:horzAnchor="margin" w:tblpY="1470"/>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line="240" w:lineRule="auto"/>
              <w:rPr>
                <w:rFonts w:cs="Times New Roman"/>
                <w:b/>
                <w:bCs/>
                <w:noProof/>
              </w:rPr>
            </w:pPr>
            <w:r>
              <w:rPr>
                <w:b/>
                <w:noProof/>
              </w:rPr>
              <w:t>Hyviä käytäntöjä:</w:t>
            </w:r>
          </w:p>
          <w:p>
            <w:pPr>
              <w:rPr>
                <w:rFonts w:cs="Times New Roman"/>
                <w:noProof/>
              </w:rPr>
            </w:pPr>
            <w:r>
              <w:rPr>
                <w:b/>
                <w:noProof/>
              </w:rPr>
              <w:t>Yhdistyneessä kuningaskunnassa</w:t>
            </w:r>
            <w:r>
              <w:rPr>
                <w:noProof/>
              </w:rPr>
              <w:t xml:space="preserve"> kaatopaikkaveron käyttöönoton myötä kaatopaikkajätteen määrä on alkanut selkeästi vähentyä. Kaatopaikkaveron – tällä hetkellä Euroopan korkeimman – nostaminen on vähentänyt tehokkaasti jätteiden loppukäsittelyä ja maksimoinut näin ollen kuiva- ja elintarvikejätteen kierrätyksen.</w:t>
            </w:r>
          </w:p>
          <w:p>
            <w:pPr>
              <w:rPr>
                <w:rFonts w:cs="Times New Roman"/>
                <w:noProof/>
              </w:rPr>
            </w:pPr>
            <w:r>
              <w:rPr>
                <w:b/>
                <w:noProof/>
              </w:rPr>
              <w:t>Itävallassa</w:t>
            </w:r>
            <w:r>
              <w:rPr>
                <w:noProof/>
              </w:rPr>
              <w:t xml:space="preserve"> on otettu käyttöön alusta ja tukipalvelut, joiden tarkoituksena on helpottaa kokemusten vaihtoa ympäristöä säästävistä julkisista hankinnoista eri hallintotasoilla vastaavien viranomaisten välillä. </w:t>
            </w:r>
          </w:p>
          <w:p>
            <w:pPr>
              <w:spacing w:line="240" w:lineRule="auto"/>
              <w:rPr>
                <w:rFonts w:cs="Times New Roman"/>
                <w:noProof/>
              </w:rPr>
            </w:pPr>
            <w:r>
              <w:rPr>
                <w:b/>
                <w:noProof/>
              </w:rPr>
              <w:t>Puolassa</w:t>
            </w:r>
            <w:r>
              <w:rPr>
                <w:noProof/>
              </w:rPr>
              <w:t xml:space="preserve"> on käytössä jätevesimaksu, josta saatavat tulot käytetään ympäristönsuojeluinvestointeihin. </w:t>
            </w:r>
            <w:r>
              <w:rPr>
                <w:b/>
                <w:noProof/>
              </w:rPr>
              <w:t xml:space="preserve">Ruotsissa </w:t>
            </w:r>
            <w:r>
              <w:rPr>
                <w:noProof/>
              </w:rPr>
              <w:t>on käytössä typenoksidi (NO</w:t>
            </w:r>
            <w:r>
              <w:rPr>
                <w:noProof/>
                <w:vertAlign w:val="subscript"/>
              </w:rPr>
              <w:t>x</w:t>
            </w:r>
            <w:r>
              <w:rPr>
                <w:noProof/>
              </w:rPr>
              <w:t>)- ja rikkioksidi (SO</w:t>
            </w:r>
            <w:r>
              <w:rPr>
                <w:noProof/>
                <w:vertAlign w:val="subscript"/>
              </w:rPr>
              <w:t>2</w:t>
            </w:r>
            <w:r>
              <w:rPr>
                <w:noProof/>
              </w:rPr>
              <w:t xml:space="preserve">) </w:t>
            </w:r>
            <w:r>
              <w:rPr>
                <w:noProof/>
              </w:rPr>
              <w:noBreakHyphen/>
              <w:t xml:space="preserve">verot, jotka ovat kääntäneet näiden ilmansaasteiden määrän laskuun. Ruotsissa otettiin vuonna 2018 käyttöön myös kemikaalivero ja lentoliikennevero sekä ympäristöverojen indeksointijärjestelmä. </w:t>
            </w:r>
            <w:r>
              <w:rPr>
                <w:b/>
                <w:noProof/>
              </w:rPr>
              <w:t>Kroatiassa</w:t>
            </w:r>
            <w:r>
              <w:rPr>
                <w:noProof/>
              </w:rPr>
              <w:t xml:space="preserve"> yritysten on tuettava metsänhoitoa taloudellisesti maksamalla metsien yleishyödyllisyyttä koskevaa toimintamaksua. Baden-Württembergissä (</w:t>
            </w:r>
            <w:r>
              <w:rPr>
                <w:b/>
                <w:noProof/>
              </w:rPr>
              <w:t>Saksa</w:t>
            </w:r>
            <w:r>
              <w:rPr>
                <w:noProof/>
              </w:rPr>
              <w:t>) viljelijät saavat hyvityksen antaessaan luonnonkukkalajien kasvaa niityillään.</w:t>
            </w:r>
          </w:p>
        </w:tc>
      </w:tr>
    </w:tbl>
    <w:p>
      <w:pPr>
        <w:pStyle w:val="ListParagraph"/>
        <w:numPr>
          <w:ilvl w:val="0"/>
          <w:numId w:val="3"/>
        </w:numPr>
        <w:spacing w:line="240" w:lineRule="auto"/>
        <w:contextualSpacing w:val="0"/>
        <w:rPr>
          <w:rFonts w:cs="Times New Roman"/>
          <w:i/>
          <w:iCs/>
          <w:noProof/>
        </w:rPr>
      </w:pPr>
      <w:r>
        <w:rPr>
          <w:i/>
          <w:noProof/>
        </w:rPr>
        <w:t>Monissa jäsenvaltioissa ympäristöalan rahoituksen suurimpana haasteena on varmistaa, että rahoitus pysyy asianmukaisella tasolla</w:t>
      </w:r>
      <w:r>
        <w:rPr>
          <w:noProof/>
          <w:vertAlign w:val="superscript"/>
        </w:rPr>
        <w:footnoteReference w:id="87"/>
      </w:r>
      <w:r>
        <w:rPr>
          <w:i/>
          <w:noProof/>
        </w:rPr>
        <w:t>. Joissakin jäsenvaltioissa ongelmana on EU:n varojen tehoton käyttö</w:t>
      </w:r>
      <w:r>
        <w:rPr>
          <w:noProof/>
          <w:vertAlign w:val="superscript"/>
        </w:rPr>
        <w:footnoteReference w:id="88"/>
      </w:r>
      <w:r>
        <w:rPr>
          <w:i/>
          <w:noProof/>
        </w:rPr>
        <w:t>, mikä johtuu joskus hallintaviranomaisten puutteellisista valmiuksista. Suuntaamalla varat uudelleen muihin kuin ympäristöhankkeisiin saatetaan välttää rahojen meneminen hukkaan, mutta tämä saattaa aiheuttaa viiveitä ympäristölainsäädännön täytäntöönpanossa.</w:t>
      </w:r>
    </w:p>
    <w:p>
      <w:pPr>
        <w:spacing w:before="240"/>
        <w:rPr>
          <w:rFonts w:cs="Times New Roman"/>
          <w:b/>
          <w:bCs/>
          <w:noProof/>
          <w:sz w:val="24"/>
          <w:szCs w:val="24"/>
        </w:rPr>
      </w:pPr>
      <w:r>
        <w:rPr>
          <w:b/>
          <w:noProof/>
          <w:sz w:val="24"/>
        </w:rPr>
        <w:t xml:space="preserve">2.6. </w:t>
      </w:r>
      <w:r>
        <w:rPr>
          <w:noProof/>
        </w:rPr>
        <w:tab/>
      </w:r>
      <w:r>
        <w:rPr>
          <w:b/>
          <w:noProof/>
          <w:sz w:val="24"/>
        </w:rPr>
        <w:t>Monenvälisen toiminnan tukeminen</w:t>
      </w:r>
    </w:p>
    <w:p>
      <w:pPr>
        <w:rPr>
          <w:rFonts w:cs="Times New Roman"/>
          <w:noProof/>
        </w:rPr>
      </w:pPr>
      <w:r>
        <w:rPr>
          <w:noProof/>
        </w:rPr>
        <w:t xml:space="preserve">EU on sitoutunut vahvistamaan ympäristölainsäädäntöä ja sen täytäntöönpanoa globaalisti. EU tukee muun muassa laaja-alaiseen kansainväliseen ympäristöalan sopimukseen (Global Pact for the Environment) liittyvää prosessia, jonka YK:n yleiskokous käynnisti toukokuussa 2018. Keskeisessä asemassa on myös Pariisin ilmastosopimus, jonka täysimääräisen täytäntöönpanemisen puolesta toimivat aktiivisesti niin komissio kuin jäsenvaltiotkin. Kansainvälisten velvollisuuksiensa mukaisesti ja ympäristöhaasteiden ja -mahdollisuuksien globaalin luonteen valossa EU on myös sitoutunut tukemaan ympäristönsuojelua kumppanimaissa kansainvälisen yhteistyö- ja kehitysmekanismien välityksellä. </w:t>
      </w:r>
    </w:p>
    <w:p>
      <w:pPr>
        <w:rPr>
          <w:rFonts w:cs="Times New Roman"/>
          <w:noProof/>
        </w:rPr>
      </w:pPr>
      <w:r>
        <w:rPr>
          <w:noProof/>
        </w:rPr>
        <w:t xml:space="preserve">Ympäristölainsäädännön täytäntöönpanon arviointi on yksi niistä välineistä, joiden avulla varmistetaan, että jäsenvaltiot näyttävät hyvää esimerkkiä noudattamalla EU:n ympäristöpolitiikkoja, lainsäädäntöä ja kansainvälisiä sopimuksia. Niinpä arvioinnin avulla valvotaan jatkossakin kansainvälisten sopimusten ratifioinnin tilannetta ja täytäntöönpanoa. </w:t>
      </w:r>
    </w:p>
    <w:p>
      <w:pPr>
        <w:rPr>
          <w:rFonts w:cs="Times New Roman"/>
          <w:noProof/>
        </w:rPr>
      </w:pPr>
      <w:r>
        <w:rPr>
          <w:noProof/>
        </w:rPr>
        <w:t xml:space="preserve">Uusissa maaraporteissa tarkastellaan myös hallinnollisia kehyksiä, jotka koskevat trooppisen puutavaran kansainvälistä kauppaa, perintöaineksen saatavuutta ja luonnonvaraisten lajien kansainvälistä kauppaa. EU:n puutavara-asetus on hyvä esimerkki Euroopan komission tuesta: vuonna 2018 TAIEX-EIR Peer to Peer </w:t>
      </w:r>
      <w:r>
        <w:rPr>
          <w:noProof/>
        </w:rPr>
        <w:noBreakHyphen/>
        <w:t>ohjelmassa järjestettiin kaksi useamman maan yhteistä työpajaa, jotka koskivat ympäristölainsäädännön täytäntöönpanon edistämistä ja joihin osallistui kaksitoista jäsenvaltiota.</w:t>
      </w:r>
    </w:p>
    <w:p>
      <w:pPr>
        <w:rPr>
          <w:rFonts w:cs="Times New Roman"/>
          <w:noProof/>
        </w:rPr>
      </w:pPr>
      <w:r>
        <w:rPr>
          <w:noProof/>
        </w:rPr>
        <w:t>Ympäristölainsäädännön hyvä täytäntöönpano EU:ssa on keskeisessä asemassa vuonna 2015 määriteltyjen kestävän kehityksen tavoitteiden (Sustainable Development Goals, SDG) saavuttamisessa. Tämä koskee etenkin tavoitteita suojella vesiekosysteemejä pilaantumiselta ja varmistaa veden kestävä käyttö (SDG6), varmistaa kulutus- ja tuotantotapojen kestävyys (SDG12), toimia ilmastonmuutosta vastaan (SDG13), suojella meriekosysteemejä (SDG14) ja helpottaa Euroopan luonnonpääomaan kohdistuvia paineita (SDG15). Ympäristölainsäädännön täytäntöönpanon puutteiden korjaamisessa avainasemassa ovat tehokkaat instituutiot ja hallinto (SDG16) sekä politiikan johdonmukaisuuden edistäminen ja sidosryhmäkumppanuuksien välisen yhteistyön kannustaminen (SDG17). Kestävän kehityksen tavoitteet linkittävät ympäristö-, sosiaali- ja talouspolitiikat johdonmukaiseen kehykseen ja edistävät siten myös ympäristönäkökohtien huomioon ottamista.</w:t>
      </w:r>
    </w:p>
    <w:p>
      <w:pPr>
        <w:rPr>
          <w:rFonts w:cs="Times New Roman"/>
          <w:i/>
          <w:iCs/>
          <w:noProof/>
        </w:rPr>
      </w:pPr>
      <w:r>
        <w:rPr>
          <w:i/>
          <w:noProof/>
        </w:rPr>
        <w:t>Politiikanalaa koskevat tulokset:</w:t>
      </w:r>
    </w:p>
    <w:p>
      <w:pPr>
        <w:pStyle w:val="ListParagraph"/>
        <w:numPr>
          <w:ilvl w:val="0"/>
          <w:numId w:val="3"/>
        </w:numPr>
        <w:spacing w:line="240" w:lineRule="auto"/>
        <w:contextualSpacing w:val="0"/>
        <w:rPr>
          <w:rFonts w:cs="Times New Roman"/>
          <w:i/>
          <w:iCs/>
          <w:noProof/>
        </w:rPr>
      </w:pPr>
      <w:r>
        <w:rPr>
          <w:i/>
          <w:noProof/>
        </w:rPr>
        <w:t>Usean jäsenvaltion on vielä allekirjoitettava ja ratifioitava yksi tai useampi monenvälinen ympäristösopimus</w:t>
      </w:r>
      <w:r>
        <w:rPr>
          <w:noProof/>
          <w:vertAlign w:val="superscript"/>
        </w:rPr>
        <w:footnoteReference w:id="89"/>
      </w:r>
      <w:r>
        <w:rPr>
          <w:i/>
          <w:noProof/>
        </w:rPr>
        <w:t>.</w:t>
      </w:r>
    </w:p>
    <w:p>
      <w:pPr>
        <w:pStyle w:val="ListParagraph"/>
        <w:numPr>
          <w:ilvl w:val="0"/>
          <w:numId w:val="3"/>
        </w:numPr>
        <w:spacing w:line="240" w:lineRule="auto"/>
        <w:contextualSpacing w:val="0"/>
        <w:rPr>
          <w:rFonts w:cs="Times New Roman"/>
          <w:i/>
          <w:iCs/>
          <w:noProof/>
        </w:rPr>
      </w:pPr>
      <w:r>
        <w:rPr>
          <w:i/>
          <w:noProof/>
        </w:rPr>
        <w:t xml:space="preserve">Joidenkin jäsenvaltioiden on parannettava perintöaineksen saatavuutta koskevien EU:n sääntöjen täytäntöönpanoa. Monet jäsenvaltiot eivät vielä noudata täysimääräisesti trooppista puutavaraa koskevia sääntöjä. </w:t>
      </w:r>
    </w:p>
    <w:tbl>
      <w:tblPr>
        <w:tblStyle w:val="TableGrid"/>
        <w:tblpPr w:leftFromText="180" w:rightFromText="180" w:vertAnchor="text" w:horzAnchor="margin" w:tblpY="67"/>
        <w:tblOverlap w:val="never"/>
        <w:tblW w:w="9242" w:type="dxa"/>
        <w:shd w:val="clear" w:color="auto" w:fill="EAF1DD" w:themeFill="accent3" w:themeFillTint="33"/>
        <w:tblLook w:val="04A0" w:firstRow="1" w:lastRow="0" w:firstColumn="1" w:lastColumn="0" w:noHBand="0" w:noVBand="1"/>
      </w:tblPr>
      <w:tblGrid>
        <w:gridCol w:w="9242"/>
      </w:tblGrid>
      <w:tr>
        <w:trPr>
          <w:trHeight w:val="1550"/>
        </w:trPr>
        <w:tc>
          <w:tcPr>
            <w:tcW w:w="9242" w:type="dxa"/>
            <w:shd w:val="clear" w:color="auto" w:fill="EAF1DD" w:themeFill="accent3" w:themeFillTint="33"/>
          </w:tcPr>
          <w:p>
            <w:pPr>
              <w:spacing w:after="200" w:line="240" w:lineRule="auto"/>
              <w:jc w:val="left"/>
              <w:rPr>
                <w:rFonts w:cs="Times New Roman"/>
                <w:b/>
                <w:bCs/>
                <w:noProof/>
              </w:rPr>
            </w:pPr>
            <w:r>
              <w:rPr>
                <w:b/>
                <w:noProof/>
              </w:rPr>
              <w:t>Hyviä käytäntöjä:</w:t>
            </w:r>
          </w:p>
          <w:p>
            <w:pPr>
              <w:pStyle w:val="CommentText"/>
              <w:rPr>
                <w:rFonts w:cs="Times New Roman"/>
                <w:noProof/>
              </w:rPr>
            </w:pPr>
            <w:r>
              <w:rPr>
                <w:noProof/>
                <w:sz w:val="22"/>
              </w:rPr>
              <w:t xml:space="preserve">Kestävän kehityksen tavoitteiden saavuttamiseksi Euroopassa on alettu hyödyntää toimien laaja-alaista koordinointia. </w:t>
            </w:r>
            <w:r>
              <w:rPr>
                <w:b/>
                <w:noProof/>
                <w:sz w:val="22"/>
              </w:rPr>
              <w:t>Espanjassa</w:t>
            </w:r>
            <w:r>
              <w:rPr>
                <w:noProof/>
                <w:sz w:val="22"/>
              </w:rPr>
              <w:t xml:space="preserve"> on nimetty kestävän kehityksen Agenda 2030 </w:t>
            </w:r>
            <w:r>
              <w:rPr>
                <w:noProof/>
              </w:rPr>
              <w:noBreakHyphen/>
            </w:r>
            <w:r>
              <w:rPr>
                <w:noProof/>
                <w:sz w:val="22"/>
              </w:rPr>
              <w:t xml:space="preserve">tavoitteista vastaava valtuutettu, joka raportoi suoraan hallituksen puheenjohtajalle. </w:t>
            </w:r>
            <w:r>
              <w:rPr>
                <w:b/>
                <w:noProof/>
                <w:sz w:val="22"/>
              </w:rPr>
              <w:t>Ranskassa</w:t>
            </w:r>
            <w:r>
              <w:rPr>
                <w:noProof/>
                <w:sz w:val="22"/>
              </w:rPr>
              <w:t xml:space="preserve"> on nimitetty pääministerin alaisuuteen ministeriöiden välinen kestävän kehityksen valtuutettu.</w:t>
            </w:r>
          </w:p>
        </w:tc>
      </w:tr>
    </w:tbl>
    <w:p>
      <w:pPr>
        <w:pStyle w:val="ListParagraph"/>
        <w:numPr>
          <w:ilvl w:val="0"/>
          <w:numId w:val="5"/>
        </w:numPr>
        <w:spacing w:before="240"/>
        <w:rPr>
          <w:rFonts w:cs="Times New Roman"/>
          <w:b/>
          <w:bCs/>
          <w:noProof/>
          <w:sz w:val="28"/>
          <w:szCs w:val="28"/>
        </w:rPr>
      </w:pPr>
      <w:r>
        <w:rPr>
          <w:b/>
          <w:noProof/>
          <w:sz w:val="28"/>
        </w:rPr>
        <w:t>Ympäristöhallinnon vahvistaminen</w:t>
      </w:r>
    </w:p>
    <w:p>
      <w:pPr>
        <w:pStyle w:val="ListParagraph"/>
        <w:ind w:left="360"/>
        <w:rPr>
          <w:rFonts w:cs="Times New Roman"/>
          <w:b/>
          <w:noProof/>
          <w:sz w:val="24"/>
        </w:rPr>
      </w:pPr>
    </w:p>
    <w:p>
      <w:pPr>
        <w:pStyle w:val="ListParagraph"/>
        <w:numPr>
          <w:ilvl w:val="1"/>
          <w:numId w:val="18"/>
        </w:numPr>
        <w:rPr>
          <w:rFonts w:cs="Times New Roman"/>
          <w:b/>
          <w:bCs/>
          <w:noProof/>
          <w:sz w:val="24"/>
          <w:szCs w:val="24"/>
        </w:rPr>
      </w:pPr>
      <w:r>
        <w:rPr>
          <w:b/>
          <w:noProof/>
          <w:sz w:val="24"/>
        </w:rPr>
        <w:t xml:space="preserve"> Ympäristöhallinto</w:t>
      </w:r>
    </w:p>
    <w:p>
      <w:pPr>
        <w:rPr>
          <w:rFonts w:cs="Times New Roman"/>
          <w:noProof/>
        </w:rPr>
      </w:pPr>
      <w:r>
        <w:rPr>
          <w:noProof/>
        </w:rPr>
        <w:t>Jäsenvaltioiden julkishallinnon laatu vaikuttaa merkittävästi EU:n politiikkojen tuloksiin. Vuonna 2018 tehdyn tutkimuksen mukaisesti</w:t>
      </w:r>
      <w:r>
        <w:rPr>
          <w:noProof/>
          <w:vertAlign w:val="superscript"/>
        </w:rPr>
        <w:footnoteReference w:id="90"/>
      </w:r>
      <w:r>
        <w:rPr>
          <w:noProof/>
        </w:rPr>
        <w:t xml:space="preserve"> maan julkisten palvelujen laatu on yhteydessä julkishallinnon nauttimaan luottamukseen, liiketoiminnan helppouteen ja yhteiskunnalliseen hyvinvointiin. </w:t>
      </w:r>
    </w:p>
    <w:p>
      <w:pPr>
        <w:rPr>
          <w:rFonts w:cs="Times New Roman"/>
          <w:noProof/>
        </w:rPr>
      </w:pPr>
      <w:r>
        <w:rPr>
          <w:noProof/>
        </w:rPr>
        <w:t>Vuoden 2017 ympäristölainsäädännön täytäntöönpanon arvioinnissa esitettiin hallintoon liittyville täytäntöönpanon puutteille joitakin mahdollisia perussyitä</w:t>
      </w:r>
      <w:r>
        <w:rPr>
          <w:noProof/>
          <w:vertAlign w:val="superscript"/>
        </w:rPr>
        <w:footnoteReference w:id="91"/>
      </w:r>
      <w:r>
        <w:rPr>
          <w:noProof/>
        </w:rPr>
        <w:t>, mutta niiden tueksi tarvittiin järjestelmällisempää analyysiä. Ensimmäisenä askeleena kohti vastavuoroista oppimista ja räätälöityjä ratkaisuja on käynnistetty jäsenvaltioiden ympäristöhallinnon toimintaa koskeva arviointi</w:t>
      </w:r>
      <w:r>
        <w:rPr>
          <w:noProof/>
          <w:vertAlign w:val="superscript"/>
        </w:rPr>
        <w:footnoteReference w:id="92"/>
      </w:r>
      <w:r>
        <w:rPr>
          <w:noProof/>
        </w:rPr>
        <w:t>. Komissio keskustelee ympäristövaatimusten noudattamisen ja ympäristöhallinnan foorumissa</w:t>
      </w:r>
      <w:r>
        <w:rPr>
          <w:noProof/>
          <w:vertAlign w:val="superscript"/>
        </w:rPr>
        <w:footnoteReference w:id="93"/>
      </w:r>
      <w:r>
        <w:rPr>
          <w:noProof/>
        </w:rPr>
        <w:t xml:space="preserve"> ja ympäristölainsäädännön täytäntöönpanon arvioinnin asiantuntijaryhmässä</w:t>
      </w:r>
      <w:r>
        <w:rPr>
          <w:noProof/>
          <w:vertAlign w:val="superscript"/>
        </w:rPr>
        <w:footnoteReference w:id="94"/>
      </w:r>
      <w:r>
        <w:rPr>
          <w:noProof/>
        </w:rPr>
        <w:t xml:space="preserve"> siitä, miten hankkeessa saatuja tuloksia ja kerättyä tietoa voidaan käyttää ja päivittää siten, että ne tukevat tulevia ympäristölainsäädännön täytäntöönpanon arvioinnin syklejä.</w:t>
      </w:r>
    </w:p>
    <w:p>
      <w:pPr>
        <w:rPr>
          <w:rFonts w:cs="Times New Roman"/>
          <w:noProof/>
        </w:rPr>
      </w:pPr>
      <w:r>
        <w:rPr>
          <w:noProof/>
        </w:rPr>
        <w:t>Arvioitaessa vuoden 2017 jälkeen tapahtunutta edistystä on todettava, etteivät Århusin yleissopimuksen mukaiset avoimuuden, yleisön osallistumisoikeuden sekä muutoksenhaku- ja vireillepano-oikeuden standardit</w:t>
      </w:r>
      <w:r>
        <w:rPr>
          <w:noProof/>
          <w:vertAlign w:val="superscript"/>
        </w:rPr>
        <w:footnoteReference w:id="95"/>
      </w:r>
      <w:r>
        <w:rPr>
          <w:noProof/>
        </w:rPr>
        <w:t xml:space="preserve"> ole vielä täysin toteutuneet EU:ssa. Kansalaiset, yritykset ja viranomaiset hyötyisivät lisäponnisteluista näillä osa-alueilla. Yhä yleisemmin tunnustetaan se, että asianosaisilla sidosryhmillä on oikeus panna kansallisissa tuomioistuimissa vireille kanne, joka perustuu usein Euroopan yhteisöjen tuomioistuimen tuomioihin. Luonnollisten henkilöiden ja oikeushenkilöiden oikeustoimien helpottamiseksi hyväksyttiin vuonna 2017 tulkitseva tiedonanto ympäristöasioita koskevan oikeussuojan saatavuudesta</w:t>
      </w:r>
      <w:r>
        <w:rPr>
          <w:noProof/>
          <w:vertAlign w:val="superscript"/>
        </w:rPr>
        <w:footnoteReference w:id="96"/>
      </w:r>
      <w:r>
        <w:rPr>
          <w:noProof/>
        </w:rPr>
        <w:t xml:space="preserve">. </w:t>
      </w:r>
    </w:p>
    <w:p>
      <w:pPr>
        <w:rPr>
          <w:rFonts w:cs="Times New Roman"/>
          <w:noProof/>
        </w:rPr>
      </w:pPr>
      <w:r>
        <w:rPr>
          <w:noProof/>
        </w:rPr>
        <w:t>Vuoden 2018 alussa hyväksyttiin lisäksi ympäristövaatimusten noudattamisen varmistamisen toimintasuunnitelma</w:t>
      </w:r>
      <w:r>
        <w:rPr>
          <w:noProof/>
          <w:vertAlign w:val="superscript"/>
        </w:rPr>
        <w:footnoteReference w:id="97"/>
      </w:r>
      <w:r>
        <w:rPr>
          <w:noProof/>
        </w:rPr>
        <w:t xml:space="preserve">. Sen tarkoituksena on jakaa hyviä käytäntöjä ja ohjeita valitusten käsittelystä, ympäristörikollisuuden torjunnasta ja ympäristövaatimusten noudattamisen varmistamisesta maaseutualueilla. Lisäksi toimintasuunnitelmassa on laajempi arviointikehys jäsenvaltioiden ympäristövaatimusten noudattamiselle. </w:t>
      </w:r>
    </w:p>
    <w:p>
      <w:pPr>
        <w:rPr>
          <w:rFonts w:cs="Times New Roman"/>
          <w:noProof/>
        </w:rPr>
      </w:pPr>
      <w:r>
        <w:rPr>
          <w:noProof/>
        </w:rPr>
        <w:t>Asetus energiaunionin ja ilmastotoimien hallinnosta astui voimaan joulukuussa 2018</w:t>
      </w:r>
      <w:r>
        <w:rPr>
          <w:noProof/>
          <w:vertAlign w:val="superscript"/>
        </w:rPr>
        <w:footnoteReference w:id="98"/>
      </w:r>
      <w:r>
        <w:rPr>
          <w:noProof/>
        </w:rPr>
        <w:t>. Asetus vahvistaa merkittävästi energia-, ilmasto- ja ympäristöpolitiikkojen yhtenäisyyttä, etenkin velvoittamalla jäsenvaltiot laatimaan kansalliset energia- ja ilmastosuunnitelmat.</w:t>
      </w:r>
    </w:p>
    <w:p>
      <w:pPr>
        <w:rPr>
          <w:rFonts w:cs="Times New Roman"/>
          <w:noProof/>
        </w:rPr>
      </w:pPr>
      <w:r>
        <w:rPr>
          <w:noProof/>
        </w:rPr>
        <w:t>Tarve puuttua ympäristörikoksiin, ja etenkin luonnonvaraisen kasviston ja eläimistön sekä jätteiden laittomaan kauppaan, asetettiin prioriteetiksi järjestäytyneen rikollisuuden torjuntaa koskevassa EU:n politiikassa vuosiksi 2018–2021</w:t>
      </w:r>
      <w:r>
        <w:rPr>
          <w:noProof/>
          <w:vertAlign w:val="superscript"/>
        </w:rPr>
        <w:footnoteReference w:id="99"/>
      </w:r>
      <w:r>
        <w:rPr>
          <w:noProof/>
        </w:rPr>
        <w:t xml:space="preserve">. Tämä on poikinut jäsenvaltioiden lainvalvontaviranomaisten johdolla ja Europolin ja EU:n rahoituksen tuella useita konkreettisia toimia, joita on toteutettu erilaisten ympäristörikosten torjunnassa eri puolilla EU:ta. </w:t>
      </w:r>
    </w:p>
    <w:p>
      <w:pPr>
        <w:rPr>
          <w:rFonts w:cs="Times New Roman"/>
          <w:noProof/>
        </w:rPr>
      </w:pPr>
      <w:r>
        <w:rPr>
          <w:noProof/>
        </w:rPr>
        <w:t>Alan ammattilaisten luomilla verkostoilla (esimerkiksi IMPEL</w:t>
      </w:r>
      <w:r>
        <w:rPr>
          <w:noProof/>
          <w:vertAlign w:val="superscript"/>
        </w:rPr>
        <w:footnoteReference w:id="100"/>
      </w:r>
      <w:r>
        <w:rPr>
          <w:noProof/>
        </w:rPr>
        <w:t>) on myös keskeinen rooli, ja komissio aikoo vahvistaa sitä edelleen. Digitalisointi ja sähköiset hallintopalvelut voivat myös tukea tehokkaamman ja yhtenäisemmän lainvalvontaviranomaisen kehittämistyötä. Tässä tarkoituksessa jäsenvaltiot voivat hyödyntää useita EU:n aloitteita</w:t>
      </w:r>
      <w:r>
        <w:rPr>
          <w:noProof/>
          <w:vertAlign w:val="superscript"/>
        </w:rPr>
        <w:footnoteReference w:id="101"/>
      </w:r>
      <w:r>
        <w:rPr>
          <w:noProof/>
        </w:rPr>
        <w:t xml:space="preserve">. </w:t>
      </w:r>
    </w:p>
    <w:p>
      <w:pPr>
        <w:spacing w:after="200" w:line="240" w:lineRule="auto"/>
        <w:jc w:val="left"/>
        <w:rPr>
          <w:rFonts w:cs="Times New Roman"/>
          <w:i/>
          <w:iCs/>
          <w:noProof/>
        </w:rPr>
      </w:pPr>
      <w:r>
        <w:rPr>
          <w:i/>
          <w:noProof/>
        </w:rPr>
        <w:t>Politiikanalaa koskevat tulokset:</w:t>
      </w:r>
    </w:p>
    <w:p>
      <w:pPr>
        <w:pStyle w:val="ListParagraph"/>
        <w:numPr>
          <w:ilvl w:val="0"/>
          <w:numId w:val="3"/>
        </w:numPr>
        <w:spacing w:line="240" w:lineRule="auto"/>
        <w:contextualSpacing w:val="0"/>
        <w:rPr>
          <w:rFonts w:cs="Times New Roman"/>
          <w:noProof/>
        </w:rPr>
      </w:pPr>
      <w:r>
        <w:rPr>
          <w:i/>
          <w:noProof/>
        </w:rPr>
        <w:t xml:space="preserve">Jäsenvaltioiden vahvempi ympäristöhallinto edistää ympäristöpolitiikan täytäntöönpanoa. Jäsenvaltiot voivat parantaa yleistä ympäristöhallintoaan. </w:t>
      </w:r>
    </w:p>
    <w:p>
      <w:pPr>
        <w:pStyle w:val="ListParagraph"/>
        <w:numPr>
          <w:ilvl w:val="0"/>
          <w:numId w:val="3"/>
        </w:numPr>
        <w:spacing w:line="240" w:lineRule="auto"/>
        <w:contextualSpacing w:val="0"/>
        <w:rPr>
          <w:rFonts w:cs="Times New Roman"/>
          <w:i/>
          <w:iCs/>
          <w:noProof/>
        </w:rPr>
      </w:pPr>
      <w:r>
        <w:rPr>
          <w:i/>
          <w:noProof/>
        </w:rPr>
        <w:t>Täytäntöönpano hyötyy selkeästi avoimuuden lisäämisestä. Se parantaa tietoisuutta, vastuullisuutta, yleisön osallistumista ja tukea. Jäsenvaltioiden pitäisi hyödyntää paremmin avoimuutta lisääviä digitaalisia mahdollisuuksia ja tiedottaa kansalaisille paremmin ympäristön todellisesta tilasta paikallisella/alueellisella tasolla, mikä vauhdittaisi muuttamaan käyttäytymistä.</w:t>
      </w:r>
    </w:p>
    <w:p>
      <w:pPr>
        <w:pStyle w:val="ListParagraph"/>
        <w:numPr>
          <w:ilvl w:val="0"/>
          <w:numId w:val="3"/>
        </w:numPr>
        <w:spacing w:line="240" w:lineRule="auto"/>
        <w:contextualSpacing w:val="0"/>
        <w:rPr>
          <w:rFonts w:cs="Times New Roman"/>
          <w:i/>
          <w:iCs/>
          <w:noProof/>
        </w:rPr>
      </w:pPr>
      <w:r>
        <w:rPr>
          <w:i/>
          <w:noProof/>
        </w:rPr>
        <w:t>Yleisestä kehityksestä huolimatta jäsenvaltioiden on parannettava ympäristötietojen saatavuutta. Etenkin paikkatietojen ja palveluiden pitäisi olla helposti ja vapaasti käytettävissä (INSPIRE</w:t>
      </w:r>
      <w:r>
        <w:rPr>
          <w:i/>
          <w:noProof/>
          <w:vertAlign w:val="superscript"/>
        </w:rPr>
        <w:footnoteReference w:id="102"/>
      </w:r>
      <w:r>
        <w:rPr>
          <w:i/>
          <w:noProof/>
        </w:rPr>
        <w:t>-paikkatietoinfrastruktuurin ympäristötietojen julkista saatavuutta ja julkisen sektorin hallussa olevien tietojen uudelleenkäyttöä koskevien direktiivien mukaisesti)</w:t>
      </w:r>
      <w:r>
        <w:rPr>
          <w:i/>
          <w:noProof/>
          <w:vertAlign w:val="superscript"/>
        </w:rPr>
        <w:footnoteReference w:id="103"/>
      </w:r>
      <w:r>
        <w:rPr>
          <w:i/>
          <w:noProof/>
        </w:rPr>
        <w:t>.</w:t>
      </w:r>
    </w:p>
    <w:p>
      <w:pPr>
        <w:pStyle w:val="ListParagraph"/>
        <w:numPr>
          <w:ilvl w:val="0"/>
          <w:numId w:val="3"/>
        </w:numPr>
        <w:spacing w:line="240" w:lineRule="auto"/>
        <w:contextualSpacing w:val="0"/>
        <w:rPr>
          <w:rFonts w:cs="Times New Roman"/>
          <w:noProof/>
        </w:rPr>
      </w:pPr>
      <w:r>
        <w:rPr>
          <w:i/>
          <w:noProof/>
        </w:rPr>
        <w:t>Monissa jäsenvaltioissa</w:t>
      </w:r>
      <w:r>
        <w:rPr>
          <w:i/>
          <w:noProof/>
          <w:vertAlign w:val="superscript"/>
        </w:rPr>
        <w:footnoteReference w:id="104"/>
      </w:r>
      <w:r>
        <w:rPr>
          <w:i/>
          <w:noProof/>
        </w:rPr>
        <w:t xml:space="preserve"> on varmistettava, että ympäristöalan kansalaisjärjestöillä on asiavaltuus hakea oikeusteitse muutosta ympäristöasioita koskevassa asiassa. Samoin on varmistettava, että ympäristöasian kantajien tiellä olevat esteet, kuten kohtuuttoman korkeat kustannukset, poistetaan. </w:t>
      </w:r>
    </w:p>
    <w:p>
      <w:pPr>
        <w:pStyle w:val="ListParagraph"/>
        <w:numPr>
          <w:ilvl w:val="0"/>
          <w:numId w:val="3"/>
        </w:numPr>
        <w:spacing w:line="240" w:lineRule="auto"/>
        <w:contextualSpacing w:val="0"/>
        <w:rPr>
          <w:rFonts w:cs="Times New Roman"/>
          <w:noProof/>
        </w:rPr>
      </w:pPr>
      <w:r>
        <w:rPr>
          <w:i/>
          <w:noProof/>
        </w:rPr>
        <w:t>26 jäsenvaltion</w:t>
      </w:r>
      <w:r>
        <w:rPr>
          <w:i/>
          <w:noProof/>
          <w:vertAlign w:val="superscript"/>
        </w:rPr>
        <w:footnoteReference w:id="105"/>
      </w:r>
      <w:r>
        <w:rPr>
          <w:i/>
          <w:noProof/>
        </w:rPr>
        <w:t xml:space="preserve"> on parannettava ympäristövastuudirektiivien soveltamista yhdellä tai useammalla seuraavista aloista: rahavakuus, ohjaus, ympäristövahinkoja koskevien tietojen kerääminen ja julkaisu.</w:t>
      </w:r>
    </w:p>
    <w:p>
      <w:pPr>
        <w:spacing w:line="240" w:lineRule="auto"/>
        <w:rPr>
          <w:rFonts w:cs="Times New Roman"/>
          <w:noProof/>
        </w:rPr>
      </w:pPr>
    </w:p>
    <w:p>
      <w:pPr>
        <w:spacing w:before="240"/>
        <w:rPr>
          <w:rFonts w:cs="Times New Roman"/>
          <w:b/>
          <w:noProof/>
          <w:sz w:val="24"/>
        </w:rPr>
      </w:pPr>
      <w:r>
        <w:rPr>
          <w:b/>
          <w:noProof/>
          <w:sz w:val="24"/>
        </w:rPr>
        <w:t xml:space="preserve">3.2. </w:t>
      </w:r>
      <w:r>
        <w:rPr>
          <w:noProof/>
        </w:rPr>
        <w:tab/>
      </w:r>
      <w:r>
        <w:rPr>
          <w:b/>
          <w:noProof/>
          <w:sz w:val="24"/>
        </w:rPr>
        <w:t>Ympäristönäkökohtien huomioon ottaminen</w:t>
      </w:r>
    </w:p>
    <w:p>
      <w:pPr>
        <w:rPr>
          <w:rFonts w:eastAsia="Times New Roman" w:cs="Times New Roman"/>
          <w:noProof/>
        </w:rPr>
      </w:pPr>
      <w:r>
        <w:rPr>
          <w:noProof/>
        </w:rPr>
        <w:t>Kuten ympäristöä koskevissa komission toimintaohjelmissa on toistuvasti painotettu</w:t>
      </w:r>
      <w:r>
        <w:rPr>
          <w:noProof/>
          <w:vertAlign w:val="superscript"/>
        </w:rPr>
        <w:footnoteReference w:id="106"/>
      </w:r>
      <w:r>
        <w:rPr>
          <w:noProof/>
        </w:rPr>
        <w:t>, ympäristö- ja ilmastotavoitteita ei saavuteta pelkästään ympäristölainsäädännön täytäntöönpanolla, vaan tavoitteiden saavuttaminen edellyttää ympäristönäkökohtien sisällyttämistä muihin politiikkoihin. Havainnollisena esimerkkinä toimii yhteinen maatalouspolitiikka (YMP), onhan noin puolet EU:n pinta-alasta on maatalousmaata. Yhteisellä maatalouspolitiikalla voidaan edistää merkittävästi ympäristö- ja ilmastotavoitteita. Sen avulla voidaan muun muassa pysäyttää luonnon monimuotoisuuden köyhtyminen, lieventää maaperän huonontumista, taata veden laatu, vähentää ammoniakkipäästöjä sekä hallita ja vähentää kasvihuonekaasupäästöjä. Yhteisen maatalouspolitiikan viimeaikaiset uudistukset ovat tuoneet lupaavia muutoksia politiikkakehykseen parantamalla yhteensopivuutta ympäristö- ja ilmastotavoitteiden kanssa. Tulevaa, vuoden 2020 jälkeistä yhteistä maatalouspolitiikkaa koskevat lainsäädäntöehdotukset vahvistavat yhteensopivuutta entisestään. Myös ajantasaistetun biotalousstrategian</w:t>
      </w:r>
      <w:r>
        <w:rPr>
          <w:noProof/>
          <w:vertAlign w:val="superscript"/>
        </w:rPr>
        <w:footnoteReference w:id="107"/>
      </w:r>
      <w:r>
        <w:rPr>
          <w:noProof/>
          <w:vertAlign w:val="superscript"/>
        </w:rPr>
        <w:t xml:space="preserve"> </w:t>
      </w:r>
      <w:r>
        <w:rPr>
          <w:noProof/>
        </w:rPr>
        <w:t>tarkoituksena on yhdistää ympäristöön liittyvät, sosiaaliset ja taloudelliset tavoitteet politiikkojenvälisellä ja yhtenäisellä tavalla.</w:t>
      </w:r>
    </w:p>
    <w:p>
      <w:pPr>
        <w:rPr>
          <w:rFonts w:eastAsia="Times New Roman" w:cs="Times New Roman"/>
          <w:noProof/>
        </w:rPr>
      </w:pPr>
      <w:r>
        <w:rPr>
          <w:noProof/>
        </w:rPr>
        <w:t xml:space="preserve">Eri aloilla toimivien virkamiesten laatimien politiikkojen ja lainsäädäntöjen on oltava yhdenmukaisia, pohjauduttava yhteiseen loogiseen ja tieteelliseen näyttöön ja hyödynnettävä käytettävissä olevaa teknologiaa. Tätä painotetaan myös Euroopan unionin toiminnasta tehdyn sopimuksen 11 artiklassa. Vaikka ympäristönäkökohtien huomioon ottaminen vaatii tehokasta viranomaisyhteistyötä, todellisuudessa eri ministeriöiden ja aluehallintojen viranomaisilla on edelleen tapana työskennellä erillään toisistaan, omissa ”lokeroissaan”. Riittämätön politiikkojen ja institutionaalinen yhtenäisyys on yksi EU:n ympäristöpolitiikan ja -lainsäädännön tavoitteiden täytäntöönpanon puutteiden pääsyistä. </w:t>
      </w:r>
    </w:p>
    <w:p>
      <w:pPr>
        <w:rPr>
          <w:rFonts w:eastAsia="Times New Roman" w:cs="Times New Roman"/>
          <w:noProof/>
        </w:rPr>
      </w:pPr>
      <w:r>
        <w:rPr>
          <w:noProof/>
        </w:rPr>
        <w:t>Politiikkojen ja institutionaalisen yhtenäisyyden edistäminen on pysyvä haaste. Maaraportit osoittavat, että ympäristöpaineet liittyvät monissa jäsenvaltioissa läheisesti eri talouden aloihin (muun muassa maatalous, liikenne, teollisuus, elintarvike- tai energiantuotanto). Esimerkkinä tästä on se, missä määrin kiertotalous on riippuvainen tuoteinnovoinnista, tehokkaasta jätehuollosta ja ympäristöä säästävien julkisten hankintojen kannustavasta vaikutuksesta. EU:n tasolla toteutettu analyysi maatalouden ja vesivarojen kestävän hoidon välisistä suhteista osoitti, että aiempaa integroidumpi lähestymistapa on kuitenkin mahdollinen</w:t>
      </w:r>
      <w:r>
        <w:rPr>
          <w:noProof/>
          <w:vertAlign w:val="superscript"/>
        </w:rPr>
        <w:footnoteReference w:id="108"/>
      </w:r>
      <w:r>
        <w:rPr>
          <w:noProof/>
        </w:rPr>
        <w:t xml:space="preserve">. Monissa tapauksissa yhteistyöhön perustuva, erilaiset intressit huomioon ottava lähestymistapa voisi olla sopivampi etenemisväylä kuin uuden lainsäädännön säätäminen. </w:t>
      </w:r>
    </w:p>
    <w:p>
      <w:pPr>
        <w:rPr>
          <w:rFonts w:eastAsia="Times New Roman" w:cs="Times New Roman"/>
          <w:noProof/>
        </w:rPr>
      </w:pPr>
      <w:r>
        <w:rPr>
          <w:noProof/>
          <w:lang w:val="en-GB" w:eastAsia="en-GB" w:bidi="ar-SA"/>
        </w:rPr>
        <w:drawing>
          <wp:anchor distT="0" distB="0" distL="114300" distR="114300" simplePos="0" relativeHeight="251664384" behindDoc="0" locked="0" layoutInCell="1" allowOverlap="1">
            <wp:simplePos x="0" y="0"/>
            <wp:positionH relativeFrom="column">
              <wp:posOffset>2990850</wp:posOffset>
            </wp:positionH>
            <wp:positionV relativeFrom="paragraph">
              <wp:posOffset>400050</wp:posOffset>
            </wp:positionV>
            <wp:extent cx="2738755" cy="2028825"/>
            <wp:effectExtent l="0" t="0" r="444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875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Poliittisen tason monialaisissa tapaamisissa (esimerkiksi neuvoston kokoonpanojen yhteiset kokoukset) ja yhteisten hankkeiden asiantuntijaryhmissä voidaan lisäksi tunnistaa, analysoida ja ratkaista tilanteita, joissa ympäristönäkökohdat otetaan huonosti huomioon.  </w:t>
      </w:r>
    </w:p>
    <w:p>
      <w:pPr>
        <w:rPr>
          <w:rFonts w:cs="Times New Roman"/>
          <w:noProof/>
        </w:rPr>
      </w:pPr>
      <w:r>
        <w:rPr>
          <w:noProof/>
        </w:rPr>
        <w:t xml:space="preserve">Vertaisoppiminen on osoittautunut tärkeäksi välineeksi ympäristönlainsäädännön täytäntöönpanossa. Ympäristöviranomaiset ovat ottaneet hyvin vastaan TAIEX-EIR Peer2Peer </w:t>
      </w:r>
      <w:r>
        <w:rPr>
          <w:noProof/>
        </w:rPr>
        <w:noBreakHyphen/>
        <w:t>välineen, joka on otettu käyttöön ympäristöpolitiikan täytäntöönpanon arvioinnin ensimmäisellä syklillä.</w:t>
      </w:r>
      <w:r>
        <w:rPr>
          <w:b/>
          <w:noProof/>
        </w:rPr>
        <w:t xml:space="preserve"> </w:t>
      </w:r>
      <w:r>
        <w:rPr>
          <w:noProof/>
        </w:rPr>
        <w:t>Välineen ensimmäisenä käyttövuonna 2018 kaikki jäsenvaltiot olivat mukana ainakin yhdessä tapahtumassa ja yli puolet tapahtumista oli useamman maan yhteisiä työpajoja. Vuonna 2018 toteutetuissa 19 hankkeessa välinettä käyttivät pääasiassa ympäristöviranomaiset. Kuten politiikanalaa koskevat tulokset osoittavat, ympäristönäkökohtien huomioon ottamisen kannalta välineestä on kuitenkin enemmän hyötyä, jos mukana on muitakin asiaankuuluvia viranomaisia.</w:t>
      </w:r>
    </w:p>
    <w:p>
      <w:pPr>
        <w:rPr>
          <w:rFonts w:cs="Times New Roman"/>
          <w:noProof/>
        </w:rPr>
      </w:pPr>
    </w:p>
    <w:p>
      <w:pPr>
        <w:spacing w:after="200" w:line="240" w:lineRule="auto"/>
        <w:jc w:val="left"/>
        <w:rPr>
          <w:rFonts w:cs="Times New Roman"/>
          <w:i/>
          <w:iCs/>
          <w:noProof/>
        </w:rPr>
      </w:pPr>
      <w:r>
        <w:rPr>
          <w:i/>
          <w:noProof/>
        </w:rPr>
        <w:t>Politiikanalaa koskevat tulokset:</w:t>
      </w:r>
    </w:p>
    <w:p>
      <w:pPr>
        <w:pStyle w:val="ListParagraph"/>
        <w:numPr>
          <w:ilvl w:val="0"/>
          <w:numId w:val="3"/>
        </w:numPr>
        <w:spacing w:line="240" w:lineRule="auto"/>
        <w:contextualSpacing w:val="0"/>
        <w:rPr>
          <w:rFonts w:cs="Times New Roman"/>
          <w:i/>
          <w:iCs/>
          <w:noProof/>
        </w:rPr>
      </w:pPr>
      <w:r>
        <w:rPr>
          <w:i/>
          <w:noProof/>
        </w:rPr>
        <w:t>Kaikki jäsenvaltiot voivat parantaa yleistä ympäristöhallintoaan. Monissa jäsenvaltioissa ympäristöviranomaisissa on henkilöstöä aivan liian vähän, ja kapasiteetin ja resurssien riittämättömyys vaikuttaa täytäntöönpano- ja valvontakykyyn. Useimmissa jäsenvaltioissa on alakohtaisten hallintojen koordinointirakenteita eri tasoilla, mutta niiden tehokkuus vaihtelee. Kolmea jäsenvaltiota</w:t>
      </w:r>
      <w:r>
        <w:rPr>
          <w:i/>
          <w:noProof/>
          <w:sz w:val="18"/>
          <w:szCs w:val="18"/>
          <w:vertAlign w:val="superscript"/>
        </w:rPr>
        <w:footnoteReference w:id="109"/>
      </w:r>
      <w:r>
        <w:rPr>
          <w:i/>
          <w:noProof/>
        </w:rPr>
        <w:t xml:space="preserve"> kehotetaan voimakkaasti huomioimaan alueellinen ja paikallinen pirstaloituminen kehittämällä ympäristöön liittyviä yhteensovittamismekanismeja.</w:t>
      </w:r>
    </w:p>
    <w:p>
      <w:pPr>
        <w:pStyle w:val="ListParagraph"/>
        <w:numPr>
          <w:ilvl w:val="0"/>
          <w:numId w:val="3"/>
        </w:numPr>
        <w:spacing w:line="240" w:lineRule="auto"/>
        <w:contextualSpacing w:val="0"/>
        <w:rPr>
          <w:rFonts w:cs="Times New Roman"/>
          <w:i/>
          <w:iCs/>
          <w:noProof/>
        </w:rPr>
      </w:pPr>
      <w:r>
        <w:rPr>
          <w:i/>
          <w:noProof/>
        </w:rPr>
        <w:t>Kahden jäsenvaltion</w:t>
      </w:r>
      <w:r>
        <w:rPr>
          <w:i/>
          <w:noProof/>
          <w:sz w:val="18"/>
          <w:szCs w:val="18"/>
          <w:vertAlign w:val="superscript"/>
        </w:rPr>
        <w:footnoteReference w:id="110"/>
      </w:r>
      <w:r>
        <w:rPr>
          <w:i/>
          <w:noProof/>
          <w:sz w:val="18"/>
          <w:szCs w:val="18"/>
          <w:vertAlign w:val="superscript"/>
        </w:rPr>
        <w:t xml:space="preserve"> </w:t>
      </w:r>
      <w:r>
        <w:rPr>
          <w:i/>
          <w:noProof/>
        </w:rPr>
        <w:t>on vielä kokonaan saatettava ympäristövaikutusten arvioinnista annettu direktiivi osaksi kansallista lainsäädäntöä. Ympäristövaikutusten arviointiprosesseja on sujuvoitettava ja yleisön aktiivinen osallistuminen varmistettava koko EU:n alueella.</w:t>
      </w:r>
    </w:p>
    <w:p>
      <w:pPr>
        <w:pStyle w:val="ListParagraph"/>
        <w:numPr>
          <w:ilvl w:val="0"/>
          <w:numId w:val="3"/>
        </w:numPr>
        <w:spacing w:line="240" w:lineRule="auto"/>
        <w:contextualSpacing w:val="0"/>
        <w:rPr>
          <w:rFonts w:cs="Times New Roman"/>
          <w:i/>
          <w:iCs/>
          <w:noProof/>
        </w:rPr>
      </w:pPr>
      <w:r>
        <w:rPr>
          <w:i/>
          <w:noProof/>
        </w:rPr>
        <w:t>Vertaisperiaatteella toimivaa tiedonvaihtoa on hyödynnetty lähinnä aihekohtaisissa haasteissa. Välinettä voitaisiin kuitenkin käyttää myös heikon täytäntöönpanon perussyitä koskevassa tiedonvaihdossa julkishallinnon laadunvalvonta- ja hallintojärjestelmissä.</w:t>
      </w:r>
    </w:p>
    <w:tbl>
      <w:tblPr>
        <w:tblStyle w:val="TableGrid"/>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Hyviä käytäntöjä:</w:t>
            </w:r>
          </w:p>
          <w:p>
            <w:pPr>
              <w:spacing w:after="200" w:line="240" w:lineRule="auto"/>
              <w:rPr>
                <w:rFonts w:cs="Times New Roman"/>
                <w:noProof/>
              </w:rPr>
            </w:pPr>
            <w:r>
              <w:rPr>
                <w:b/>
                <w:noProof/>
              </w:rPr>
              <w:t xml:space="preserve">Bulgaria </w:t>
            </w:r>
            <w:r>
              <w:rPr>
                <w:noProof/>
              </w:rPr>
              <w:t>on toteuttanut toimenpiteitä ympäristövaikutusten arviointien sujuvoittamiseksi. Se on sisällyttänyt luontodirektiivin mukaisen asianmukaisen arvioinnin, IPPC-lupaprosessin (ympäristön pilaantumisen ehkäisemisen ja vähentämisen yhtenäistämiseksi annettu direktiivi [IPPC-direktiivi]) ja kemikaaliturvallisuusarvion (Seveso-direktiivi) osaksi ympäristövaikutusten arviointiprosesseja. Arviointien sujuvoittaminen auttaa keventämään hallinnollista taakkaa, lisäämään yhdenmukaisuutta ja nopeuttamaan päätöksentekoa. Siksi toimia näiden säännösten täytäntöönpanemiseksi asianmukaisesti olisi lisättävä.</w:t>
            </w:r>
          </w:p>
        </w:tc>
      </w:tr>
    </w:tbl>
    <w:p>
      <w:pPr>
        <w:pStyle w:val="ListParagraph"/>
        <w:ind w:left="360"/>
        <w:rPr>
          <w:rFonts w:cs="Times New Roman"/>
          <w:b/>
          <w:noProof/>
          <w:sz w:val="28"/>
          <w:szCs w:val="28"/>
        </w:rPr>
      </w:pPr>
    </w:p>
    <w:p>
      <w:pPr>
        <w:pStyle w:val="ListParagraph"/>
        <w:numPr>
          <w:ilvl w:val="0"/>
          <w:numId w:val="18"/>
        </w:numPr>
        <w:rPr>
          <w:rFonts w:cs="Times New Roman"/>
          <w:b/>
          <w:bCs/>
          <w:noProof/>
          <w:sz w:val="28"/>
          <w:szCs w:val="28"/>
        </w:rPr>
      </w:pPr>
      <w:r>
        <w:rPr>
          <w:b/>
          <w:noProof/>
          <w:sz w:val="28"/>
        </w:rPr>
        <w:t>Tulevat toimet</w:t>
      </w:r>
    </w:p>
    <w:p>
      <w:pPr>
        <w:rPr>
          <w:rFonts w:cs="Times New Roman"/>
          <w:noProof/>
        </w:rPr>
      </w:pPr>
      <w:r>
        <w:rPr>
          <w:noProof/>
        </w:rPr>
        <w:t xml:space="preserve">Ympäristölainsäädännön täytäntöönpanon arvioinnissa on tunnistettu joitakin perusongelmia, joihin on tulevina vuosina kiinnitettävä erityistä huomiota. Lisäksi arviointi on kiinnittänyt keskeisten viranomaisten ja kansalaisten huomion ympäristölainsäädännön täytäntöönpanon puutteisiin jäsenvaltioissaan. </w:t>
      </w:r>
    </w:p>
    <w:p>
      <w:pPr>
        <w:rPr>
          <w:rFonts w:cs="Times New Roman"/>
          <w:noProof/>
        </w:rPr>
      </w:pPr>
      <w:r>
        <w:rPr>
          <w:b/>
          <w:noProof/>
        </w:rPr>
        <w:t xml:space="preserve">Ympäristötavoitteiden yhdistäminen </w:t>
      </w:r>
      <w:r>
        <w:rPr>
          <w:noProof/>
        </w:rPr>
        <w:t>muihin perusteltuihin poliittisiin tavoitteisiin on usein heikkoa, ja tämä vaikuttaa täytäntöönpanoon kielteisesti. Kaikkien näiden tavoitteiden huomioon ottaminen paremmin politiikan suunnittelun eri vaiheissa ja toteuttaminen on tärkeää kunkin asiaankuuluvan politiikanalan toteutumisen ja siten yhteiskuntiemme kannalta. Ympäristön tilaa koskevassa raportissa</w:t>
      </w:r>
      <w:r>
        <w:rPr>
          <w:noProof/>
          <w:vertAlign w:val="superscript"/>
        </w:rPr>
        <w:footnoteReference w:id="111"/>
      </w:r>
      <w:r>
        <w:rPr>
          <w:noProof/>
        </w:rPr>
        <w:t xml:space="preserve"> ja Euroopan ympäristökeskuksen kertomuksessa ”Environmental Indicator Report 2018”</w:t>
      </w:r>
      <w:r>
        <w:rPr>
          <w:noProof/>
          <w:vertAlign w:val="superscript"/>
        </w:rPr>
        <w:footnoteReference w:id="112"/>
      </w:r>
      <w:r>
        <w:rPr>
          <w:noProof/>
        </w:rPr>
        <w:t xml:space="preserve"> esitetyt näkökohdat ovat varsin synkkiä, ja EU:n ympäristölainsäädännön täysimääräinen täytäntöönpano on vain alkusysäys suuntausten muuttamiselle. </w:t>
      </w:r>
    </w:p>
    <w:p>
      <w:pPr>
        <w:rPr>
          <w:rFonts w:cs="Times New Roman"/>
          <w:noProof/>
        </w:rPr>
      </w:pPr>
      <w:r>
        <w:rPr>
          <w:noProof/>
        </w:rPr>
        <w:t>Todellinen täytäntöönpano edistyy tällä hetkellä liian hitaasti. Jos ympäristönäkökohdat otetaan paremmin huomioon, tilanne voi muuttua täysin. Tilannetta voidaan parantaa vain ottamalla ympäristönäkökohdat huomioon niiden julkisten politiikkojen kehyksen muotoilussa ja toteuttamisessa, joiden ympäristöjalanjälki on merkittävä, kuten energia-, liikenne- ja maatalouspolitiikassa. Johtavaksi periaatteeksi voitaisiin vahvistaa politiikanalojen välisiin yhteyksiin perustuva lähestymistapa</w:t>
      </w:r>
      <w:r>
        <w:rPr>
          <w:noProof/>
          <w:vertAlign w:val="superscript"/>
        </w:rPr>
        <w:footnoteReference w:id="113"/>
      </w:r>
      <w:r>
        <w:rPr>
          <w:noProof/>
        </w:rPr>
        <w:t xml:space="preserve">. Se perustuu asiakysymysten systemaattiseen tarkasteluun etukäteen ja siinä tavoitteena on tunnistaa integroituja ratkaisuja asianosaisten alojen käyttöön ja tukea ympäristöön liittyviä investointeja EU:n, kansallisella, alueellisella ja paikallisella tasolla. </w:t>
      </w:r>
    </w:p>
    <w:p>
      <w:pPr>
        <w:rPr>
          <w:rFonts w:cs="Times New Roman"/>
          <w:noProof/>
        </w:rPr>
      </w:pPr>
      <w:r>
        <w:rPr>
          <w:b/>
          <w:noProof/>
        </w:rPr>
        <w:t>Asianomaisten hallintojärjestelmien laatu</w:t>
      </w:r>
      <w:r>
        <w:rPr>
          <w:noProof/>
        </w:rPr>
        <w:t xml:space="preserve"> on täysimääräisen täytäntöönpanon keskeinen katalysaattori. Maaraporteissa pantiin merkille, että julkishallinnon tehottomuus on yksi huonon täytäntöönpanon merkittävistä perussyistä. Komissio on puuttunut julkishallinnon ja hallinnan laatuun eurooppalaisen ohjausjakson yhteydessä sekä rakenne- ja investointirahastojen, rakenneuudistuksen tukiohjelman ja erityisten ohjausvälineiden välityksellä</w:t>
      </w:r>
      <w:r>
        <w:rPr>
          <w:noProof/>
          <w:vertAlign w:val="superscript"/>
        </w:rPr>
        <w:footnoteReference w:id="114"/>
      </w:r>
      <w:r>
        <w:rPr>
          <w:noProof/>
        </w:rPr>
        <w:t>. Selvää on erityisesti, että vaikka eri järjestelmien tarpeet poikkeavat toisistaan, asiassa ei voida edistyä varmistamatta, että asianosaisilla hallinnoilla on tarvittavat henkilöstö- ja taloudelliset resurssit.</w:t>
      </w:r>
    </w:p>
    <w:p>
      <w:pPr>
        <w:rPr>
          <w:rFonts w:cs="Times New Roman"/>
          <w:noProof/>
          <w:color w:val="FF0000"/>
        </w:rPr>
      </w:pPr>
      <w:r>
        <w:rPr>
          <w:noProof/>
        </w:rPr>
        <w:t xml:space="preserve">Ympäristölainsäädännön täytäntöönpano on monialaista ja riippuu usean eri sidosryhmän osallistumisesta. Nämä sidosryhmät ovat niin yksityisiä kuin julkisiakin, ja niiden joukossa on niin päätöksentekijöitä ja kansalaisia kuin yrityksiä ja tuotantolaitoksiakin. Tällainen joukko asianosaisia on mahdollista aktivoida vain, mikäli olennaiset tiedot ovat vaivattomasti heidän saatavillaan. </w:t>
      </w:r>
      <w:r>
        <w:rPr>
          <w:b/>
          <w:noProof/>
        </w:rPr>
        <w:t xml:space="preserve">Ympäristöön liittyvien tietojen avoimuus </w:t>
      </w:r>
      <w:r>
        <w:rPr>
          <w:noProof/>
        </w:rPr>
        <w:t xml:space="preserve">ei koske vain oikeudellisia velvollisuuksia: ympäristölainsäädännön täytäntöönpanossa avoimuus on välttämätöntä sujuvan yhteistyön kannalta. Ilman avoimuutta ei ole luottamusta, eikä sidosryhmien aktivoiminen onnistu. </w:t>
      </w:r>
    </w:p>
    <w:p>
      <w:pPr>
        <w:rPr>
          <w:rFonts w:cs="Times New Roman"/>
          <w:noProof/>
        </w:rPr>
      </w:pPr>
      <w:r>
        <w:rPr>
          <w:noProof/>
        </w:rPr>
        <w:t>Täytäntöönpanon puutteiden korjaaminen edellyttää näyttöpohjaa, jonka perusteella voidaan arvioida etäisyys tavoitteeseen, perimmäiset vaikeudet ja käytettävissä olevat vaihtoehdot. Tämän jälkeen voidaan seurata valittujen ratkaisujen tehokkuutta. Näin ollen komissio kehottaa jäsenvaltioita olemaan avoimia EU:n lainsäädännön ja politiikkojen täytäntöönpanossa, tukeutumaan EU:n avoimen datan portaaliin</w:t>
      </w:r>
      <w:r>
        <w:rPr>
          <w:noProof/>
          <w:vertAlign w:val="superscript"/>
        </w:rPr>
        <w:footnoteReference w:id="115"/>
      </w:r>
      <w:r>
        <w:rPr>
          <w:noProof/>
        </w:rPr>
        <w:t xml:space="preserve"> ja käyttämään nykyaikaista tietotekniikkaa viestinnän, datan ja tiedotuksen tarkoituksiin. Näiden avulla komissio räätälöi tukensa siten, että se vastaa todelliseen tilanteeseen kentällä. </w:t>
      </w:r>
    </w:p>
    <w:p>
      <w:pPr>
        <w:rPr>
          <w:rFonts w:cs="Times New Roman"/>
          <w:noProof/>
        </w:rPr>
      </w:pPr>
      <w:r>
        <w:rPr>
          <w:noProof/>
        </w:rPr>
        <w:t xml:space="preserve">Komissio on sitoutunut tukemaan jäsenvaltioita ympäristölainsäädännön täytäntöönpanon kehittämisessä. Tästä esimerkkinä ovat ympäristölainsäädännön täytäntöönpanon arviointia koskevat aihekohtaiset keskustelut ja kohdennettu Peer2Peer-väline. Sillä voidaan arvioida ongelmia, vaihtaa tietoja hyvistä käytännöistä ja vertaisoppia. Onnistuneet maakohtaiset vuoropuhelut edellyttävät kuitenkin </w:t>
      </w:r>
      <w:r>
        <w:rPr>
          <w:b/>
          <w:noProof/>
        </w:rPr>
        <w:t>alueellisten ja paikallisviranomaisten sekä muiden sidosryhmien aktiivista osallistumista</w:t>
      </w:r>
      <w:r>
        <w:rPr>
          <w:noProof/>
        </w:rPr>
        <w:t>. Kaikilla hallinnon tasoilla ja niiden välillä tarvitaan enemmän aihekohtaisia keskusteluja, joiden pohjalta pitäisi tehdä toiminnallisia, tekoihin ohjaavia johtopäätöksiä.</w:t>
      </w:r>
      <w:r>
        <w:rPr>
          <w:noProof/>
          <w:color w:val="000000"/>
        </w:rPr>
        <w:t xml:space="preserve"> Keskusteluissa pitäisi huomioida mahdollinen ympäristönäkökohtien huomioon ottaminen muissa politiikoissa. </w:t>
      </w:r>
      <w:r>
        <w:rPr>
          <w:noProof/>
        </w:rPr>
        <w:t xml:space="preserve">Komissio on julkaissut asiakirjoja, </w:t>
      </w:r>
      <w:r>
        <w:rPr>
          <w:noProof/>
          <w:color w:val="000000"/>
        </w:rPr>
        <w:t>joita voidaan käyttää lähtökohtana, muun muassa tiedonanto puhtaasta ilmasta (2018)</w:t>
      </w:r>
      <w:r>
        <w:rPr>
          <w:noProof/>
          <w:color w:val="000000"/>
          <w:vertAlign w:val="superscript"/>
        </w:rPr>
        <w:footnoteReference w:id="116"/>
      </w:r>
      <w:r>
        <w:rPr>
          <w:noProof/>
          <w:color w:val="000000"/>
        </w:rPr>
        <w:t>, valmisteluasiakirja maataloudesta ja vesivarojen kestävästä hallinnasta (2017)</w:t>
      </w:r>
      <w:r>
        <w:rPr>
          <w:noProof/>
          <w:color w:val="000000"/>
          <w:vertAlign w:val="superscript"/>
        </w:rPr>
        <w:footnoteReference w:id="117"/>
      </w:r>
      <w:r>
        <w:rPr>
          <w:noProof/>
          <w:color w:val="000000"/>
        </w:rPr>
        <w:t>, toimintasuunnitelma luontoa, ihmisiä ja taloutta varten</w:t>
      </w:r>
      <w:r>
        <w:rPr>
          <w:noProof/>
          <w:vertAlign w:val="superscript"/>
        </w:rPr>
        <w:footnoteReference w:id="118"/>
      </w:r>
      <w:r>
        <w:rPr>
          <w:noProof/>
          <w:color w:val="000000"/>
        </w:rPr>
        <w:t xml:space="preserve"> ja jätteiden uudelleenkäyttöä/kierrätystä koskevat varhaisvaroituskertomukset</w:t>
      </w:r>
      <w:r>
        <w:rPr>
          <w:noProof/>
          <w:color w:val="000000"/>
          <w:vertAlign w:val="superscript"/>
        </w:rPr>
        <w:footnoteReference w:id="119"/>
      </w:r>
      <w:r>
        <w:rPr>
          <w:noProof/>
          <w:color w:val="000000"/>
        </w:rPr>
        <w:t xml:space="preserve">. </w:t>
      </w:r>
    </w:p>
    <w:p>
      <w:pPr>
        <w:rPr>
          <w:rFonts w:cs="Times New Roman"/>
          <w:noProof/>
        </w:rPr>
      </w:pPr>
      <w:r>
        <w:rPr>
          <w:noProof/>
        </w:rPr>
        <w:t xml:space="preserve">Komissio kehottaa jäsenvaltioita toteuttamaan ympäristölainsäädännön arvioinnin tulosten pohjalta toimenpiteitä ja käyttämään maaraportteja jatkokeskustelujen pohjana. Jäsenvaltioita kannustetaan myös jatkamaan voimassa olevan ympäristölainsäädännön täytäntöönpanoa ja pitämään tavoitteenaan tuottaa parempia ympäristövaikutuksia kansalaisille. Näin suojellaan heidän terveyttään sekä hillitään ja tasapainotetaan yhteiskunnalle ja taloudelle kalliita ympäristöpaineita. </w:t>
      </w:r>
    </w:p>
    <w:p>
      <w:pPr>
        <w:rPr>
          <w:rFonts w:cs="Times New Roman"/>
          <w:noProof/>
        </w:rPr>
      </w:pPr>
      <w:r>
        <w:rPr>
          <w:noProof/>
          <w:color w:val="000000"/>
        </w:rPr>
        <w:t xml:space="preserve">Hyvä ympäristö on EU:n kansalaisten, niin nykyisten kuin tulevienkin sukupolvien, yhteistä omaisuutta ja muun sosiaalisen ja taloudellisen toiminnan ratkaiseva perusta. EU:lla on kattava ympäristölainsäädäntö, jonka tarkoituksena on varmistaa, että hengitysilma on puhdasta, vesi juomakelpoista ja ruokamme terveellistä, ympärillämme olevat tavarat turvallisia käyttää ja saastuminen pysyy hallinnassa. Nämä standardit ovat juuri niin hyviä kuin niiden täytäntöönpano. </w:t>
      </w:r>
      <w:r>
        <w:rPr>
          <w:noProof/>
        </w:rPr>
        <w:t xml:space="preserve">Täytäntöönpanosta olemme vastuussa me, olipa toimintamme julkista tai yksityistä. </w:t>
      </w:r>
    </w:p>
    <w:p>
      <w:pPr>
        <w:rPr>
          <w:rFonts w:cs="Times New Roman"/>
          <w:noProof/>
        </w:rPr>
      </w:pPr>
    </w:p>
    <w:sectPr>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610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left"/>
        <w:rPr>
          <w:rFonts w:eastAsia="Times New Roman" w:cs="Times New Roman"/>
          <w:sz w:val="16"/>
          <w:szCs w:val="16"/>
          <w:lang w:val="en-GB"/>
        </w:rPr>
      </w:pPr>
      <w:r>
        <w:rPr>
          <w:sz w:val="18"/>
          <w:szCs w:val="18"/>
          <w:vertAlign w:val="superscript"/>
        </w:rPr>
        <w:footnoteRef/>
      </w:r>
      <w:r>
        <w:rPr>
          <w:sz w:val="18"/>
          <w:szCs w:val="18"/>
          <w:vertAlign w:val="superscript"/>
          <w:lang w:val="en-GB"/>
        </w:rPr>
        <w:t xml:space="preserve"> </w:t>
      </w:r>
      <w:r>
        <w:rPr>
          <w:sz w:val="16"/>
          <w:lang w:val="en-GB"/>
        </w:rPr>
        <w:t>COWI and Eunomia, ‘Costs of not implementing EU environmental law’, 2019.</w:t>
      </w:r>
    </w:p>
  </w:footnote>
  <w:footnote w:id="3">
    <w:p>
      <w:pPr>
        <w:pStyle w:val="FootnoteText"/>
        <w:jc w:val="left"/>
        <w:rPr>
          <w:rFonts w:eastAsia="Times New Roman" w:cs="Times New Roman"/>
          <w:sz w:val="16"/>
          <w:szCs w:val="16"/>
          <w:lang w:val="en-GB"/>
        </w:rPr>
      </w:pPr>
      <w:r>
        <w:rPr>
          <w:sz w:val="18"/>
          <w:szCs w:val="18"/>
          <w:vertAlign w:val="superscript"/>
        </w:rPr>
        <w:footnoteRef/>
      </w:r>
      <w:r>
        <w:rPr>
          <w:sz w:val="16"/>
          <w:lang w:val="en-GB"/>
        </w:rPr>
        <w:t xml:space="preserve"> </w:t>
      </w:r>
      <w:hyperlink r:id="rId1">
        <w:r>
          <w:rPr>
            <w:rStyle w:val="Hyperlink"/>
            <w:sz w:val="16"/>
            <w:lang w:val="en-GB"/>
          </w:rPr>
          <w:t>COM(2017) 63</w:t>
        </w:r>
      </w:hyperlink>
      <w:r>
        <w:rPr>
          <w:sz w:val="16"/>
          <w:lang w:val="en-GB"/>
        </w:rPr>
        <w:t xml:space="preserve">. </w:t>
      </w:r>
    </w:p>
  </w:footnote>
  <w:footnote w:id="4">
    <w:p>
      <w:pPr>
        <w:pStyle w:val="FootnoteText"/>
        <w:rPr>
          <w:rFonts w:cs="Times New Roman"/>
          <w:sz w:val="16"/>
          <w:szCs w:val="16"/>
          <w:lang w:val="en-GB"/>
        </w:rPr>
      </w:pPr>
      <w:r>
        <w:rPr>
          <w:sz w:val="18"/>
          <w:szCs w:val="18"/>
          <w:vertAlign w:val="superscript"/>
        </w:rPr>
        <w:footnoteRef/>
      </w:r>
      <w:r>
        <w:rPr>
          <w:sz w:val="18"/>
          <w:szCs w:val="18"/>
          <w:vertAlign w:val="superscript"/>
          <w:lang w:val="en-GB"/>
        </w:rPr>
        <w:t xml:space="preserve"> </w:t>
      </w:r>
      <w:hyperlink r:id="rId2">
        <w:r>
          <w:rPr>
            <w:rStyle w:val="Hyperlink"/>
            <w:sz w:val="16"/>
            <w:lang w:val="en-GB"/>
          </w:rPr>
          <w:t>TAIEX-EIR Peer to Peer</w:t>
        </w:r>
      </w:hyperlink>
      <w:r>
        <w:rPr>
          <w:sz w:val="16"/>
          <w:lang w:val="en-GB"/>
        </w:rPr>
        <w:t xml:space="preserve"> </w:t>
      </w:r>
    </w:p>
  </w:footnote>
  <w:footnote w:id="5">
    <w:p>
      <w:pPr>
        <w:pStyle w:val="FootnoteText"/>
        <w:rPr>
          <w:sz w:val="16"/>
          <w:szCs w:val="16"/>
        </w:rPr>
      </w:pPr>
      <w:r>
        <w:rPr>
          <w:sz w:val="18"/>
          <w:szCs w:val="18"/>
          <w:vertAlign w:val="superscript"/>
        </w:rPr>
        <w:footnoteRef/>
      </w:r>
      <w:r>
        <w:rPr>
          <w:sz w:val="18"/>
          <w:szCs w:val="18"/>
          <w:vertAlign w:val="superscript"/>
        </w:rPr>
        <w:t xml:space="preserve"> </w:t>
      </w:r>
      <w:hyperlink r:id="rId3">
        <w:r>
          <w:rPr>
            <w:rStyle w:val="Hyperlink"/>
            <w:sz w:val="16"/>
          </w:rPr>
          <w:t>COM(2016) 316</w:t>
        </w:r>
      </w:hyperlink>
      <w:r>
        <w:rPr>
          <w:sz w:val="16"/>
        </w:rPr>
        <w:t>.</w:t>
      </w:r>
    </w:p>
  </w:footnote>
  <w:footnote w:id="6">
    <w:p>
      <w:pPr>
        <w:pStyle w:val="FootnoteText"/>
        <w:rPr>
          <w:sz w:val="16"/>
          <w:szCs w:val="16"/>
        </w:rPr>
      </w:pPr>
      <w:r>
        <w:rPr>
          <w:sz w:val="18"/>
          <w:szCs w:val="18"/>
          <w:vertAlign w:val="superscript"/>
        </w:rPr>
        <w:footnoteRef/>
      </w:r>
      <w:r>
        <w:rPr>
          <w:sz w:val="16"/>
        </w:rPr>
        <w:t xml:space="preserve"> Tässä tiedonannossa ja sen liitteessä esitettävät tiettyjä jäsenvaltioita koskevat päätelmät perustuvat niihin tietoihin, jotka komissiolla olisi käytettävissään ennen niiden hyväksymistä. Ne eivät vaikuta mahdollisiin oikeudellisiin toimiin, joihin komissio saattaa ryhtyä hyväksymispäivän jälkeen.</w:t>
      </w:r>
    </w:p>
  </w:footnote>
  <w:footnote w:id="7">
    <w:p>
      <w:pPr>
        <w:pStyle w:val="FootnoteText"/>
        <w:ind w:left="170" w:hanging="170"/>
        <w:jc w:val="left"/>
        <w:rPr>
          <w:rFonts w:eastAsia="Times New Roman" w:cs="Times New Roman"/>
          <w:sz w:val="16"/>
          <w:szCs w:val="16"/>
        </w:rPr>
      </w:pPr>
      <w:r>
        <w:rPr>
          <w:sz w:val="18"/>
          <w:szCs w:val="18"/>
          <w:vertAlign w:val="superscript"/>
        </w:rPr>
        <w:footnoteRef/>
      </w:r>
      <w:r>
        <w:rPr>
          <w:sz w:val="18"/>
          <w:szCs w:val="18"/>
          <w:vertAlign w:val="superscript"/>
        </w:rPr>
        <w:t xml:space="preserve"> </w:t>
      </w:r>
      <w:hyperlink r:id="rId4">
        <w:r>
          <w:rPr>
            <w:rStyle w:val="Hyperlink"/>
            <w:sz w:val="16"/>
          </w:rPr>
          <w:t>COM(2015) 614</w:t>
        </w:r>
      </w:hyperlink>
      <w:r>
        <w:rPr>
          <w:sz w:val="16"/>
        </w:rPr>
        <w:t>.</w:t>
      </w:r>
    </w:p>
  </w:footnote>
  <w:footnote w:id="8">
    <w:p>
      <w:pPr>
        <w:pStyle w:val="FootnoteText"/>
        <w:rPr>
          <w:rFonts w:eastAsia="Times New Roman" w:cs="Times New Roman"/>
          <w:sz w:val="16"/>
          <w:szCs w:val="16"/>
        </w:rPr>
      </w:pPr>
      <w:r>
        <w:rPr>
          <w:sz w:val="18"/>
          <w:szCs w:val="18"/>
          <w:vertAlign w:val="superscript"/>
        </w:rPr>
        <w:footnoteRef/>
      </w:r>
      <w:r>
        <w:rPr>
          <w:sz w:val="16"/>
        </w:rPr>
        <w:t xml:space="preserve"> </w:t>
      </w:r>
      <w:hyperlink r:id="rId5">
        <w:r>
          <w:rPr>
            <w:rStyle w:val="Hyperlink"/>
            <w:sz w:val="16"/>
          </w:rPr>
          <w:t>COM(2018) 028</w:t>
        </w:r>
      </w:hyperlink>
      <w:r>
        <w:rPr>
          <w:sz w:val="16"/>
        </w:rPr>
        <w:t>.</w:t>
      </w:r>
    </w:p>
  </w:footnote>
  <w:footnote w:id="9">
    <w:p>
      <w:pPr>
        <w:pStyle w:val="FootnoteText"/>
        <w:rPr>
          <w:rFonts w:eastAsia="Times New Roman" w:cs="Times New Roman"/>
          <w:sz w:val="16"/>
          <w:szCs w:val="16"/>
        </w:rPr>
      </w:pPr>
      <w:r>
        <w:rPr>
          <w:sz w:val="18"/>
          <w:szCs w:val="18"/>
          <w:vertAlign w:val="superscript"/>
        </w:rPr>
        <w:footnoteRef/>
      </w:r>
      <w:r>
        <w:rPr>
          <w:sz w:val="16"/>
        </w:rPr>
        <w:t xml:space="preserve"> Euroopan unionin julkaisutoimisto, </w:t>
      </w:r>
      <w:hyperlink r:id="rId6">
        <w:r>
          <w:rPr>
            <w:rStyle w:val="Hyperlink"/>
            <w:sz w:val="16"/>
          </w:rPr>
          <w:t>jätelainsäädäntöön tehdyt muutokset</w:t>
        </w:r>
      </w:hyperlink>
      <w:r>
        <w:rPr>
          <w:sz w:val="16"/>
        </w:rPr>
        <w:t xml:space="preserve"> (EUVL L 150, 14.6.2018).</w:t>
      </w:r>
    </w:p>
  </w:footnote>
  <w:footnote w:id="10">
    <w:p>
      <w:pPr>
        <w:pStyle w:val="FootnoteText"/>
        <w:rPr>
          <w:rFonts w:eastAsia="Times New Roman" w:cs="Times New Roman"/>
          <w:sz w:val="16"/>
          <w:szCs w:val="16"/>
          <w:lang w:val="en-GB"/>
        </w:rPr>
      </w:pPr>
      <w:r>
        <w:rPr>
          <w:sz w:val="18"/>
          <w:szCs w:val="18"/>
          <w:vertAlign w:val="superscript"/>
        </w:rPr>
        <w:footnoteRef/>
      </w:r>
      <w:r>
        <w:rPr>
          <w:sz w:val="16"/>
          <w:lang w:val="en-GB"/>
        </w:rPr>
        <w:t xml:space="preserve"> Euroopan komissio, </w:t>
      </w:r>
      <w:hyperlink r:id="rId7">
        <w:r>
          <w:rPr>
            <w:rStyle w:val="Hyperlink"/>
            <w:sz w:val="16"/>
            <w:lang w:val="en-GB"/>
          </w:rPr>
          <w:t>Circular Economy Monitoring Framework</w:t>
        </w:r>
      </w:hyperlink>
      <w:r>
        <w:rPr>
          <w:sz w:val="16"/>
          <w:lang w:val="en-GB"/>
        </w:rPr>
        <w:t>.</w:t>
      </w:r>
    </w:p>
  </w:footnote>
  <w:footnote w:id="11">
    <w:p>
      <w:pPr>
        <w:pStyle w:val="FootnoteText"/>
        <w:rPr>
          <w:sz w:val="16"/>
          <w:szCs w:val="16"/>
          <w:lang w:val="en-GB"/>
        </w:rPr>
      </w:pPr>
      <w:r>
        <w:rPr>
          <w:sz w:val="18"/>
          <w:szCs w:val="18"/>
          <w:vertAlign w:val="superscript"/>
        </w:rPr>
        <w:footnoteRef/>
      </w:r>
      <w:r>
        <w:rPr>
          <w:sz w:val="18"/>
          <w:szCs w:val="18"/>
          <w:vertAlign w:val="superscript"/>
          <w:lang w:val="en-GB"/>
        </w:rPr>
        <w:t xml:space="preserve"> </w:t>
      </w:r>
      <w:r>
        <w:rPr>
          <w:rStyle w:val="Hyperlink"/>
          <w:sz w:val="16"/>
          <w:lang w:val="en-GB"/>
        </w:rPr>
        <w:t>COM(2018) 673</w:t>
      </w:r>
      <w:r>
        <w:rPr>
          <w:rStyle w:val="Hyperlink"/>
          <w:color w:val="auto"/>
          <w:sz w:val="16"/>
          <w:u w:val="none"/>
          <w:lang w:val="en-GB"/>
        </w:rPr>
        <w:t>.</w:t>
      </w:r>
      <w:r>
        <w:rPr>
          <w:rStyle w:val="Hyperlink"/>
          <w:sz w:val="16"/>
          <w:lang w:val="en-GB"/>
        </w:rPr>
        <w:t xml:space="preserve"> </w:t>
      </w:r>
    </w:p>
  </w:footnote>
  <w:footnote w:id="12">
    <w:p>
      <w:pPr>
        <w:pStyle w:val="FootnoteText"/>
        <w:rPr>
          <w:sz w:val="16"/>
          <w:szCs w:val="16"/>
          <w:lang w:val="en-GB"/>
        </w:rPr>
      </w:pPr>
      <w:r>
        <w:rPr>
          <w:sz w:val="18"/>
          <w:szCs w:val="18"/>
          <w:vertAlign w:val="superscript"/>
        </w:rPr>
        <w:footnoteRef/>
      </w:r>
      <w:r>
        <w:rPr>
          <w:sz w:val="16"/>
          <w:lang w:val="en-GB"/>
        </w:rPr>
        <w:t xml:space="preserve"> </w:t>
      </w:r>
      <w:hyperlink r:id="rId8">
        <w:r>
          <w:rPr>
            <w:rStyle w:val="Hyperlink"/>
            <w:sz w:val="16"/>
            <w:lang w:val="en-GB"/>
          </w:rPr>
          <w:t>Provisional inter-institutional agreement on 19 December 2018</w:t>
        </w:r>
      </w:hyperlink>
      <w:r>
        <w:rPr>
          <w:sz w:val="16"/>
          <w:lang w:val="en-GB"/>
        </w:rPr>
        <w:t>.</w:t>
      </w:r>
    </w:p>
  </w:footnote>
  <w:footnote w:id="13">
    <w:p>
      <w:pPr>
        <w:pStyle w:val="NoSpacing"/>
        <w:rPr>
          <w:sz w:val="16"/>
          <w:szCs w:val="16"/>
        </w:rPr>
      </w:pPr>
      <w:r>
        <w:rPr>
          <w:sz w:val="18"/>
          <w:szCs w:val="18"/>
          <w:vertAlign w:val="superscript"/>
        </w:rPr>
        <w:footnoteRef/>
      </w:r>
      <w:r>
        <w:rPr>
          <w:sz w:val="18"/>
          <w:szCs w:val="18"/>
          <w:vertAlign w:val="superscript"/>
        </w:rPr>
        <w:t xml:space="preserve"> </w:t>
      </w:r>
      <w:r>
        <w:rPr>
          <w:sz w:val="16"/>
        </w:rPr>
        <w:t>Muun muassa tuotesäännösten ekologisen suunnittelun vaatimukset tukevat sitä, että tuotteita voi paremmin korjata, sekä korjaamista edistävien hyödyllisten tietojen ja varaosien tarjontaa.</w:t>
      </w:r>
    </w:p>
  </w:footnote>
  <w:footnote w:id="14">
    <w:p>
      <w:pPr>
        <w:pStyle w:val="FootnoteText"/>
        <w:rPr>
          <w:sz w:val="16"/>
          <w:szCs w:val="16"/>
        </w:rPr>
      </w:pPr>
      <w:r>
        <w:rPr>
          <w:sz w:val="18"/>
          <w:szCs w:val="18"/>
          <w:vertAlign w:val="superscript"/>
        </w:rPr>
        <w:footnoteRef/>
      </w:r>
      <w:r>
        <w:rPr>
          <w:sz w:val="18"/>
          <w:szCs w:val="18"/>
          <w:vertAlign w:val="superscript"/>
        </w:rPr>
        <w:t> </w:t>
      </w:r>
      <w:r>
        <w:rPr>
          <w:sz w:val="16"/>
        </w:rPr>
        <w:t>Tämän yhteydessä komissio järjesti jäsenvaltioiden kuluttajansuojaviranomaisten kanssa työpajan suunnitellusta/ennenaikaisesta vanhentumisesta lokakuussa 2018.</w:t>
      </w:r>
    </w:p>
  </w:footnote>
  <w:footnote w:id="15">
    <w:p>
      <w:pPr>
        <w:pStyle w:val="FootnoteText"/>
        <w:rPr>
          <w:rFonts w:eastAsia="Times New Roman" w:cs="Times New Roman"/>
          <w:sz w:val="16"/>
          <w:szCs w:val="16"/>
          <w:lang w:val="en-GB"/>
        </w:rPr>
      </w:pPr>
      <w:r>
        <w:rPr>
          <w:sz w:val="18"/>
          <w:szCs w:val="18"/>
          <w:vertAlign w:val="superscript"/>
        </w:rPr>
        <w:footnoteRef/>
      </w:r>
      <w:r>
        <w:rPr>
          <w:sz w:val="16"/>
          <w:lang w:val="en-GB"/>
        </w:rPr>
        <w:t xml:space="preserve"> Euroopan komissio, </w:t>
      </w:r>
      <w:hyperlink r:id="rId9">
        <w:r>
          <w:rPr>
            <w:rStyle w:val="Hyperlink"/>
            <w:sz w:val="16"/>
            <w:lang w:val="en-GB"/>
          </w:rPr>
          <w:t>Recycling rate of municipal waste</w:t>
        </w:r>
      </w:hyperlink>
      <w:r>
        <w:rPr>
          <w:rStyle w:val="Hyperlink"/>
          <w:sz w:val="16"/>
          <w:lang w:val="en-GB"/>
        </w:rPr>
        <w:t>.</w:t>
      </w:r>
    </w:p>
  </w:footnote>
  <w:footnote w:id="16">
    <w:p>
      <w:pPr>
        <w:pStyle w:val="FootnoteText"/>
        <w:rPr>
          <w:rFonts w:eastAsia="Times New Roman" w:cs="Times New Roman"/>
          <w:sz w:val="16"/>
          <w:szCs w:val="16"/>
        </w:rPr>
      </w:pPr>
      <w:r>
        <w:rPr>
          <w:sz w:val="18"/>
          <w:szCs w:val="18"/>
          <w:vertAlign w:val="superscript"/>
        </w:rPr>
        <w:footnoteRef/>
      </w:r>
      <w:r>
        <w:rPr>
          <w:sz w:val="16"/>
        </w:rPr>
        <w:t xml:space="preserve"> </w:t>
      </w:r>
      <w:hyperlink r:id="rId10">
        <w:r>
          <w:rPr>
            <w:rStyle w:val="Hyperlink"/>
            <w:sz w:val="16"/>
          </w:rPr>
          <w:t>COM(2018) 656</w:t>
        </w:r>
      </w:hyperlink>
      <w:r>
        <w:rPr>
          <w:sz w:val="16"/>
        </w:rPr>
        <w:t xml:space="preserve">. </w:t>
      </w:r>
    </w:p>
  </w:footnote>
  <w:footnote w:id="17">
    <w:p>
      <w:pPr>
        <w:pStyle w:val="FootnoteText"/>
        <w:rPr>
          <w:rFonts w:eastAsia="Times New Roman" w:cs="Times New Roman"/>
          <w:sz w:val="16"/>
          <w:szCs w:val="16"/>
        </w:rPr>
      </w:pPr>
      <w:r>
        <w:rPr>
          <w:sz w:val="18"/>
          <w:szCs w:val="18"/>
          <w:vertAlign w:val="superscript"/>
        </w:rPr>
        <w:footnoteRef/>
      </w:r>
      <w:r>
        <w:rPr>
          <w:sz w:val="18"/>
          <w:szCs w:val="18"/>
        </w:rPr>
        <w:t xml:space="preserve"> </w:t>
      </w:r>
      <w:r>
        <w:rPr>
          <w:sz w:val="16"/>
        </w:rPr>
        <w:t>Bulgaria, Espanja, Irlanti, Itävalta, Kreikka, Kroatia, Kypros, Latvia, Malta, Portugali, Puola, Romania, Saksa, Slovakia, Tšekki, Unkari ja Viro.</w:t>
      </w:r>
    </w:p>
  </w:footnote>
  <w:footnote w:id="18">
    <w:p>
      <w:pPr>
        <w:pStyle w:val="FootnoteText"/>
        <w:rPr>
          <w:rFonts w:eastAsia="Times New Roman" w:cs="Times New Roman"/>
          <w:sz w:val="16"/>
          <w:szCs w:val="16"/>
        </w:rPr>
      </w:pPr>
      <w:r>
        <w:rPr>
          <w:sz w:val="18"/>
          <w:szCs w:val="18"/>
          <w:vertAlign w:val="superscript"/>
        </w:rPr>
        <w:footnoteRef/>
      </w:r>
      <w:r>
        <w:rPr>
          <w:sz w:val="16"/>
        </w:rPr>
        <w:t xml:space="preserve"> Alankomaat, Italia, Itävalta, Kreikka, Kypros, Malta, Romania, Slovakia ja Unkari.</w:t>
      </w:r>
    </w:p>
  </w:footnote>
  <w:footnote w:id="19">
    <w:p>
      <w:pPr>
        <w:pStyle w:val="FootnoteText"/>
        <w:jc w:val="left"/>
        <w:rPr>
          <w:rFonts w:eastAsia="Times New Roman" w:cs="Times New Roman"/>
          <w:sz w:val="16"/>
          <w:szCs w:val="16"/>
        </w:rPr>
      </w:pPr>
      <w:r>
        <w:rPr>
          <w:sz w:val="18"/>
          <w:szCs w:val="18"/>
          <w:vertAlign w:val="superscript"/>
        </w:rPr>
        <w:footnoteRef/>
      </w:r>
      <w:r>
        <w:rPr>
          <w:rFonts w:ascii="Times New Roman," w:hAnsi="Times New Roman,"/>
          <w:sz w:val="16"/>
          <w:lang w:val="en-GB"/>
        </w:rPr>
        <w:t xml:space="preserve">Euroopan komissio, </w:t>
      </w:r>
      <w:hyperlink r:id="rId11">
        <w:r>
          <w:rPr>
            <w:rStyle w:val="Hyperlink"/>
            <w:rFonts w:ascii="Times New Roman," w:hAnsi="Times New Roman,"/>
            <w:sz w:val="16"/>
            <w:lang w:val="en-GB"/>
          </w:rPr>
          <w:t>Municipal waste, by waste operations</w:t>
        </w:r>
      </w:hyperlink>
      <w:r>
        <w:rPr>
          <w:rFonts w:ascii="Times New Roman," w:hAnsi="Times New Roman,"/>
          <w:sz w:val="16"/>
          <w:lang w:val="en-GB"/>
        </w:rPr>
        <w:t>.</w:t>
      </w:r>
      <w:r>
        <w:rPr>
          <w:sz w:val="16"/>
          <w:lang w:val="en-GB"/>
        </w:rPr>
        <w:t xml:space="preserve"> </w:t>
      </w:r>
      <w:r>
        <w:rPr>
          <w:sz w:val="16"/>
        </w:rPr>
        <w:t xml:space="preserve">Itävalta, Kypros, Luxemburg, Malta, Saksa ja Tanska. </w:t>
      </w:r>
    </w:p>
  </w:footnote>
  <w:footnote w:id="20">
    <w:p>
      <w:pPr>
        <w:pStyle w:val="FootnoteText"/>
        <w:rPr>
          <w:rFonts w:eastAsia="Times New Roman" w:cs="Times New Roman"/>
          <w:sz w:val="16"/>
          <w:szCs w:val="16"/>
        </w:rPr>
      </w:pPr>
      <w:r>
        <w:rPr>
          <w:sz w:val="18"/>
          <w:szCs w:val="18"/>
          <w:vertAlign w:val="superscript"/>
        </w:rPr>
        <w:footnoteRef/>
      </w:r>
      <w:r>
        <w:rPr>
          <w:sz w:val="16"/>
        </w:rPr>
        <w:t xml:space="preserve"> Alankomaat, Belgia, Bulgaria, Espanja, Luxemburg, Ranska, Saksa, Tanska ja Unkari. </w:t>
      </w:r>
    </w:p>
  </w:footnote>
  <w:footnote w:id="21">
    <w:p>
      <w:pPr>
        <w:pStyle w:val="FootnoteText"/>
        <w:rPr>
          <w:rFonts w:eastAsia="Times New Roman" w:cs="Times New Roman"/>
          <w:sz w:val="16"/>
          <w:szCs w:val="16"/>
        </w:rPr>
      </w:pPr>
      <w:r>
        <w:rPr>
          <w:sz w:val="18"/>
          <w:szCs w:val="18"/>
          <w:vertAlign w:val="superscript"/>
        </w:rPr>
        <w:footnoteRef/>
      </w:r>
      <w:r>
        <w:rPr>
          <w:sz w:val="16"/>
        </w:rPr>
        <w:t xml:space="preserve"> Alankomaat, Belgia, Itävalta, Saksa ja Slovenia.</w:t>
      </w:r>
    </w:p>
  </w:footnote>
  <w:footnote w:id="22">
    <w:p>
      <w:pPr>
        <w:pStyle w:val="FootnoteText"/>
        <w:rPr>
          <w:rFonts w:eastAsia="Times New Roman" w:cs="Times New Roman"/>
          <w:sz w:val="16"/>
          <w:szCs w:val="16"/>
        </w:rPr>
      </w:pPr>
      <w:r>
        <w:rPr>
          <w:sz w:val="18"/>
          <w:szCs w:val="18"/>
          <w:vertAlign w:val="superscript"/>
        </w:rPr>
        <w:footnoteRef/>
      </w:r>
      <w:r>
        <w:rPr>
          <w:sz w:val="18"/>
          <w:szCs w:val="18"/>
          <w:vertAlign w:val="superscript"/>
        </w:rPr>
        <w:t xml:space="preserve"> </w:t>
      </w:r>
      <w:r>
        <w:rPr>
          <w:sz w:val="16"/>
        </w:rPr>
        <w:t xml:space="preserve">Komissio on antanut varhaisvaroituskertomuksen Bulgarialle, Espanjalle, Kreikalle, Kroatialle, Kyprokselle, Latvialle, Maltalle, Portugalille, Puolalle, Romanialle, Slovakialle, Suomelle, Unkarille ja Virolle. </w:t>
      </w:r>
      <w:r>
        <w:t xml:space="preserve">Ks. </w:t>
      </w:r>
      <w:hyperlink r:id="rId12">
        <w:r>
          <w:rPr>
            <w:rStyle w:val="Hyperlink"/>
            <w:sz w:val="16"/>
          </w:rPr>
          <w:t>COM(2018) 656</w:t>
        </w:r>
      </w:hyperlink>
      <w:r>
        <w:rPr>
          <w:sz w:val="16"/>
        </w:rPr>
        <w:t>.</w:t>
      </w:r>
    </w:p>
  </w:footnote>
  <w:footnote w:id="23">
    <w:p>
      <w:pPr>
        <w:pStyle w:val="FootnoteText"/>
        <w:rPr>
          <w:rFonts w:eastAsia="Times New Roman" w:cs="Times New Roman"/>
          <w:sz w:val="16"/>
          <w:szCs w:val="16"/>
          <w:lang w:val="en-GB"/>
        </w:rPr>
      </w:pPr>
      <w:r>
        <w:rPr>
          <w:sz w:val="18"/>
          <w:szCs w:val="18"/>
          <w:vertAlign w:val="superscript"/>
        </w:rPr>
        <w:footnoteRef/>
      </w:r>
      <w:r>
        <w:rPr>
          <w:sz w:val="16"/>
        </w:rPr>
        <w:t xml:space="preserve"> Ranskan ympäristöasioista vastaava ministeriö (Ministère de la Transition Ecologique et Solidaire), 2018. </w:t>
      </w:r>
      <w:hyperlink r:id="rId13">
        <w:r>
          <w:rPr>
            <w:rStyle w:val="Hyperlink"/>
            <w:sz w:val="16"/>
            <w:lang w:val="en-GB"/>
          </w:rPr>
          <w:t>Roadmap for the Circular Economy</w:t>
        </w:r>
      </w:hyperlink>
      <w:r>
        <w:rPr>
          <w:sz w:val="16"/>
          <w:lang w:val="en-GB"/>
        </w:rPr>
        <w:t xml:space="preserve">. </w:t>
      </w:r>
    </w:p>
  </w:footnote>
  <w:footnote w:id="24">
    <w:p>
      <w:pPr>
        <w:pStyle w:val="FootnoteText"/>
        <w:rPr>
          <w:rFonts w:eastAsia="Times New Roman" w:cs="Times New Roman"/>
          <w:sz w:val="16"/>
          <w:szCs w:val="16"/>
        </w:rPr>
      </w:pPr>
      <w:r>
        <w:rPr>
          <w:sz w:val="18"/>
          <w:szCs w:val="18"/>
          <w:vertAlign w:val="superscript"/>
        </w:rPr>
        <w:footnoteRef/>
      </w:r>
      <w:r>
        <w:rPr>
          <w:sz w:val="16"/>
        </w:rPr>
        <w:t xml:space="preserve"> Bulgaria, Espanja, Irlanti, Italia, Kreikka, Kroatia, Kypros, Latvia, Liettua, Malta, Portugali, Puola, Ranska, Romania, Slovakia, Slovenia, Suomi, Tšekki, Unkari, Viro ja Yhdistynyt kuningaskunta.</w:t>
      </w:r>
    </w:p>
  </w:footnote>
  <w:footnote w:id="25">
    <w:p>
      <w:pPr>
        <w:pStyle w:val="FootnoteText"/>
        <w:rPr>
          <w:sz w:val="16"/>
          <w:szCs w:val="16"/>
        </w:rPr>
      </w:pPr>
      <w:r>
        <w:rPr>
          <w:sz w:val="18"/>
          <w:szCs w:val="18"/>
          <w:vertAlign w:val="superscript"/>
        </w:rPr>
        <w:footnoteRef/>
      </w:r>
      <w:r>
        <w:rPr>
          <w:sz w:val="16"/>
        </w:rPr>
        <w:t xml:space="preserve"> </w:t>
      </w:r>
      <w:hyperlink r:id="rId14">
        <w:r>
          <w:rPr>
            <w:rStyle w:val="Hyperlink"/>
            <w:sz w:val="16"/>
          </w:rPr>
          <w:t>Direktiivi 1999/31/EY</w:t>
        </w:r>
      </w:hyperlink>
      <w:r>
        <w:rPr>
          <w:sz w:val="16"/>
        </w:rPr>
        <w:t>.</w:t>
      </w:r>
    </w:p>
  </w:footnote>
  <w:footnote w:id="26">
    <w:p>
      <w:pPr>
        <w:pStyle w:val="FootnoteText"/>
        <w:rPr>
          <w:rFonts w:eastAsia="Times New Roman" w:cs="Times New Roman"/>
          <w:sz w:val="16"/>
          <w:szCs w:val="16"/>
        </w:rPr>
      </w:pPr>
      <w:r>
        <w:rPr>
          <w:sz w:val="18"/>
          <w:szCs w:val="18"/>
          <w:vertAlign w:val="superscript"/>
        </w:rPr>
        <w:footnoteRef/>
      </w:r>
      <w:r>
        <w:rPr>
          <w:sz w:val="16"/>
        </w:rPr>
        <w:t xml:space="preserve"> Hallitustenvälinen ilmastonmuutospaneeli (IPCC), </w:t>
      </w:r>
      <w:hyperlink r:id="rId15">
        <w:r>
          <w:rPr>
            <w:rStyle w:val="Hyperlink"/>
            <w:sz w:val="16"/>
          </w:rPr>
          <w:t>Special report on a Global Warming of 1.5°C</w:t>
        </w:r>
      </w:hyperlink>
      <w:r>
        <w:rPr>
          <w:sz w:val="16"/>
        </w:rPr>
        <w:t>.</w:t>
      </w:r>
    </w:p>
  </w:footnote>
  <w:footnote w:id="27">
    <w:p>
      <w:pPr>
        <w:pStyle w:val="FootnoteText"/>
        <w:rPr>
          <w:rFonts w:eastAsia="Times New Roman" w:cs="Times New Roman"/>
          <w:sz w:val="16"/>
          <w:szCs w:val="16"/>
          <w:lang w:val="pt-PT"/>
        </w:rPr>
      </w:pPr>
      <w:r>
        <w:rPr>
          <w:sz w:val="18"/>
          <w:szCs w:val="18"/>
          <w:vertAlign w:val="superscript"/>
        </w:rPr>
        <w:footnoteRef/>
      </w:r>
      <w:r>
        <w:rPr>
          <w:sz w:val="18"/>
          <w:szCs w:val="18"/>
          <w:vertAlign w:val="superscript"/>
          <w:lang w:val="pt-PT"/>
        </w:rPr>
        <w:t xml:space="preserve"> </w:t>
      </w:r>
      <w:hyperlink r:id="rId16">
        <w:r>
          <w:rPr>
            <w:rStyle w:val="Hyperlink"/>
            <w:sz w:val="16"/>
            <w:lang w:val="pt-PT"/>
          </w:rPr>
          <w:t>COM(2018)773.</w:t>
        </w:r>
      </w:hyperlink>
      <w:r>
        <w:rPr>
          <w:sz w:val="16"/>
          <w:lang w:val="pt-PT"/>
        </w:rPr>
        <w:t xml:space="preserve"> </w:t>
      </w:r>
    </w:p>
  </w:footnote>
  <w:footnote w:id="28">
    <w:p>
      <w:pPr>
        <w:pStyle w:val="FootnoteText"/>
        <w:rPr>
          <w:rFonts w:eastAsia="Times New Roman" w:cs="Times New Roman"/>
          <w:sz w:val="16"/>
          <w:szCs w:val="16"/>
          <w:lang w:val="pt-PT"/>
        </w:rPr>
      </w:pPr>
      <w:r>
        <w:rPr>
          <w:sz w:val="18"/>
          <w:szCs w:val="18"/>
          <w:vertAlign w:val="superscript"/>
        </w:rPr>
        <w:footnoteRef/>
      </w:r>
      <w:r>
        <w:rPr>
          <w:sz w:val="16"/>
          <w:lang w:val="pt-PT"/>
        </w:rPr>
        <w:t xml:space="preserve"> </w:t>
      </w:r>
      <w:hyperlink r:id="rId17">
        <w:r>
          <w:rPr>
            <w:rStyle w:val="Hyperlink"/>
            <w:sz w:val="16"/>
            <w:lang w:val="pt-PT"/>
          </w:rPr>
          <w:t>Direktiivi (EU) 2018/410</w:t>
        </w:r>
      </w:hyperlink>
      <w:r>
        <w:rPr>
          <w:sz w:val="16"/>
          <w:lang w:val="pt-PT"/>
        </w:rPr>
        <w:t>.</w:t>
      </w:r>
    </w:p>
  </w:footnote>
  <w:footnote w:id="29">
    <w:p>
      <w:pPr>
        <w:pStyle w:val="FootnoteText"/>
        <w:rPr>
          <w:rFonts w:eastAsia="Times New Roman" w:cs="Times New Roman"/>
          <w:sz w:val="16"/>
          <w:szCs w:val="16"/>
          <w:lang w:val="pt-PT"/>
        </w:rPr>
      </w:pPr>
      <w:r>
        <w:rPr>
          <w:sz w:val="18"/>
          <w:szCs w:val="18"/>
          <w:vertAlign w:val="superscript"/>
        </w:rPr>
        <w:footnoteRef/>
      </w:r>
      <w:r>
        <w:rPr>
          <w:sz w:val="16"/>
          <w:lang w:val="pt-PT"/>
        </w:rPr>
        <w:t xml:space="preserve"> </w:t>
      </w:r>
      <w:hyperlink r:id="rId18">
        <w:r>
          <w:rPr>
            <w:rStyle w:val="Hyperlink"/>
            <w:sz w:val="16"/>
            <w:lang w:val="pt-PT"/>
          </w:rPr>
          <w:t>COM(2018) 738</w:t>
        </w:r>
      </w:hyperlink>
      <w:r>
        <w:rPr>
          <w:sz w:val="16"/>
          <w:lang w:val="pt-PT"/>
        </w:rPr>
        <w:t>.</w:t>
      </w:r>
    </w:p>
  </w:footnote>
  <w:footnote w:id="30">
    <w:p>
      <w:pPr>
        <w:pStyle w:val="FootnoteText"/>
        <w:rPr>
          <w:rFonts w:eastAsia="Times New Roman" w:cs="Times New Roman"/>
          <w:sz w:val="16"/>
          <w:szCs w:val="16"/>
          <w:lang w:val="pt-PT"/>
        </w:rPr>
      </w:pPr>
      <w:r>
        <w:rPr>
          <w:sz w:val="18"/>
          <w:szCs w:val="18"/>
          <w:vertAlign w:val="superscript"/>
        </w:rPr>
        <w:footnoteRef/>
      </w:r>
      <w:r>
        <w:rPr>
          <w:sz w:val="18"/>
          <w:szCs w:val="18"/>
          <w:vertAlign w:val="superscript"/>
          <w:lang w:val="pt-PT"/>
        </w:rPr>
        <w:t xml:space="preserve"> </w:t>
      </w:r>
      <w:hyperlink r:id="rId19">
        <w:r>
          <w:rPr>
            <w:rStyle w:val="Hyperlink"/>
            <w:sz w:val="16"/>
            <w:lang w:val="pt-PT"/>
          </w:rPr>
          <w:t>Asetus (EU) 2018/1999</w:t>
        </w:r>
      </w:hyperlink>
      <w:r>
        <w:rPr>
          <w:sz w:val="16"/>
          <w:lang w:val="pt-PT"/>
        </w:rPr>
        <w:t>.</w:t>
      </w:r>
    </w:p>
  </w:footnote>
  <w:footnote w:id="31">
    <w:p>
      <w:pPr>
        <w:pStyle w:val="FootnoteText"/>
        <w:rPr>
          <w:rFonts w:eastAsia="Times New Roman" w:cs="Times New Roman"/>
          <w:sz w:val="16"/>
          <w:szCs w:val="16"/>
        </w:rPr>
      </w:pPr>
      <w:r>
        <w:rPr>
          <w:sz w:val="18"/>
          <w:szCs w:val="18"/>
          <w:vertAlign w:val="superscript"/>
        </w:rPr>
        <w:footnoteRef/>
      </w:r>
      <w:r>
        <w:rPr>
          <w:sz w:val="18"/>
          <w:szCs w:val="18"/>
          <w:vertAlign w:val="superscript"/>
        </w:rPr>
        <w:t xml:space="preserve"> </w:t>
      </w:r>
      <w:r>
        <w:rPr>
          <w:sz w:val="16"/>
        </w:rPr>
        <w:t xml:space="preserve">Belgialla, Irlannilla, Maltalla, Puolalla, Saksalla ja Suomella oli vuosittaisia päästökiintiöitään suuremmat päästöt vuonna 2016. Alustavien tietojen mukaan vuonna 2017 päästöt olivat vuosittaisia päästökiintiöitä suuremmat Bulgarialla, Irlannilla, Itävallalla, Kyproksella, Liettualla, Maltalla, Puolalla, Saksalla, Suomella ja Virolla. </w:t>
      </w:r>
    </w:p>
  </w:footnote>
  <w:footnote w:id="32">
    <w:p>
      <w:pPr>
        <w:pStyle w:val="FootnoteText"/>
        <w:rPr>
          <w:rFonts w:eastAsia="Times New Roman" w:cs="Times New Roman"/>
          <w:sz w:val="16"/>
          <w:szCs w:val="16"/>
        </w:rPr>
      </w:pPr>
      <w:r>
        <w:rPr>
          <w:sz w:val="18"/>
          <w:szCs w:val="18"/>
          <w:vertAlign w:val="superscript"/>
        </w:rPr>
        <w:footnoteRef/>
      </w:r>
      <w:r>
        <w:rPr>
          <w:sz w:val="16"/>
        </w:rPr>
        <w:t xml:space="preserve"> Kaikki muut jäsenvaltiot paitsi Bulgaria, Kroatia ja Latvia.</w:t>
      </w:r>
    </w:p>
  </w:footnote>
  <w:footnote w:id="33">
    <w:p>
      <w:pPr>
        <w:pStyle w:val="FootnoteText"/>
        <w:rPr>
          <w:rFonts w:eastAsia="Times New Roman" w:cs="Times New Roman"/>
          <w:sz w:val="16"/>
          <w:szCs w:val="16"/>
        </w:rPr>
      </w:pPr>
      <w:r>
        <w:rPr>
          <w:sz w:val="18"/>
          <w:szCs w:val="18"/>
          <w:vertAlign w:val="superscript"/>
        </w:rPr>
        <w:footnoteRef/>
      </w:r>
      <w:r>
        <w:rPr>
          <w:sz w:val="16"/>
        </w:rPr>
        <w:t xml:space="preserve"> Euroopan komissio, </w:t>
      </w:r>
      <w:hyperlink r:id="rId20">
        <w:r>
          <w:rPr>
            <w:rStyle w:val="Hyperlink"/>
            <w:sz w:val="16"/>
          </w:rPr>
          <w:t>Macro-regional strategies</w:t>
        </w:r>
      </w:hyperlink>
      <w:r>
        <w:rPr>
          <w:sz w:val="16"/>
        </w:rPr>
        <w:t xml:space="preserve">. </w:t>
      </w:r>
    </w:p>
  </w:footnote>
  <w:footnote w:id="34">
    <w:p>
      <w:pPr>
        <w:pStyle w:val="FootnoteText"/>
        <w:rPr>
          <w:rFonts w:eastAsia="Times New Roman" w:cs="Times New Roman"/>
          <w:sz w:val="16"/>
          <w:szCs w:val="16"/>
        </w:rPr>
      </w:pPr>
      <w:r>
        <w:rPr>
          <w:sz w:val="18"/>
          <w:szCs w:val="18"/>
          <w:vertAlign w:val="superscript"/>
        </w:rPr>
        <w:footnoteRef/>
      </w:r>
      <w:r>
        <w:rPr>
          <w:sz w:val="16"/>
        </w:rPr>
        <w:t xml:space="preserve"> Alppien suojelua koskeva sopimus, </w:t>
      </w:r>
      <w:hyperlink r:id="rId21">
        <w:r>
          <w:rPr>
            <w:rStyle w:val="Hyperlink"/>
            <w:sz w:val="16"/>
          </w:rPr>
          <w:t>verkkosivusto.</w:t>
        </w:r>
      </w:hyperlink>
      <w:r>
        <w:rPr>
          <w:sz w:val="16"/>
        </w:rPr>
        <w:t xml:space="preserve"> </w:t>
      </w:r>
    </w:p>
  </w:footnote>
  <w:footnote w:id="35">
    <w:p>
      <w:pPr>
        <w:pStyle w:val="FootnoteText"/>
        <w:rPr>
          <w:rFonts w:eastAsia="Times New Roman" w:cs="Times New Roman"/>
          <w:sz w:val="16"/>
          <w:szCs w:val="16"/>
        </w:rPr>
      </w:pPr>
      <w:r>
        <w:rPr>
          <w:sz w:val="18"/>
          <w:szCs w:val="18"/>
          <w:vertAlign w:val="superscript"/>
        </w:rPr>
        <w:footnoteRef/>
      </w:r>
      <w:r>
        <w:rPr>
          <w:sz w:val="16"/>
        </w:rPr>
        <w:t xml:space="preserve"> Karpaatteja koskeva yleissopimus, </w:t>
      </w:r>
      <w:hyperlink r:id="rId22">
        <w:r>
          <w:rPr>
            <w:rStyle w:val="Hyperlink"/>
            <w:sz w:val="16"/>
          </w:rPr>
          <w:t>verkkosivusto.</w:t>
        </w:r>
      </w:hyperlink>
      <w:r>
        <w:rPr>
          <w:sz w:val="16"/>
        </w:rPr>
        <w:t xml:space="preserve"> </w:t>
      </w:r>
    </w:p>
  </w:footnote>
  <w:footnote w:id="36">
    <w:p>
      <w:pPr>
        <w:pStyle w:val="FootnoteText"/>
        <w:rPr>
          <w:rFonts w:eastAsia="Times New Roman" w:cs="Times New Roman"/>
          <w:sz w:val="16"/>
          <w:szCs w:val="16"/>
        </w:rPr>
      </w:pPr>
      <w:r>
        <w:rPr>
          <w:sz w:val="18"/>
          <w:szCs w:val="18"/>
          <w:vertAlign w:val="superscript"/>
        </w:rPr>
        <w:footnoteRef/>
      </w:r>
      <w:r>
        <w:rPr>
          <w:sz w:val="16"/>
        </w:rPr>
        <w:t xml:space="preserve"> </w:t>
      </w:r>
      <w:hyperlink r:id="rId23">
        <w:r>
          <w:rPr>
            <w:rStyle w:val="Hyperlink"/>
            <w:sz w:val="16"/>
          </w:rPr>
          <w:t>COM(2011) 244</w:t>
        </w:r>
      </w:hyperlink>
      <w:r>
        <w:rPr>
          <w:sz w:val="16"/>
        </w:rPr>
        <w:t>.</w:t>
      </w:r>
    </w:p>
  </w:footnote>
  <w:footnote w:id="37">
    <w:p>
      <w:pPr>
        <w:pStyle w:val="FootnoteText"/>
        <w:rPr>
          <w:rFonts w:eastAsia="Times New Roman" w:cs="Times New Roman"/>
          <w:sz w:val="16"/>
          <w:szCs w:val="16"/>
        </w:rPr>
      </w:pPr>
      <w:r>
        <w:rPr>
          <w:sz w:val="18"/>
          <w:szCs w:val="18"/>
          <w:vertAlign w:val="superscript"/>
        </w:rPr>
        <w:footnoteRef/>
      </w:r>
      <w:r>
        <w:rPr>
          <w:sz w:val="16"/>
        </w:rPr>
        <w:t xml:space="preserve"> </w:t>
      </w:r>
      <w:hyperlink r:id="rId24">
        <w:r>
          <w:rPr>
            <w:rStyle w:val="Hyperlink"/>
            <w:sz w:val="16"/>
          </w:rPr>
          <w:t>Direktiivi 92/43/ETY</w:t>
        </w:r>
      </w:hyperlink>
      <w:r>
        <w:rPr>
          <w:sz w:val="16"/>
        </w:rPr>
        <w:t xml:space="preserve"> ja </w:t>
      </w:r>
      <w:hyperlink r:id="rId25">
        <w:r>
          <w:rPr>
            <w:rStyle w:val="Hyperlink"/>
            <w:sz w:val="16"/>
          </w:rPr>
          <w:t>direktiivi 2009/147/EY</w:t>
        </w:r>
      </w:hyperlink>
      <w:r>
        <w:rPr>
          <w:sz w:val="16"/>
        </w:rPr>
        <w:t>.</w:t>
      </w:r>
    </w:p>
  </w:footnote>
  <w:footnote w:id="38">
    <w:p>
      <w:pPr>
        <w:pStyle w:val="FootnoteText"/>
        <w:rPr>
          <w:sz w:val="16"/>
          <w:szCs w:val="16"/>
          <w:lang w:val="pt-PT"/>
        </w:rPr>
      </w:pPr>
      <w:r>
        <w:rPr>
          <w:sz w:val="18"/>
          <w:szCs w:val="18"/>
          <w:vertAlign w:val="superscript"/>
        </w:rPr>
        <w:footnoteRef/>
      </w:r>
      <w:r>
        <w:rPr>
          <w:sz w:val="16"/>
          <w:lang w:val="pt-PT"/>
        </w:rPr>
        <w:t xml:space="preserve"> </w:t>
      </w:r>
      <w:hyperlink r:id="rId26">
        <w:r>
          <w:rPr>
            <w:rStyle w:val="Hyperlink"/>
            <w:sz w:val="16"/>
            <w:lang w:val="pt-PT"/>
          </w:rPr>
          <w:t>COM(2017) 198</w:t>
        </w:r>
      </w:hyperlink>
      <w:r>
        <w:rPr>
          <w:sz w:val="16"/>
          <w:lang w:val="pt-PT"/>
        </w:rPr>
        <w:t>.</w:t>
      </w:r>
    </w:p>
  </w:footnote>
  <w:footnote w:id="39">
    <w:p>
      <w:pPr>
        <w:pStyle w:val="FootnoteText"/>
        <w:rPr>
          <w:sz w:val="16"/>
          <w:szCs w:val="16"/>
          <w:lang w:val="pt-PT"/>
        </w:rPr>
      </w:pPr>
      <w:r>
        <w:rPr>
          <w:sz w:val="18"/>
          <w:szCs w:val="18"/>
          <w:vertAlign w:val="superscript"/>
        </w:rPr>
        <w:footnoteRef/>
      </w:r>
      <w:r>
        <w:rPr>
          <w:sz w:val="18"/>
          <w:szCs w:val="18"/>
          <w:vertAlign w:val="superscript"/>
          <w:lang w:val="pt-PT"/>
        </w:rPr>
        <w:t xml:space="preserve"> </w:t>
      </w:r>
      <w:hyperlink r:id="rId27">
        <w:r>
          <w:rPr>
            <w:rStyle w:val="Hyperlink"/>
            <w:sz w:val="16"/>
            <w:lang w:val="pt-PT"/>
          </w:rPr>
          <w:t>COM(2011) 244</w:t>
        </w:r>
      </w:hyperlink>
      <w:r>
        <w:rPr>
          <w:sz w:val="16"/>
          <w:lang w:val="pt-PT"/>
        </w:rPr>
        <w:t>.</w:t>
      </w:r>
    </w:p>
  </w:footnote>
  <w:footnote w:id="40">
    <w:p>
      <w:pPr>
        <w:pStyle w:val="FootnoteText"/>
        <w:rPr>
          <w:rFonts w:eastAsia="Times New Roman" w:cs="Times New Roman"/>
          <w:sz w:val="16"/>
          <w:szCs w:val="16"/>
          <w:lang w:val="pt-PT"/>
        </w:rPr>
      </w:pPr>
      <w:r>
        <w:rPr>
          <w:sz w:val="18"/>
          <w:szCs w:val="18"/>
          <w:vertAlign w:val="superscript"/>
        </w:rPr>
        <w:footnoteRef/>
      </w:r>
      <w:r>
        <w:rPr>
          <w:sz w:val="16"/>
          <w:lang w:val="pt-PT"/>
        </w:rPr>
        <w:t xml:space="preserve"> </w:t>
      </w:r>
      <w:hyperlink r:id="rId28">
        <w:r>
          <w:rPr>
            <w:rStyle w:val="Hyperlink"/>
            <w:sz w:val="16"/>
            <w:lang w:val="pt-PT"/>
          </w:rPr>
          <w:t>Asetus (EU) N:o 1143/2014</w:t>
        </w:r>
      </w:hyperlink>
      <w:r>
        <w:rPr>
          <w:sz w:val="16"/>
          <w:lang w:val="pt-PT"/>
        </w:rPr>
        <w:t>.</w:t>
      </w:r>
    </w:p>
  </w:footnote>
  <w:footnote w:id="41">
    <w:p>
      <w:pPr>
        <w:pStyle w:val="FootnoteText"/>
        <w:rPr>
          <w:rFonts w:eastAsia="Times New Roman" w:cs="Times New Roman"/>
          <w:sz w:val="16"/>
          <w:szCs w:val="16"/>
        </w:rPr>
      </w:pPr>
      <w:r>
        <w:rPr>
          <w:sz w:val="18"/>
          <w:szCs w:val="18"/>
          <w:vertAlign w:val="superscript"/>
        </w:rPr>
        <w:footnoteRef/>
      </w:r>
      <w:r>
        <w:rPr>
          <w:sz w:val="16"/>
        </w:rPr>
        <w:t xml:space="preserve"> Alankomaat, Belgia, Bulgaria, Espanja, Irlanti, Italia, Itävalta, Kreikka, Kroatia, Kypros, Latvia, Liettua, Malta, Portugali, Puola, Romania, Ruotsi, Saksa, Slovakia, Slovenia, Suomi, Tanska, Tšekki, Unkari, Viro ja Yhdistynyt kuningaskunta.</w:t>
      </w:r>
    </w:p>
  </w:footnote>
  <w:footnote w:id="42">
    <w:p>
      <w:pPr>
        <w:pStyle w:val="FootnoteText"/>
        <w:rPr>
          <w:rFonts w:eastAsia="Times New Roman" w:cs="Times New Roman"/>
          <w:sz w:val="16"/>
          <w:szCs w:val="16"/>
        </w:rPr>
      </w:pPr>
      <w:r>
        <w:rPr>
          <w:sz w:val="18"/>
          <w:szCs w:val="18"/>
          <w:vertAlign w:val="superscript"/>
        </w:rPr>
        <w:footnoteRef/>
      </w:r>
      <w:r>
        <w:rPr>
          <w:sz w:val="16"/>
        </w:rPr>
        <w:t xml:space="preserve"> Bulgaria, Italia, Kreikka, Kypros, Portugali, Romania, Slovenia, Unkari ja Viro.</w:t>
      </w:r>
    </w:p>
  </w:footnote>
  <w:footnote w:id="43">
    <w:p>
      <w:pPr>
        <w:pStyle w:val="FootnoteText"/>
        <w:rPr>
          <w:rFonts w:eastAsia="Times New Roman" w:cs="Times New Roman"/>
          <w:sz w:val="16"/>
          <w:szCs w:val="16"/>
        </w:rPr>
      </w:pPr>
      <w:r>
        <w:rPr>
          <w:sz w:val="18"/>
          <w:szCs w:val="18"/>
          <w:vertAlign w:val="superscript"/>
        </w:rPr>
        <w:footnoteRef/>
      </w:r>
      <w:r>
        <w:rPr>
          <w:sz w:val="16"/>
        </w:rPr>
        <w:t xml:space="preserve"> Bulgaria, Espanja, Irlanti, Italia, Kreikka, Kroatia, Liettua, Luxemburg, Malta, Ranska, Romania, Slovakia, Slovenia, Unkari ja Viro.</w:t>
      </w:r>
    </w:p>
  </w:footnote>
  <w:footnote w:id="44">
    <w:p>
      <w:pPr>
        <w:pStyle w:val="FootnoteText"/>
        <w:rPr>
          <w:rFonts w:eastAsia="Times New Roman" w:cs="Times New Roman"/>
          <w:sz w:val="16"/>
          <w:szCs w:val="16"/>
        </w:rPr>
      </w:pPr>
      <w:r>
        <w:rPr>
          <w:sz w:val="18"/>
          <w:szCs w:val="18"/>
          <w:vertAlign w:val="superscript"/>
        </w:rPr>
        <w:footnoteRef/>
      </w:r>
      <w:r>
        <w:rPr>
          <w:sz w:val="16"/>
        </w:rPr>
        <w:t xml:space="preserve"> Belgia, Itävalta, Portugali, Ruotsi, Slovakia, Tanska, Tšekki, Unkari ja Viro.</w:t>
      </w:r>
    </w:p>
  </w:footnote>
  <w:footnote w:id="45">
    <w:p>
      <w:pPr>
        <w:pStyle w:val="FootnoteText"/>
        <w:rPr>
          <w:rFonts w:eastAsia="Times New Roman" w:cs="Times New Roman"/>
          <w:sz w:val="16"/>
          <w:szCs w:val="16"/>
        </w:rPr>
      </w:pPr>
      <w:r>
        <w:rPr>
          <w:sz w:val="18"/>
          <w:szCs w:val="18"/>
          <w:vertAlign w:val="superscript"/>
        </w:rPr>
        <w:footnoteRef/>
      </w:r>
      <w:r>
        <w:rPr>
          <w:sz w:val="18"/>
          <w:szCs w:val="18"/>
          <w:vertAlign w:val="superscript"/>
        </w:rPr>
        <w:t xml:space="preserve"> </w:t>
      </w:r>
      <w:r>
        <w:rPr>
          <w:sz w:val="16"/>
        </w:rPr>
        <w:t>Latvia, Liettua, Puola, Ruotsi, Slovakia ja Suomi.</w:t>
      </w:r>
    </w:p>
  </w:footnote>
  <w:footnote w:id="46">
    <w:p>
      <w:pPr>
        <w:pStyle w:val="FootnoteText"/>
        <w:rPr>
          <w:rFonts w:eastAsia="Times New Roman" w:cs="Times New Roman"/>
          <w:sz w:val="16"/>
          <w:szCs w:val="16"/>
        </w:rPr>
      </w:pPr>
      <w:r>
        <w:rPr>
          <w:sz w:val="18"/>
          <w:szCs w:val="18"/>
          <w:vertAlign w:val="superscript"/>
        </w:rPr>
        <w:footnoteRef/>
      </w:r>
      <w:r>
        <w:rPr>
          <w:sz w:val="16"/>
        </w:rPr>
        <w:t xml:space="preserve"> </w:t>
      </w:r>
      <w:hyperlink r:id="rId29">
        <w:r>
          <w:rPr>
            <w:rStyle w:val="Hyperlink"/>
            <w:sz w:val="16"/>
          </w:rPr>
          <w:t>COM(2013) 659</w:t>
        </w:r>
      </w:hyperlink>
      <w:r>
        <w:rPr>
          <w:sz w:val="16"/>
        </w:rPr>
        <w:t>.</w:t>
      </w:r>
    </w:p>
  </w:footnote>
  <w:footnote w:id="47">
    <w:p>
      <w:pPr>
        <w:pStyle w:val="FootnoteText"/>
        <w:rPr>
          <w:rFonts w:eastAsia="Times New Roman" w:cs="Times New Roman"/>
          <w:sz w:val="16"/>
          <w:szCs w:val="16"/>
        </w:rPr>
      </w:pPr>
      <w:r>
        <w:rPr>
          <w:sz w:val="18"/>
          <w:szCs w:val="18"/>
          <w:vertAlign w:val="superscript"/>
        </w:rPr>
        <w:footnoteRef/>
      </w:r>
      <w:r>
        <w:rPr>
          <w:sz w:val="18"/>
          <w:szCs w:val="18"/>
          <w:vertAlign w:val="superscript"/>
        </w:rPr>
        <w:t xml:space="preserve"> </w:t>
      </w:r>
      <w:r>
        <w:rPr>
          <w:sz w:val="16"/>
        </w:rPr>
        <w:t xml:space="preserve">Alankomaat, Belgia, Irlanti, Kreikka, Portugali, Romania, Ruotsi, Slovakia, Tšekki ja Yhdistynyt kuningaskunta </w:t>
      </w:r>
    </w:p>
  </w:footnote>
  <w:footnote w:id="48">
    <w:p>
      <w:pPr>
        <w:pStyle w:val="FootnoteText"/>
        <w:rPr>
          <w:rFonts w:eastAsia="Times New Roman" w:cs="Times New Roman"/>
          <w:sz w:val="16"/>
          <w:szCs w:val="16"/>
        </w:rPr>
      </w:pPr>
      <w:r>
        <w:rPr>
          <w:sz w:val="18"/>
          <w:szCs w:val="18"/>
          <w:vertAlign w:val="superscript"/>
        </w:rPr>
        <w:footnoteRef/>
      </w:r>
      <w:r>
        <w:rPr>
          <w:sz w:val="18"/>
          <w:szCs w:val="18"/>
          <w:vertAlign w:val="superscript"/>
        </w:rPr>
        <w:t xml:space="preserve"> </w:t>
      </w:r>
      <w:r>
        <w:rPr>
          <w:sz w:val="16"/>
        </w:rPr>
        <w:t xml:space="preserve">Espanja, Kreikka, Portugali, Ranska, Saksa, Tanska, Tšekki ja Unkari. </w:t>
      </w:r>
    </w:p>
  </w:footnote>
  <w:footnote w:id="49">
    <w:p>
      <w:pPr>
        <w:pStyle w:val="FootnoteText"/>
        <w:rPr>
          <w:rFonts w:eastAsia="Times New Roman" w:cs="Times New Roman"/>
          <w:sz w:val="16"/>
          <w:szCs w:val="16"/>
        </w:rPr>
      </w:pPr>
      <w:r>
        <w:rPr>
          <w:sz w:val="18"/>
          <w:szCs w:val="18"/>
          <w:vertAlign w:val="superscript"/>
        </w:rPr>
        <w:footnoteRef/>
      </w:r>
      <w:r>
        <w:rPr>
          <w:sz w:val="16"/>
        </w:rPr>
        <w:t xml:space="preserve"> Kreikka, Kroatia, Liettua, Romania, Slovenia, Tanska ja Viro.</w:t>
      </w:r>
    </w:p>
  </w:footnote>
  <w:footnote w:id="50">
    <w:p>
      <w:pPr>
        <w:pStyle w:val="FootnoteText"/>
        <w:rPr>
          <w:sz w:val="16"/>
          <w:szCs w:val="16"/>
        </w:rPr>
      </w:pPr>
      <w:r>
        <w:rPr>
          <w:sz w:val="18"/>
          <w:szCs w:val="18"/>
          <w:vertAlign w:val="superscript"/>
        </w:rPr>
        <w:footnoteRef/>
      </w:r>
      <w:r>
        <w:rPr>
          <w:sz w:val="16"/>
        </w:rPr>
        <w:t xml:space="preserve"> Kuten meristrategiadirektiivissä edellytetään (</w:t>
      </w:r>
      <w:hyperlink r:id="rId30">
        <w:r>
          <w:rPr>
            <w:rStyle w:val="Hyperlink"/>
            <w:sz w:val="16"/>
          </w:rPr>
          <w:t>direktiivi 2008/56/EY</w:t>
        </w:r>
      </w:hyperlink>
      <w:r>
        <w:rPr>
          <w:sz w:val="16"/>
        </w:rPr>
        <w:t>).</w:t>
      </w:r>
    </w:p>
  </w:footnote>
  <w:footnote w:id="51">
    <w:p>
      <w:pPr>
        <w:pStyle w:val="FootnoteText"/>
        <w:rPr>
          <w:rFonts w:eastAsia="Times New Roman" w:cs="Times New Roman"/>
          <w:sz w:val="16"/>
          <w:szCs w:val="16"/>
        </w:rPr>
      </w:pPr>
      <w:r>
        <w:rPr>
          <w:sz w:val="18"/>
          <w:szCs w:val="18"/>
          <w:vertAlign w:val="superscript"/>
        </w:rPr>
        <w:footnoteRef/>
      </w:r>
      <w:r>
        <w:rPr>
          <w:sz w:val="16"/>
        </w:rPr>
        <w:t xml:space="preserve"> Alankomaat, Belgia, Bulgaria, Espanja, Irlanti, Italia, Kypros, Latvia, Malta, Portugali, Puola, Ranska, Ruotsi, Suomi, Tanska ja Yhdistynyt kuningaskunta.</w:t>
      </w:r>
    </w:p>
  </w:footnote>
  <w:footnote w:id="52">
    <w:p>
      <w:pPr>
        <w:pStyle w:val="FootnoteText"/>
        <w:rPr>
          <w:rFonts w:eastAsia="Times New Roman" w:cs="Times New Roman"/>
          <w:sz w:val="16"/>
          <w:szCs w:val="16"/>
        </w:rPr>
      </w:pPr>
      <w:r>
        <w:rPr>
          <w:sz w:val="18"/>
          <w:szCs w:val="18"/>
          <w:vertAlign w:val="superscript"/>
        </w:rPr>
        <w:footnoteRef/>
      </w:r>
      <w:r>
        <w:rPr>
          <w:sz w:val="16"/>
        </w:rPr>
        <w:t xml:space="preserve"> LIFE Connect Carpathians, </w:t>
      </w:r>
      <w:hyperlink r:id="rId31">
        <w:r>
          <w:rPr>
            <w:rStyle w:val="Hyperlink"/>
            <w:sz w:val="16"/>
          </w:rPr>
          <w:t>verkkosivusto</w:t>
        </w:r>
      </w:hyperlink>
      <w:r>
        <w:rPr>
          <w:sz w:val="16"/>
        </w:rPr>
        <w:t>.</w:t>
      </w:r>
    </w:p>
  </w:footnote>
  <w:footnote w:id="53">
    <w:p>
      <w:pPr>
        <w:pStyle w:val="FootnoteText"/>
        <w:rPr>
          <w:rFonts w:eastAsia="Times New Roman" w:cs="Times New Roman"/>
          <w:sz w:val="16"/>
          <w:szCs w:val="16"/>
        </w:rPr>
      </w:pPr>
      <w:r>
        <w:rPr>
          <w:sz w:val="18"/>
          <w:szCs w:val="18"/>
          <w:vertAlign w:val="superscript"/>
        </w:rPr>
        <w:footnoteRef/>
      </w:r>
      <w:r>
        <w:rPr>
          <w:sz w:val="16"/>
        </w:rPr>
        <w:t xml:space="preserve"> Euroopan komissio, </w:t>
      </w:r>
      <w:hyperlink r:id="rId32" w:anchor="Ammonia">
        <w:r>
          <w:rPr>
            <w:rStyle w:val="Hyperlink"/>
            <w:sz w:val="16"/>
          </w:rPr>
          <w:t>Emissions of air pollutants, EU-28, 1990-2016</w:t>
        </w:r>
      </w:hyperlink>
      <w:r>
        <w:rPr>
          <w:sz w:val="16"/>
        </w:rPr>
        <w:t>.</w:t>
      </w:r>
    </w:p>
  </w:footnote>
  <w:footnote w:id="54">
    <w:p>
      <w:pPr>
        <w:pStyle w:val="FootnoteText"/>
        <w:rPr>
          <w:sz w:val="16"/>
          <w:szCs w:val="16"/>
          <w:lang w:val="en-GB"/>
        </w:rPr>
      </w:pPr>
      <w:r>
        <w:rPr>
          <w:sz w:val="18"/>
          <w:szCs w:val="18"/>
          <w:vertAlign w:val="superscript"/>
        </w:rPr>
        <w:footnoteRef/>
      </w:r>
      <w:r>
        <w:rPr>
          <w:sz w:val="16"/>
          <w:lang w:val="en-GB"/>
        </w:rPr>
        <w:t xml:space="preserve"> </w:t>
      </w:r>
      <w:hyperlink r:id="rId33">
        <w:r>
          <w:rPr>
            <w:rStyle w:val="Hyperlink"/>
            <w:sz w:val="16"/>
            <w:lang w:val="en-GB"/>
          </w:rPr>
          <w:t>COM(2018) 330</w:t>
        </w:r>
      </w:hyperlink>
      <w:r>
        <w:rPr>
          <w:sz w:val="16"/>
          <w:lang w:val="en-GB"/>
        </w:rPr>
        <w:t>.</w:t>
      </w:r>
    </w:p>
  </w:footnote>
  <w:footnote w:id="55">
    <w:p>
      <w:pPr>
        <w:pStyle w:val="FootnoteText"/>
        <w:rPr>
          <w:rFonts w:eastAsia="Times New Roman" w:cs="Times New Roman"/>
          <w:sz w:val="16"/>
          <w:szCs w:val="16"/>
          <w:lang w:val="en-GB"/>
        </w:rPr>
      </w:pPr>
      <w:r>
        <w:rPr>
          <w:sz w:val="18"/>
          <w:szCs w:val="18"/>
          <w:vertAlign w:val="superscript"/>
        </w:rPr>
        <w:footnoteRef/>
      </w:r>
      <w:r>
        <w:rPr>
          <w:sz w:val="18"/>
          <w:szCs w:val="18"/>
          <w:vertAlign w:val="superscript"/>
          <w:lang w:val="en-GB"/>
        </w:rPr>
        <w:t xml:space="preserve"> </w:t>
      </w:r>
      <w:r>
        <w:rPr>
          <w:sz w:val="16"/>
          <w:lang w:val="en-GB"/>
        </w:rPr>
        <w:t xml:space="preserve">Euroopan komissio, </w:t>
      </w:r>
      <w:hyperlink r:id="rId34">
        <w:r>
          <w:rPr>
            <w:rStyle w:val="Hyperlink"/>
            <w:sz w:val="16"/>
            <w:lang w:val="en-GB"/>
          </w:rPr>
          <w:t>Air quality fitness check</w:t>
        </w:r>
      </w:hyperlink>
      <w:r>
        <w:rPr>
          <w:sz w:val="16"/>
          <w:lang w:val="en-GB"/>
        </w:rPr>
        <w:t xml:space="preserve">. </w:t>
      </w:r>
    </w:p>
  </w:footnote>
  <w:footnote w:id="56">
    <w:p>
      <w:pPr>
        <w:pStyle w:val="FootnoteText"/>
        <w:rPr>
          <w:sz w:val="16"/>
          <w:szCs w:val="16"/>
          <w:lang w:val="en-GB"/>
        </w:rPr>
      </w:pPr>
      <w:r>
        <w:rPr>
          <w:sz w:val="18"/>
          <w:szCs w:val="18"/>
          <w:vertAlign w:val="superscript"/>
        </w:rPr>
        <w:footnoteRef/>
      </w:r>
      <w:r>
        <w:rPr>
          <w:sz w:val="16"/>
        </w:rPr>
        <w:t xml:space="preserve"> Esimerkiksi Horizon Prize </w:t>
      </w:r>
      <w:r>
        <w:noBreakHyphen/>
      </w:r>
      <w:r>
        <w:rPr>
          <w:sz w:val="16"/>
        </w:rPr>
        <w:t xml:space="preserve">kilpailun Engine Retrofit for Clean Air </w:t>
      </w:r>
      <w:r>
        <w:noBreakHyphen/>
      </w:r>
      <w:r>
        <w:rPr>
          <w:sz w:val="16"/>
        </w:rPr>
        <w:t xml:space="preserve">palkinto on myönnetty dieselajoneuvoihin, joiden typpioksidipäästöt (NOx) ovat liialliset, jälkiasennettavalle innovatiiviselle järjestelmälle, jolla on osoitettu saatavan erinomaisia tuloksia. </w:t>
      </w:r>
      <w:r>
        <w:rPr>
          <w:sz w:val="16"/>
          <w:lang w:val="en-GB"/>
        </w:rPr>
        <w:t xml:space="preserve">Ks. Euroopan komissio, </w:t>
      </w:r>
      <w:hyperlink r:id="rId35">
        <w:r>
          <w:rPr>
            <w:sz w:val="16"/>
            <w:lang w:val="en-GB"/>
          </w:rPr>
          <w:t xml:space="preserve">Engine retrofit for clean air Prize - </w:t>
        </w:r>
      </w:hyperlink>
      <w:hyperlink r:id="rId36">
        <w:r>
          <w:rPr>
            <w:rStyle w:val="Hyperlink"/>
            <w:sz w:val="16"/>
            <w:lang w:val="en-GB"/>
          </w:rPr>
          <w:t>Evaluation of NOx emissions, Horizon Prize</w:t>
        </w:r>
      </w:hyperlink>
      <w:r>
        <w:rPr>
          <w:sz w:val="16"/>
          <w:lang w:val="en-GB"/>
        </w:rPr>
        <w:t xml:space="preserve">. </w:t>
      </w:r>
    </w:p>
  </w:footnote>
  <w:footnote w:id="57">
    <w:p>
      <w:pPr>
        <w:pStyle w:val="FootnoteText"/>
        <w:rPr>
          <w:rFonts w:eastAsia="Times New Roman" w:cs="Times New Roman"/>
          <w:sz w:val="16"/>
          <w:szCs w:val="16"/>
        </w:rPr>
      </w:pPr>
      <w:r>
        <w:rPr>
          <w:sz w:val="18"/>
          <w:szCs w:val="18"/>
          <w:vertAlign w:val="superscript"/>
        </w:rPr>
        <w:footnoteRef/>
      </w:r>
      <w:r>
        <w:rPr>
          <w:sz w:val="16"/>
        </w:rPr>
        <w:t xml:space="preserve"> </w:t>
      </w:r>
      <w:r>
        <w:t xml:space="preserve">Tämän on ottanut esille myös </w:t>
      </w:r>
      <w:r>
        <w:rPr>
          <w:sz w:val="16"/>
        </w:rPr>
        <w:t>Euroopan tilintarkastustuomioistuin (</w:t>
      </w:r>
      <w:hyperlink r:id="rId37">
        <w:r>
          <w:rPr>
            <w:rStyle w:val="Hyperlink"/>
            <w:sz w:val="16"/>
          </w:rPr>
          <w:t>Erityiskertomus 23/2018</w:t>
        </w:r>
      </w:hyperlink>
      <w:r>
        <w:rPr>
          <w:sz w:val="16"/>
        </w:rPr>
        <w:t xml:space="preserve">). </w:t>
      </w:r>
    </w:p>
  </w:footnote>
  <w:footnote w:id="58">
    <w:p>
      <w:pPr>
        <w:pStyle w:val="FootnoteText"/>
        <w:rPr>
          <w:rFonts w:eastAsia="Times New Roman" w:cs="Times New Roman"/>
          <w:sz w:val="16"/>
          <w:szCs w:val="16"/>
        </w:rPr>
      </w:pPr>
      <w:r>
        <w:rPr>
          <w:sz w:val="18"/>
          <w:szCs w:val="18"/>
          <w:vertAlign w:val="superscript"/>
        </w:rPr>
        <w:footnoteRef/>
      </w:r>
      <w:r>
        <w:rPr>
          <w:sz w:val="16"/>
        </w:rPr>
        <w:t xml:space="preserve"> Alankomaat, Belgia, Bulgaria, Espanja, Irlanti, Italia, Itävalta, Kreikka, Kroatia, Luxemburg, Portugali, Puola, Ranska, Romania, Saksa, Tšekki, Unkari ja Yhdistynyt kuningaskunta.</w:t>
      </w:r>
    </w:p>
  </w:footnote>
  <w:footnote w:id="59">
    <w:p>
      <w:pPr>
        <w:pStyle w:val="FootnoteText"/>
        <w:rPr>
          <w:rFonts w:eastAsia="Times New Roman" w:cs="Times New Roman"/>
          <w:sz w:val="16"/>
          <w:szCs w:val="16"/>
        </w:rPr>
      </w:pPr>
      <w:r>
        <w:rPr>
          <w:sz w:val="18"/>
          <w:szCs w:val="18"/>
          <w:vertAlign w:val="superscript"/>
        </w:rPr>
        <w:footnoteRef/>
      </w:r>
      <w:r>
        <w:rPr>
          <w:sz w:val="16"/>
        </w:rPr>
        <w:t xml:space="preserve"> Bulgaria, Espanja, Italia, Itävalta, Kreikka, Kroatia, Puola, Ranska, Romania, Ruotsi, Saksa, Slovakia, Slovenia, Tšekki ja Unkari.</w:t>
      </w:r>
    </w:p>
  </w:footnote>
  <w:footnote w:id="60">
    <w:p>
      <w:pPr>
        <w:pStyle w:val="FootnoteText"/>
        <w:rPr>
          <w:rFonts w:eastAsia="Times New Roman" w:cs="Times New Roman"/>
          <w:sz w:val="16"/>
          <w:szCs w:val="16"/>
        </w:rPr>
      </w:pPr>
      <w:r>
        <w:rPr>
          <w:sz w:val="18"/>
          <w:szCs w:val="18"/>
          <w:vertAlign w:val="superscript"/>
        </w:rPr>
        <w:footnoteRef/>
      </w:r>
      <w:r>
        <w:rPr>
          <w:sz w:val="16"/>
        </w:rPr>
        <w:t xml:space="preserve"> Espanja, Irlanti, Itävalta, Kroatia, Saksa ja Tanska.</w:t>
      </w:r>
    </w:p>
  </w:footnote>
  <w:footnote w:id="61">
    <w:p>
      <w:pPr>
        <w:pStyle w:val="FootnoteText"/>
        <w:rPr>
          <w:rFonts w:eastAsia="Times New Roman" w:cs="Times New Roman"/>
          <w:sz w:val="16"/>
          <w:szCs w:val="16"/>
        </w:rPr>
      </w:pPr>
      <w:r>
        <w:rPr>
          <w:sz w:val="18"/>
          <w:szCs w:val="18"/>
          <w:vertAlign w:val="superscript"/>
        </w:rPr>
        <w:footnoteRef/>
      </w:r>
      <w:r>
        <w:rPr>
          <w:sz w:val="16"/>
        </w:rPr>
        <w:t xml:space="preserve"> Belgia, Espanja, Italia, Kreikka, Kypros, Portugali, Puola, Ranska, Romania, Ruotsi, Saksa, Slovakia ja Tšekki.</w:t>
      </w:r>
      <w:r>
        <w:rPr>
          <w:i/>
          <w:sz w:val="16"/>
        </w:rPr>
        <w:t xml:space="preserve"> </w:t>
      </w:r>
    </w:p>
  </w:footnote>
  <w:footnote w:id="62">
    <w:p>
      <w:pPr>
        <w:pStyle w:val="FootnoteText"/>
        <w:rPr>
          <w:rFonts w:eastAsia="Times New Roman" w:cs="Times New Roman"/>
          <w:sz w:val="16"/>
          <w:szCs w:val="16"/>
        </w:rPr>
      </w:pPr>
      <w:r>
        <w:rPr>
          <w:sz w:val="18"/>
          <w:szCs w:val="18"/>
          <w:vertAlign w:val="superscript"/>
        </w:rPr>
        <w:footnoteRef/>
      </w:r>
      <w:r>
        <w:rPr>
          <w:sz w:val="16"/>
        </w:rPr>
        <w:t xml:space="preserve"> Belgia, Espanja, Italia, Kreikka, Portugali, Romania ja Slovakia.</w:t>
      </w:r>
    </w:p>
  </w:footnote>
  <w:footnote w:id="63">
    <w:p>
      <w:pPr>
        <w:pStyle w:val="FootnoteText"/>
        <w:rPr>
          <w:rFonts w:eastAsia="Times New Roman" w:cs="Times New Roman"/>
          <w:sz w:val="16"/>
          <w:szCs w:val="16"/>
          <w:lang w:val="pl-PL"/>
        </w:rPr>
      </w:pPr>
      <w:r>
        <w:rPr>
          <w:sz w:val="18"/>
          <w:szCs w:val="18"/>
          <w:vertAlign w:val="superscript"/>
        </w:rPr>
        <w:footnoteRef/>
      </w:r>
      <w:r>
        <w:rPr>
          <w:sz w:val="16"/>
          <w:lang w:val="pl-PL"/>
        </w:rPr>
        <w:t xml:space="preserve"> Euroopan komissio, </w:t>
      </w:r>
      <w:hyperlink r:id="rId38">
        <w:r>
          <w:rPr>
            <w:rStyle w:val="Hyperlink"/>
            <w:sz w:val="16"/>
            <w:lang w:val="pl-PL"/>
          </w:rPr>
          <w:t>LIFE Małopolska Region</w:t>
        </w:r>
      </w:hyperlink>
      <w:r>
        <w:rPr>
          <w:sz w:val="16"/>
          <w:lang w:val="pl-PL"/>
        </w:rPr>
        <w:t>.</w:t>
      </w:r>
    </w:p>
  </w:footnote>
  <w:footnote w:id="64">
    <w:p>
      <w:pPr>
        <w:pStyle w:val="FootnoteText"/>
        <w:rPr>
          <w:rFonts w:eastAsia="Times New Roman" w:cs="Times New Roman"/>
          <w:sz w:val="16"/>
          <w:szCs w:val="16"/>
        </w:rPr>
      </w:pPr>
      <w:r>
        <w:rPr>
          <w:sz w:val="18"/>
          <w:szCs w:val="18"/>
          <w:vertAlign w:val="superscript"/>
        </w:rPr>
        <w:footnoteRef/>
      </w:r>
      <w:r>
        <w:rPr>
          <w:sz w:val="16"/>
        </w:rPr>
        <w:t xml:space="preserve"> Euroopan komissio, 2018. </w:t>
      </w:r>
      <w:hyperlink r:id="rId39">
        <w:r>
          <w:rPr>
            <w:rStyle w:val="Hyperlink"/>
            <w:sz w:val="16"/>
          </w:rPr>
          <w:t>Puhtaampaa teollisuutta  Mitä merkitystä sillä on sinulle?,</w:t>
        </w:r>
      </w:hyperlink>
      <w:r>
        <w:rPr>
          <w:sz w:val="16"/>
        </w:rPr>
        <w:t xml:space="preserve"> s. 2. </w:t>
      </w:r>
    </w:p>
  </w:footnote>
  <w:footnote w:id="65">
    <w:p>
      <w:pPr>
        <w:pStyle w:val="FootnoteText"/>
        <w:rPr>
          <w:rFonts w:eastAsia="Times New Roman" w:cs="Times New Roman"/>
          <w:sz w:val="16"/>
          <w:szCs w:val="16"/>
        </w:rPr>
      </w:pPr>
      <w:r>
        <w:rPr>
          <w:sz w:val="18"/>
          <w:szCs w:val="18"/>
          <w:vertAlign w:val="superscript"/>
        </w:rPr>
        <w:footnoteRef/>
      </w:r>
      <w:r>
        <w:rPr>
          <w:sz w:val="18"/>
          <w:szCs w:val="18"/>
          <w:vertAlign w:val="superscript"/>
        </w:rPr>
        <w:t xml:space="preserve"> </w:t>
      </w:r>
      <w:hyperlink r:id="rId40">
        <w:r>
          <w:rPr>
            <w:rStyle w:val="Hyperlink"/>
            <w:sz w:val="16"/>
          </w:rPr>
          <w:t>Direktiivi 2010/75/EU</w:t>
        </w:r>
      </w:hyperlink>
      <w:r>
        <w:rPr>
          <w:sz w:val="16"/>
        </w:rPr>
        <w:t>.</w:t>
      </w:r>
    </w:p>
  </w:footnote>
  <w:footnote w:id="66">
    <w:p>
      <w:pPr>
        <w:pStyle w:val="FootnoteText"/>
        <w:rPr>
          <w:sz w:val="16"/>
          <w:szCs w:val="16"/>
        </w:rPr>
      </w:pPr>
      <w:r>
        <w:rPr>
          <w:sz w:val="18"/>
          <w:szCs w:val="18"/>
          <w:vertAlign w:val="superscript"/>
        </w:rPr>
        <w:footnoteRef/>
      </w:r>
      <w:r>
        <w:rPr>
          <w:sz w:val="18"/>
          <w:szCs w:val="18"/>
          <w:vertAlign w:val="superscript"/>
        </w:rPr>
        <w:t xml:space="preserve"> </w:t>
      </w:r>
      <w:r>
        <w:rPr>
          <w:sz w:val="16"/>
        </w:rPr>
        <w:t xml:space="preserve">Euroopan unionin julkaisutoimisto, 2018. </w:t>
      </w:r>
      <w:hyperlink r:id="rId41">
        <w:r>
          <w:rPr>
            <w:rStyle w:val="Hyperlink"/>
            <w:sz w:val="16"/>
          </w:rPr>
          <w:t>Puhtaampaa teollisuutta  Mitä merkitystä sillä on sinulle?, s. 2.</w:t>
        </w:r>
      </w:hyperlink>
    </w:p>
  </w:footnote>
  <w:footnote w:id="67">
    <w:p>
      <w:pPr>
        <w:pStyle w:val="FootnoteText"/>
        <w:rPr>
          <w:rFonts w:eastAsia="Times New Roman" w:cs="Times New Roman"/>
          <w:sz w:val="16"/>
          <w:szCs w:val="16"/>
        </w:rPr>
      </w:pPr>
      <w:r>
        <w:rPr>
          <w:sz w:val="18"/>
          <w:szCs w:val="18"/>
          <w:vertAlign w:val="superscript"/>
        </w:rPr>
        <w:footnoteRef/>
      </w:r>
      <w:r>
        <w:rPr>
          <w:sz w:val="16"/>
        </w:rPr>
        <w:t xml:space="preserve"> Bulgaria, Irlanti, Kreikka, Portugali, Romania, Slovakia, Suomi, Tšekki, Viro ja Yhdistynyt kuningaskunta.</w:t>
      </w:r>
    </w:p>
  </w:footnote>
  <w:footnote w:id="68">
    <w:p>
      <w:pPr>
        <w:pStyle w:val="FootnoteText"/>
        <w:rPr>
          <w:rFonts w:eastAsia="Times New Roman" w:cs="Times New Roman"/>
          <w:sz w:val="16"/>
          <w:szCs w:val="16"/>
        </w:rPr>
      </w:pPr>
      <w:r>
        <w:rPr>
          <w:sz w:val="18"/>
          <w:szCs w:val="18"/>
          <w:vertAlign w:val="superscript"/>
        </w:rPr>
        <w:footnoteRef/>
      </w:r>
      <w:r>
        <w:rPr>
          <w:sz w:val="16"/>
        </w:rPr>
        <w:t xml:space="preserve"> Alankomaat, Espanja, Kypros, Latvia, Saksa, Unkari ja Viro.</w:t>
      </w:r>
    </w:p>
  </w:footnote>
  <w:footnote w:id="69">
    <w:p>
      <w:pPr>
        <w:pStyle w:val="FootnoteText"/>
        <w:rPr>
          <w:rFonts w:eastAsia="Times New Roman" w:cs="Times New Roman"/>
          <w:sz w:val="16"/>
          <w:szCs w:val="16"/>
        </w:rPr>
      </w:pPr>
      <w:r>
        <w:rPr>
          <w:sz w:val="18"/>
          <w:szCs w:val="18"/>
          <w:vertAlign w:val="superscript"/>
        </w:rPr>
        <w:footnoteRef/>
      </w:r>
      <w:r>
        <w:rPr>
          <w:sz w:val="18"/>
          <w:szCs w:val="18"/>
          <w:vertAlign w:val="superscript"/>
        </w:rPr>
        <w:t xml:space="preserve"> </w:t>
      </w:r>
      <w:r>
        <w:rPr>
          <w:sz w:val="16"/>
        </w:rPr>
        <w:t>Italia ja Luxemburg.</w:t>
      </w:r>
    </w:p>
  </w:footnote>
  <w:footnote w:id="70">
    <w:p>
      <w:pPr>
        <w:pStyle w:val="FootnoteText"/>
        <w:rPr>
          <w:rFonts w:eastAsia="Times New Roman" w:cs="Times New Roman"/>
          <w:sz w:val="16"/>
          <w:szCs w:val="16"/>
        </w:rPr>
      </w:pPr>
      <w:r>
        <w:rPr>
          <w:sz w:val="18"/>
          <w:szCs w:val="18"/>
          <w:vertAlign w:val="superscript"/>
        </w:rPr>
        <w:footnoteRef/>
      </w:r>
      <w:r>
        <w:rPr>
          <w:sz w:val="18"/>
          <w:szCs w:val="18"/>
          <w:vertAlign w:val="superscript"/>
        </w:rPr>
        <w:t xml:space="preserve"> </w:t>
      </w:r>
      <w:r>
        <w:rPr>
          <w:sz w:val="16"/>
        </w:rPr>
        <w:t>Espanja, Latvia ja Viro.</w:t>
      </w:r>
    </w:p>
  </w:footnote>
  <w:footnote w:id="71">
    <w:p>
      <w:pPr>
        <w:pStyle w:val="FootnoteText"/>
        <w:rPr>
          <w:rFonts w:eastAsia="Times New Roman" w:cs="Times New Roman"/>
          <w:sz w:val="16"/>
          <w:szCs w:val="16"/>
        </w:rPr>
      </w:pPr>
      <w:r>
        <w:rPr>
          <w:sz w:val="18"/>
          <w:szCs w:val="18"/>
          <w:vertAlign w:val="superscript"/>
        </w:rPr>
        <w:footnoteRef/>
      </w:r>
      <w:r>
        <w:rPr>
          <w:sz w:val="16"/>
        </w:rPr>
        <w:t xml:space="preserve"> Lainsäädäntöön kuuluvat </w:t>
      </w:r>
      <w:hyperlink r:id="rId42">
        <w:r>
          <w:rPr>
            <w:rStyle w:val="Hyperlink"/>
            <w:sz w:val="16"/>
          </w:rPr>
          <w:t>uimaveden laadusta annettu direktiivi (2006/7/EY);</w:t>
        </w:r>
      </w:hyperlink>
      <w:r>
        <w:rPr>
          <w:sz w:val="16"/>
        </w:rPr>
        <w:t xml:space="preserve"> </w:t>
      </w:r>
      <w:hyperlink r:id="rId43">
        <w:r>
          <w:rPr>
            <w:rStyle w:val="Hyperlink"/>
            <w:sz w:val="16"/>
          </w:rPr>
          <w:t>yhdyskuntajätevesien käsittelystä annettu direktiivi (91/271/ETY)</w:t>
        </w:r>
      </w:hyperlink>
      <w:r>
        <w:t>,</w:t>
      </w:r>
      <w:r>
        <w:rPr>
          <w:sz w:val="16"/>
        </w:rPr>
        <w:t xml:space="preserve"> </w:t>
      </w:r>
      <w:hyperlink r:id="rId44">
        <w:r>
          <w:rPr>
            <w:rStyle w:val="Hyperlink"/>
            <w:sz w:val="16"/>
          </w:rPr>
          <w:t>juomavesidirektiivi (98/83/EY)</w:t>
        </w:r>
      </w:hyperlink>
      <w:r>
        <w:t>,</w:t>
      </w:r>
      <w:r>
        <w:rPr>
          <w:sz w:val="16"/>
        </w:rPr>
        <w:t xml:space="preserve"> </w:t>
      </w:r>
      <w:hyperlink r:id="rId45">
        <w:r>
          <w:rPr>
            <w:rStyle w:val="Hyperlink"/>
            <w:sz w:val="16"/>
          </w:rPr>
          <w:t>vesipolitiikan puitedirektiivi (2000/60/EY)</w:t>
        </w:r>
      </w:hyperlink>
      <w:r>
        <w:t>,</w:t>
      </w:r>
      <w:r>
        <w:rPr>
          <w:sz w:val="16"/>
        </w:rPr>
        <w:t xml:space="preserve"> </w:t>
      </w:r>
      <w:hyperlink r:id="rId46">
        <w:r>
          <w:rPr>
            <w:rStyle w:val="Hyperlink"/>
            <w:sz w:val="16"/>
          </w:rPr>
          <w:t>nitraattidirektiivi (91/676/ETY)</w:t>
        </w:r>
      </w:hyperlink>
      <w:r>
        <w:rPr>
          <w:sz w:val="16"/>
        </w:rPr>
        <w:t xml:space="preserve"> ja </w:t>
      </w:r>
      <w:hyperlink r:id="rId47">
        <w:r>
          <w:rPr>
            <w:rStyle w:val="Hyperlink"/>
            <w:sz w:val="16"/>
          </w:rPr>
          <w:t>tulvadirektiivi (2007/60/EY)</w:t>
        </w:r>
      </w:hyperlink>
      <w:r>
        <w:rPr>
          <w:rStyle w:val="Hyperlink"/>
          <w:sz w:val="16"/>
        </w:rPr>
        <w:t>.</w:t>
      </w:r>
    </w:p>
  </w:footnote>
  <w:footnote w:id="72">
    <w:p>
      <w:pPr>
        <w:pStyle w:val="FootnoteText"/>
        <w:rPr>
          <w:rFonts w:eastAsia="Times New Roman" w:cs="Times New Roman"/>
          <w:sz w:val="16"/>
          <w:szCs w:val="16"/>
          <w:lang w:val="en-GB"/>
        </w:rPr>
      </w:pPr>
      <w:r>
        <w:rPr>
          <w:sz w:val="18"/>
          <w:szCs w:val="18"/>
          <w:vertAlign w:val="superscript"/>
        </w:rPr>
        <w:footnoteRef/>
      </w:r>
      <w:r>
        <w:rPr>
          <w:sz w:val="16"/>
          <w:lang w:val="en-GB"/>
        </w:rPr>
        <w:t xml:space="preserve"> Euroopan komissio</w:t>
      </w:r>
      <w:r>
        <w:rPr>
          <w:lang w:val="en-GB"/>
        </w:rPr>
        <w:t xml:space="preserve">, </w:t>
      </w:r>
      <w:hyperlink r:id="rId48">
        <w:r>
          <w:rPr>
            <w:rStyle w:val="Hyperlink"/>
            <w:sz w:val="16"/>
            <w:lang w:val="en-GB"/>
          </w:rPr>
          <w:t>Water reuse:  background and policy context</w:t>
        </w:r>
      </w:hyperlink>
      <w:r>
        <w:rPr>
          <w:sz w:val="16"/>
          <w:lang w:val="en-GB"/>
        </w:rPr>
        <w:t>.</w:t>
      </w:r>
    </w:p>
  </w:footnote>
  <w:footnote w:id="73">
    <w:p>
      <w:pPr>
        <w:pStyle w:val="FootnoteText"/>
        <w:rPr>
          <w:rFonts w:eastAsia="Times New Roman" w:cs="Times New Roman"/>
          <w:sz w:val="16"/>
          <w:szCs w:val="16"/>
        </w:rPr>
      </w:pPr>
      <w:r>
        <w:rPr>
          <w:sz w:val="18"/>
          <w:szCs w:val="18"/>
          <w:vertAlign w:val="superscript"/>
        </w:rPr>
        <w:footnoteRef/>
      </w:r>
      <w:r>
        <w:rPr>
          <w:sz w:val="16"/>
        </w:rPr>
        <w:t xml:space="preserve"> Euroopan komissio, 20.–21. syyskuuta 2018, </w:t>
      </w:r>
      <w:hyperlink r:id="rId49">
        <w:r>
          <w:rPr>
            <w:rStyle w:val="Hyperlink"/>
            <w:sz w:val="16"/>
          </w:rPr>
          <w:t>EU:n vesikonferenssi 2018</w:t>
        </w:r>
      </w:hyperlink>
      <w:r>
        <w:rPr>
          <w:sz w:val="16"/>
        </w:rPr>
        <w:t xml:space="preserve">. </w:t>
      </w:r>
    </w:p>
  </w:footnote>
  <w:footnote w:id="74">
    <w:p>
      <w:pPr>
        <w:pStyle w:val="FootnoteText"/>
        <w:rPr>
          <w:rFonts w:eastAsia="Times New Roman" w:cs="Times New Roman"/>
          <w:sz w:val="16"/>
          <w:szCs w:val="16"/>
        </w:rPr>
      </w:pPr>
      <w:r>
        <w:rPr>
          <w:sz w:val="18"/>
          <w:szCs w:val="18"/>
          <w:vertAlign w:val="superscript"/>
        </w:rPr>
        <w:footnoteRef/>
      </w:r>
      <w:r>
        <w:rPr>
          <w:sz w:val="18"/>
          <w:szCs w:val="18"/>
          <w:vertAlign w:val="superscript"/>
        </w:rPr>
        <w:t xml:space="preserve"> </w:t>
      </w:r>
      <w:r>
        <w:rPr>
          <w:sz w:val="16"/>
        </w:rPr>
        <w:t>EU:n arvio vesipuitedirektiivin ja tulvadirektiivin täytäntöönpanosta (</w:t>
      </w:r>
      <w:r>
        <w:rPr>
          <w:i/>
          <w:sz w:val="16"/>
        </w:rPr>
        <w:t>tammikuu 2019</w:t>
      </w:r>
      <w:r>
        <w:rPr>
          <w:sz w:val="16"/>
        </w:rPr>
        <w:t>).</w:t>
      </w:r>
    </w:p>
  </w:footnote>
  <w:footnote w:id="75">
    <w:p>
      <w:pPr>
        <w:pStyle w:val="FootnoteText"/>
        <w:rPr>
          <w:rFonts w:eastAsia="Times New Roman" w:cs="Times New Roman"/>
          <w:sz w:val="16"/>
          <w:szCs w:val="16"/>
        </w:rPr>
      </w:pPr>
      <w:r>
        <w:rPr>
          <w:sz w:val="18"/>
          <w:szCs w:val="18"/>
          <w:vertAlign w:val="superscript"/>
        </w:rPr>
        <w:footnoteRef/>
      </w:r>
      <w:r>
        <w:rPr>
          <w:sz w:val="18"/>
          <w:szCs w:val="18"/>
          <w:vertAlign w:val="superscript"/>
        </w:rPr>
        <w:t xml:space="preserve"> </w:t>
      </w:r>
      <w:r>
        <w:rPr>
          <w:sz w:val="16"/>
        </w:rPr>
        <w:t>Bulgaria, Espanja, Irlanti, Italia, Kreikka, Kroatia, Kypros, Latvia, Liettua, Luxemburg, Malta, Puola, Portugali, Ranska, Romania, Slovakia, Slovenia ja Unkari.</w:t>
      </w:r>
    </w:p>
  </w:footnote>
  <w:footnote w:id="76">
    <w:p>
      <w:pPr>
        <w:pStyle w:val="FootnoteText"/>
        <w:rPr>
          <w:rFonts w:eastAsia="Times New Roman" w:cs="Times New Roman"/>
          <w:sz w:val="16"/>
          <w:szCs w:val="16"/>
        </w:rPr>
      </w:pPr>
      <w:r>
        <w:rPr>
          <w:sz w:val="18"/>
          <w:szCs w:val="18"/>
          <w:vertAlign w:val="superscript"/>
        </w:rPr>
        <w:footnoteRef/>
      </w:r>
      <w:r>
        <w:rPr>
          <w:sz w:val="16"/>
        </w:rPr>
        <w:t xml:space="preserve"> Etenkin Alankomaat, Belgia, Espanja, Italia, Itävalta, Kreikka, Kypros, Liettua, Malta, Portugali, Puola, Ranska, Ruotsi, Saksa, Slovakia, Slovenia, Suomi, Tanska, Tšekki, Viro ja Yhdistynyt kuningaskunta.</w:t>
      </w:r>
    </w:p>
  </w:footnote>
  <w:footnote w:id="77">
    <w:p>
      <w:pPr>
        <w:pStyle w:val="FootnoteText"/>
        <w:rPr>
          <w:rFonts w:eastAsia="Times New Roman" w:cs="Times New Roman"/>
          <w:sz w:val="16"/>
          <w:szCs w:val="16"/>
          <w:lang w:val="pt-PT"/>
        </w:rPr>
      </w:pPr>
      <w:r>
        <w:rPr>
          <w:sz w:val="18"/>
          <w:szCs w:val="18"/>
          <w:vertAlign w:val="superscript"/>
        </w:rPr>
        <w:footnoteRef/>
      </w:r>
      <w:r>
        <w:rPr>
          <w:sz w:val="18"/>
          <w:szCs w:val="18"/>
          <w:vertAlign w:val="superscript"/>
          <w:lang w:val="pt-PT"/>
        </w:rPr>
        <w:t xml:space="preserve"> </w:t>
      </w:r>
      <w:r>
        <w:rPr>
          <w:rStyle w:val="Hyperlink"/>
          <w:sz w:val="16"/>
          <w:lang w:val="pt-PT"/>
        </w:rPr>
        <w:t>Asetus (EU) N:o 1907/2006</w:t>
      </w:r>
    </w:p>
  </w:footnote>
  <w:footnote w:id="78">
    <w:p>
      <w:pPr>
        <w:pStyle w:val="FootnoteText"/>
        <w:rPr>
          <w:rFonts w:eastAsia="Times New Roman" w:cs="Times New Roman"/>
          <w:sz w:val="16"/>
          <w:szCs w:val="16"/>
          <w:lang w:val="pt-PT"/>
        </w:rPr>
      </w:pPr>
      <w:r>
        <w:rPr>
          <w:sz w:val="18"/>
          <w:szCs w:val="18"/>
          <w:vertAlign w:val="superscript"/>
        </w:rPr>
        <w:footnoteRef/>
      </w:r>
      <w:r>
        <w:rPr>
          <w:sz w:val="16"/>
          <w:lang w:val="pt-PT"/>
        </w:rPr>
        <w:t xml:space="preserve"> </w:t>
      </w:r>
      <w:hyperlink r:id="rId50">
        <w:r>
          <w:rPr>
            <w:rStyle w:val="Hyperlink"/>
            <w:sz w:val="16"/>
            <w:lang w:val="pt-PT"/>
          </w:rPr>
          <w:t>Asetus (EY) N:o 1272/2008</w:t>
        </w:r>
      </w:hyperlink>
      <w:r>
        <w:rPr>
          <w:sz w:val="16"/>
          <w:lang w:val="pt-PT"/>
        </w:rPr>
        <w:t>.</w:t>
      </w:r>
    </w:p>
  </w:footnote>
  <w:footnote w:id="79">
    <w:p>
      <w:pPr>
        <w:pStyle w:val="FootnoteText"/>
        <w:rPr>
          <w:rFonts w:eastAsia="Times New Roman" w:cs="Times New Roman"/>
          <w:sz w:val="16"/>
          <w:szCs w:val="16"/>
        </w:rPr>
      </w:pPr>
      <w:r>
        <w:rPr>
          <w:sz w:val="18"/>
          <w:szCs w:val="18"/>
          <w:vertAlign w:val="superscript"/>
        </w:rPr>
        <w:footnoteRef/>
      </w:r>
      <w:r>
        <w:rPr>
          <w:sz w:val="16"/>
        </w:rPr>
        <w:t xml:space="preserve"> Euroopan komissio</w:t>
      </w:r>
      <w:r>
        <w:t xml:space="preserve">, </w:t>
      </w:r>
      <w:hyperlink r:id="rId51">
        <w:r>
          <w:rPr>
            <w:rStyle w:val="Hyperlink"/>
            <w:sz w:val="16"/>
          </w:rPr>
          <w:t>kemikaalilainsäädäntö</w:t>
        </w:r>
        <w:r>
          <w:rPr>
            <w:sz w:val="16"/>
          </w:rPr>
          <w:t>.</w:t>
        </w:r>
      </w:hyperlink>
      <w:r>
        <w:rPr>
          <w:sz w:val="16"/>
        </w:rPr>
        <w:t xml:space="preserve"> </w:t>
      </w:r>
    </w:p>
  </w:footnote>
  <w:footnote w:id="80">
    <w:p>
      <w:pPr>
        <w:pStyle w:val="FootnoteText"/>
        <w:rPr>
          <w:rFonts w:eastAsia="Times New Roman" w:cs="Times New Roman"/>
          <w:sz w:val="16"/>
          <w:szCs w:val="16"/>
        </w:rPr>
      </w:pPr>
      <w:r>
        <w:rPr>
          <w:sz w:val="18"/>
          <w:szCs w:val="18"/>
          <w:vertAlign w:val="superscript"/>
        </w:rPr>
        <w:footnoteRef/>
      </w:r>
      <w:r>
        <w:rPr>
          <w:sz w:val="18"/>
          <w:szCs w:val="18"/>
          <w:vertAlign w:val="superscript"/>
        </w:rPr>
        <w:t xml:space="preserve"> </w:t>
      </w:r>
      <w:hyperlink r:id="rId52">
        <w:r>
          <w:rPr>
            <w:rStyle w:val="Hyperlink"/>
            <w:sz w:val="16"/>
          </w:rPr>
          <w:t>COM(2018) 116</w:t>
        </w:r>
      </w:hyperlink>
      <w:r>
        <w:rPr>
          <w:rStyle w:val="Hyperlink"/>
          <w:color w:val="auto"/>
          <w:sz w:val="16"/>
          <w:u w:val="none"/>
        </w:rPr>
        <w:t>, s. 6 ja 9</w:t>
      </w:r>
      <w:r>
        <w:rPr>
          <w:sz w:val="16"/>
        </w:rPr>
        <w:t xml:space="preserve">. </w:t>
      </w:r>
    </w:p>
  </w:footnote>
  <w:footnote w:id="81">
    <w:p>
      <w:pPr>
        <w:pStyle w:val="FootnoteText"/>
        <w:jc w:val="left"/>
        <w:rPr>
          <w:rFonts w:eastAsia="Times New Roman" w:cs="Times New Roman"/>
          <w:sz w:val="16"/>
          <w:szCs w:val="16"/>
          <w:lang w:val="en-GB"/>
        </w:rPr>
      </w:pPr>
      <w:r>
        <w:rPr>
          <w:sz w:val="18"/>
          <w:szCs w:val="18"/>
          <w:vertAlign w:val="superscript"/>
        </w:rPr>
        <w:footnoteRef/>
      </w:r>
      <w:r>
        <w:rPr>
          <w:sz w:val="16"/>
          <w:lang w:val="en-GB"/>
        </w:rPr>
        <w:t xml:space="preserve"> Alankomaiden hallitus, </w:t>
      </w:r>
      <w:hyperlink r:id="rId53" w:anchor="overlay-context=content/bijeenkomsten-en-presentaties">
        <w:r>
          <w:rPr>
            <w:rStyle w:val="Hyperlink"/>
            <w:sz w:val="16"/>
            <w:lang w:val="en-GB"/>
          </w:rPr>
          <w:t>Workshop towards a Safe Chemicals Innovation Agenda from Substitution to Safe-by-design</w:t>
        </w:r>
      </w:hyperlink>
      <w:r>
        <w:rPr>
          <w:sz w:val="16"/>
          <w:lang w:val="en-GB"/>
        </w:rPr>
        <w:t>.</w:t>
      </w:r>
    </w:p>
  </w:footnote>
  <w:footnote w:id="82">
    <w:p>
      <w:pPr>
        <w:pStyle w:val="FootnoteText"/>
        <w:rPr>
          <w:rFonts w:eastAsia="Times New Roman" w:cs="Times New Roman"/>
          <w:sz w:val="16"/>
          <w:szCs w:val="16"/>
          <w:lang w:val="en-GB"/>
        </w:rPr>
      </w:pPr>
      <w:r>
        <w:rPr>
          <w:sz w:val="18"/>
          <w:szCs w:val="18"/>
          <w:vertAlign w:val="superscript"/>
        </w:rPr>
        <w:footnoteRef/>
      </w:r>
      <w:r>
        <w:rPr>
          <w:sz w:val="16"/>
          <w:lang w:val="en-GB"/>
        </w:rPr>
        <w:t xml:space="preserve"> Euroopan komissio, 2017. </w:t>
      </w:r>
      <w:hyperlink r:id="rId54">
        <w:r>
          <w:rPr>
            <w:rStyle w:val="Hyperlink"/>
            <w:sz w:val="16"/>
            <w:lang w:val="en-GB"/>
          </w:rPr>
          <w:t>Evaluation study of the payment for agricultural practices beneficial for the climate and the environment</w:t>
        </w:r>
      </w:hyperlink>
      <w:r>
        <w:rPr>
          <w:sz w:val="16"/>
          <w:lang w:val="en-GB"/>
        </w:rPr>
        <w:t xml:space="preserve">. </w:t>
      </w:r>
    </w:p>
  </w:footnote>
  <w:footnote w:id="83">
    <w:p>
      <w:pPr>
        <w:pStyle w:val="FootnoteText"/>
        <w:rPr>
          <w:rFonts w:eastAsia="Times New Roman" w:cs="Times New Roman"/>
          <w:sz w:val="16"/>
          <w:szCs w:val="16"/>
        </w:rPr>
      </w:pPr>
      <w:r>
        <w:rPr>
          <w:sz w:val="18"/>
          <w:szCs w:val="18"/>
          <w:vertAlign w:val="superscript"/>
        </w:rPr>
        <w:footnoteRef/>
      </w:r>
      <w:r>
        <w:rPr>
          <w:sz w:val="16"/>
        </w:rPr>
        <w:t xml:space="preserve"> Alankomaat, Belgia, Irlanti, Liettua, Luxemburg, Malta, Ranska, Romania, Ruotsi, Suomi, Tanska, Viro ja Yhdistynyt kuningaskunta. Euroopan komissio, vuoden 2018 painos. </w:t>
      </w:r>
      <w:hyperlink r:id="rId55">
        <w:r>
          <w:rPr>
            <w:rStyle w:val="Hyperlink"/>
            <w:sz w:val="16"/>
          </w:rPr>
          <w:t>Taxation Trends in the European Union</w:t>
        </w:r>
      </w:hyperlink>
      <w:r>
        <w:rPr>
          <w:sz w:val="16"/>
        </w:rPr>
        <w:t>.</w:t>
      </w:r>
    </w:p>
  </w:footnote>
  <w:footnote w:id="84">
    <w:p>
      <w:pPr>
        <w:pStyle w:val="FootnoteText"/>
        <w:rPr>
          <w:rFonts w:eastAsia="Times New Roman" w:cs="Times New Roman"/>
          <w:sz w:val="16"/>
          <w:szCs w:val="16"/>
        </w:rPr>
      </w:pPr>
      <w:r>
        <w:rPr>
          <w:sz w:val="18"/>
          <w:szCs w:val="18"/>
          <w:vertAlign w:val="superscript"/>
        </w:rPr>
        <w:footnoteRef/>
      </w:r>
      <w:r>
        <w:rPr>
          <w:sz w:val="18"/>
          <w:szCs w:val="18"/>
          <w:vertAlign w:val="superscript"/>
        </w:rPr>
        <w:t xml:space="preserve"> </w:t>
      </w:r>
      <w:r>
        <w:rPr>
          <w:sz w:val="16"/>
        </w:rPr>
        <w:t xml:space="preserve">Belgia, Irlanti, Portugali, Puola, Ranska, Slovakia, Tšekki ja Unkari. </w:t>
      </w:r>
    </w:p>
  </w:footnote>
  <w:footnote w:id="85">
    <w:p>
      <w:pPr>
        <w:pStyle w:val="FootnoteText"/>
        <w:rPr>
          <w:rFonts w:eastAsia="Times New Roman" w:cs="Times New Roman"/>
          <w:sz w:val="16"/>
          <w:szCs w:val="16"/>
        </w:rPr>
      </w:pPr>
      <w:r>
        <w:rPr>
          <w:sz w:val="18"/>
          <w:szCs w:val="18"/>
          <w:vertAlign w:val="superscript"/>
        </w:rPr>
        <w:footnoteRef/>
      </w:r>
      <w:r>
        <w:rPr>
          <w:sz w:val="18"/>
          <w:szCs w:val="18"/>
          <w:vertAlign w:val="superscript"/>
        </w:rPr>
        <w:t xml:space="preserve"> </w:t>
      </w:r>
      <w:r>
        <w:rPr>
          <w:sz w:val="16"/>
        </w:rPr>
        <w:t xml:space="preserve">Bulgaria, Irlanti, Itävalta, Kreikka, Kroatia, Kypros, Luxemburg, Malta, Ranska, Ruotsi, Suomi ja Tanska. </w:t>
      </w:r>
    </w:p>
  </w:footnote>
  <w:footnote w:id="86">
    <w:p>
      <w:pPr>
        <w:pStyle w:val="FootnoteText"/>
        <w:rPr>
          <w:rFonts w:eastAsia="Times New Roman" w:cs="Times New Roman"/>
          <w:sz w:val="16"/>
          <w:szCs w:val="16"/>
        </w:rPr>
      </w:pPr>
      <w:r>
        <w:rPr>
          <w:sz w:val="18"/>
          <w:szCs w:val="18"/>
          <w:vertAlign w:val="superscript"/>
        </w:rPr>
        <w:footnoteRef/>
      </w:r>
      <w:r>
        <w:rPr>
          <w:sz w:val="16"/>
        </w:rPr>
        <w:t xml:space="preserve"> Bulgaria, Kroatia, Latvia, Liettua, Portugali, Puola, Romania, Slovakia, Slovenia, Unkari ja Viro. </w:t>
      </w:r>
    </w:p>
  </w:footnote>
  <w:footnote w:id="87">
    <w:p>
      <w:pPr>
        <w:pStyle w:val="FootnoteText"/>
        <w:rPr>
          <w:rFonts w:eastAsia="Times New Roman" w:cs="Times New Roman"/>
          <w:sz w:val="16"/>
          <w:szCs w:val="16"/>
        </w:rPr>
      </w:pPr>
      <w:r>
        <w:rPr>
          <w:sz w:val="18"/>
          <w:szCs w:val="18"/>
          <w:vertAlign w:val="superscript"/>
        </w:rPr>
        <w:footnoteRef/>
      </w:r>
      <w:r>
        <w:rPr>
          <w:sz w:val="18"/>
          <w:szCs w:val="18"/>
          <w:vertAlign w:val="superscript"/>
        </w:rPr>
        <w:t xml:space="preserve"> </w:t>
      </w:r>
      <w:r>
        <w:rPr>
          <w:sz w:val="16"/>
        </w:rPr>
        <w:t>Alankomaat, Bulgaria, Espanja, Italia, Itävalta, Kreikka, Luxemburg, Portugali, Ranska, Romania, Ruotsi, Saksa, Slovenia, Suomi, Unkari ja Yhdistynyt kuningaskunta.</w:t>
      </w:r>
    </w:p>
  </w:footnote>
  <w:footnote w:id="88">
    <w:p>
      <w:pPr>
        <w:pStyle w:val="FootnoteText"/>
        <w:rPr>
          <w:rFonts w:eastAsia="Times New Roman" w:cs="Times New Roman"/>
          <w:sz w:val="16"/>
          <w:szCs w:val="16"/>
        </w:rPr>
      </w:pPr>
      <w:r>
        <w:rPr>
          <w:sz w:val="18"/>
          <w:szCs w:val="18"/>
          <w:vertAlign w:val="superscript"/>
        </w:rPr>
        <w:footnoteRef/>
      </w:r>
      <w:r>
        <w:rPr>
          <w:sz w:val="16"/>
        </w:rPr>
        <w:t xml:space="preserve"> Kreikka, Kroatia, Liettua, Latvia, Puola, Romania, Slovakia, Tšekki ja Viro.  </w:t>
      </w:r>
    </w:p>
  </w:footnote>
  <w:footnote w:id="89">
    <w:p>
      <w:pPr>
        <w:pStyle w:val="FootnoteText"/>
        <w:rPr>
          <w:rFonts w:eastAsia="Times New Roman" w:cs="Times New Roman"/>
          <w:sz w:val="16"/>
          <w:szCs w:val="16"/>
        </w:rPr>
      </w:pPr>
      <w:r>
        <w:rPr>
          <w:sz w:val="18"/>
          <w:szCs w:val="18"/>
          <w:vertAlign w:val="superscript"/>
        </w:rPr>
        <w:footnoteRef/>
      </w:r>
      <w:r>
        <w:rPr>
          <w:sz w:val="18"/>
          <w:szCs w:val="18"/>
          <w:vertAlign w:val="superscript"/>
        </w:rPr>
        <w:t xml:space="preserve"> </w:t>
      </w:r>
      <w:r>
        <w:rPr>
          <w:sz w:val="16"/>
        </w:rPr>
        <w:t>Belgia, Espanja, Irlanti, Italia, Itävalta, Kreikka, Kypros, Latvia, Liettua, Malta, Portugali, Puola, Ranska, Romania, Slovakia, Slovenia ja Tšekki.</w:t>
      </w:r>
    </w:p>
  </w:footnote>
  <w:footnote w:id="90">
    <w:p>
      <w:pPr>
        <w:pStyle w:val="FootnoteText"/>
        <w:rPr>
          <w:rFonts w:eastAsia="Times New Roman" w:cs="Times New Roman"/>
          <w:sz w:val="16"/>
          <w:szCs w:val="16"/>
          <w:lang w:val="en-GB"/>
        </w:rPr>
      </w:pPr>
      <w:r>
        <w:rPr>
          <w:sz w:val="18"/>
          <w:szCs w:val="18"/>
          <w:vertAlign w:val="superscript"/>
        </w:rPr>
        <w:footnoteRef/>
      </w:r>
      <w:r>
        <w:rPr>
          <w:sz w:val="16"/>
          <w:lang w:val="en-GB"/>
        </w:rPr>
        <w:t xml:space="preserve"> Euroopan komissio, </w:t>
      </w:r>
      <w:hyperlink r:id="rId56">
        <w:r>
          <w:rPr>
            <w:rStyle w:val="Hyperlink"/>
            <w:sz w:val="16"/>
            <w:lang w:val="en-GB"/>
          </w:rPr>
          <w:t>A Comparative Overview of Public Administration Characteristics and Performance in EU28</w:t>
        </w:r>
      </w:hyperlink>
      <w:r>
        <w:rPr>
          <w:rStyle w:val="Hyperlink"/>
          <w:sz w:val="16"/>
          <w:lang w:val="en-GB"/>
        </w:rPr>
        <w:t>.</w:t>
      </w:r>
    </w:p>
  </w:footnote>
  <w:footnote w:id="91">
    <w:p>
      <w:pPr>
        <w:pStyle w:val="FootnoteText"/>
        <w:rPr>
          <w:rFonts w:eastAsia="Times New Roman" w:cs="Times New Roman"/>
          <w:sz w:val="16"/>
          <w:szCs w:val="16"/>
        </w:rPr>
      </w:pPr>
      <w:r>
        <w:rPr>
          <w:sz w:val="18"/>
          <w:szCs w:val="18"/>
          <w:vertAlign w:val="superscript"/>
        </w:rPr>
        <w:footnoteRef/>
      </w:r>
      <w:r>
        <w:rPr>
          <w:sz w:val="16"/>
        </w:rPr>
        <w:t xml:space="preserve"> Paikallisten, alueellisten ja kansallisten viranomaisten koordinoinnin tehottomuus, hallinnollisten valmiuksien puute ja rahoituksen riittämättömyys, tiedon puute, säännösten noudattamisen varmistamismekanismien riittämättömyys sekä ympäristönäkökohtien puutteellinen huomioon ottaminen ja politiikan epäjohdonmukaisuus. (Ks. </w:t>
      </w:r>
      <w:hyperlink r:id="rId57">
        <w:r>
          <w:rPr>
            <w:rStyle w:val="Hyperlink"/>
            <w:sz w:val="16"/>
          </w:rPr>
          <w:t>COM(2017) 63</w:t>
        </w:r>
      </w:hyperlink>
      <w:r>
        <w:rPr>
          <w:sz w:val="16"/>
        </w:rPr>
        <w:t xml:space="preserve">) </w:t>
      </w:r>
    </w:p>
  </w:footnote>
  <w:footnote w:id="92">
    <w:p>
      <w:pPr>
        <w:spacing w:after="0" w:line="240" w:lineRule="auto"/>
        <w:rPr>
          <w:rFonts w:eastAsia="Times New Roman" w:cs="Times New Roman"/>
          <w:sz w:val="16"/>
          <w:szCs w:val="16"/>
        </w:rPr>
      </w:pPr>
      <w:r>
        <w:rPr>
          <w:sz w:val="18"/>
          <w:szCs w:val="18"/>
          <w:vertAlign w:val="superscript"/>
        </w:rPr>
        <w:footnoteRef/>
      </w:r>
      <w:r>
        <w:rPr>
          <w:sz w:val="18"/>
          <w:szCs w:val="18"/>
          <w:vertAlign w:val="superscript"/>
          <w:lang w:val="en-GB"/>
        </w:rPr>
        <w:t xml:space="preserve"> </w:t>
      </w:r>
      <w:r>
        <w:rPr>
          <w:sz w:val="16"/>
          <w:lang w:val="en-GB"/>
        </w:rPr>
        <w:t xml:space="preserve">Euroopan komissio, tutkimushanke “Development of an assessment framework on environmental governance in EU Member States” (ks. </w:t>
      </w:r>
      <w:hyperlink r:id="rId58">
        <w:r>
          <w:rPr>
            <w:rStyle w:val="Hyperlink"/>
            <w:sz w:val="16"/>
          </w:rPr>
          <w:t>hankkeen kirjasto</w:t>
        </w:r>
      </w:hyperlink>
      <w:r>
        <w:rPr>
          <w:sz w:val="16"/>
        </w:rPr>
        <w:t>).</w:t>
      </w:r>
    </w:p>
  </w:footnote>
  <w:footnote w:id="93">
    <w:p>
      <w:pPr>
        <w:pStyle w:val="FootnoteText"/>
        <w:rPr>
          <w:rFonts w:eastAsia="Times New Roman" w:cs="Times New Roman"/>
          <w:sz w:val="16"/>
          <w:szCs w:val="16"/>
        </w:rPr>
      </w:pPr>
      <w:r>
        <w:rPr>
          <w:sz w:val="18"/>
          <w:szCs w:val="18"/>
          <w:vertAlign w:val="superscript"/>
        </w:rPr>
        <w:footnoteRef/>
      </w:r>
      <w:r>
        <w:rPr>
          <w:sz w:val="18"/>
          <w:szCs w:val="18"/>
          <w:vertAlign w:val="superscript"/>
        </w:rPr>
        <w:t xml:space="preserve"> </w:t>
      </w:r>
      <w:r>
        <w:rPr>
          <w:sz w:val="16"/>
        </w:rPr>
        <w:t xml:space="preserve">Ympäristövaatimusten noudattamisen ja ympäristöhallinnan foorumi, </w:t>
      </w:r>
      <w:hyperlink r:id="rId59">
        <w:r>
          <w:rPr>
            <w:rStyle w:val="Hyperlink"/>
            <w:sz w:val="16"/>
          </w:rPr>
          <w:t>verkkosivusto</w:t>
        </w:r>
      </w:hyperlink>
    </w:p>
  </w:footnote>
  <w:footnote w:id="94">
    <w:p>
      <w:pPr>
        <w:pStyle w:val="FootnoteText"/>
        <w:rPr>
          <w:rFonts w:eastAsia="Times New Roman" w:cs="Times New Roman"/>
          <w:sz w:val="16"/>
          <w:szCs w:val="16"/>
        </w:rPr>
      </w:pPr>
      <w:r>
        <w:rPr>
          <w:sz w:val="18"/>
          <w:szCs w:val="18"/>
          <w:vertAlign w:val="superscript"/>
        </w:rPr>
        <w:footnoteRef/>
      </w:r>
      <w:r>
        <w:rPr>
          <w:sz w:val="18"/>
          <w:szCs w:val="18"/>
          <w:vertAlign w:val="superscript"/>
        </w:rPr>
        <w:t xml:space="preserve"> </w:t>
      </w:r>
      <w:r>
        <w:rPr>
          <w:sz w:val="16"/>
        </w:rPr>
        <w:t xml:space="preserve">Euroopan komissio, </w:t>
      </w:r>
      <w:hyperlink r:id="rId60">
        <w:r>
          <w:rPr>
            <w:rStyle w:val="Hyperlink"/>
            <w:sz w:val="16"/>
          </w:rPr>
          <w:t>Greening the European Semester/EIR -asiantuntijaryhmä</w:t>
        </w:r>
      </w:hyperlink>
      <w:r>
        <w:rPr>
          <w:sz w:val="16"/>
        </w:rPr>
        <w:t>.</w:t>
      </w:r>
    </w:p>
  </w:footnote>
  <w:footnote w:id="95">
    <w:p>
      <w:pPr>
        <w:pStyle w:val="FootnoteText"/>
        <w:rPr>
          <w:rFonts w:eastAsia="Times New Roman" w:cs="Times New Roman"/>
          <w:sz w:val="16"/>
          <w:szCs w:val="16"/>
        </w:rPr>
      </w:pPr>
      <w:r>
        <w:rPr>
          <w:sz w:val="18"/>
          <w:szCs w:val="18"/>
          <w:vertAlign w:val="superscript"/>
        </w:rPr>
        <w:footnoteRef/>
      </w:r>
      <w:r>
        <w:rPr>
          <w:sz w:val="18"/>
          <w:szCs w:val="18"/>
          <w:vertAlign w:val="superscript"/>
        </w:rPr>
        <w:t xml:space="preserve"> </w:t>
      </w:r>
      <w:r>
        <w:rPr>
          <w:sz w:val="16"/>
        </w:rPr>
        <w:t xml:space="preserve">Euroopan komissio, </w:t>
      </w:r>
      <w:hyperlink r:id="rId61">
        <w:r>
          <w:rPr>
            <w:rStyle w:val="Hyperlink"/>
            <w:sz w:val="16"/>
          </w:rPr>
          <w:t>Århusin yleissopimus</w:t>
        </w:r>
      </w:hyperlink>
      <w:r>
        <w:rPr>
          <w:sz w:val="16"/>
        </w:rPr>
        <w:t>.</w:t>
      </w:r>
    </w:p>
  </w:footnote>
  <w:footnote w:id="96">
    <w:p>
      <w:pPr>
        <w:pStyle w:val="FootnoteText"/>
        <w:rPr>
          <w:rFonts w:eastAsia="Times New Roman" w:cs="Times New Roman"/>
          <w:sz w:val="16"/>
          <w:szCs w:val="16"/>
        </w:rPr>
      </w:pPr>
      <w:r>
        <w:rPr>
          <w:sz w:val="18"/>
          <w:szCs w:val="18"/>
          <w:vertAlign w:val="superscript"/>
        </w:rPr>
        <w:footnoteRef/>
      </w:r>
      <w:r>
        <w:rPr>
          <w:sz w:val="16"/>
        </w:rPr>
        <w:t xml:space="preserve"> </w:t>
      </w:r>
      <w:hyperlink r:id="rId62">
        <w:r>
          <w:rPr>
            <w:rStyle w:val="Hyperlink"/>
            <w:sz w:val="16"/>
          </w:rPr>
          <w:t>COM(2017) 2616</w:t>
        </w:r>
      </w:hyperlink>
      <w:r>
        <w:rPr>
          <w:sz w:val="16"/>
        </w:rPr>
        <w:t>.</w:t>
      </w:r>
    </w:p>
  </w:footnote>
  <w:footnote w:id="97">
    <w:p>
      <w:pPr>
        <w:pStyle w:val="FootnoteText"/>
        <w:rPr>
          <w:rFonts w:eastAsia="Times New Roman" w:cs="Times New Roman"/>
          <w:sz w:val="16"/>
          <w:szCs w:val="16"/>
        </w:rPr>
      </w:pPr>
      <w:r>
        <w:rPr>
          <w:sz w:val="18"/>
          <w:szCs w:val="18"/>
          <w:vertAlign w:val="superscript"/>
        </w:rPr>
        <w:footnoteRef/>
      </w:r>
      <w:r>
        <w:rPr>
          <w:sz w:val="16"/>
        </w:rPr>
        <w:t xml:space="preserve"> </w:t>
      </w:r>
      <w:hyperlink r:id="rId63">
        <w:r>
          <w:rPr>
            <w:rStyle w:val="Hyperlink"/>
            <w:sz w:val="16"/>
          </w:rPr>
          <w:t>COM(2018) 10</w:t>
        </w:r>
      </w:hyperlink>
      <w:r>
        <w:rPr>
          <w:sz w:val="16"/>
        </w:rPr>
        <w:t>.</w:t>
      </w:r>
    </w:p>
  </w:footnote>
  <w:footnote w:id="98">
    <w:p>
      <w:pPr>
        <w:pStyle w:val="FootnoteText"/>
        <w:rPr>
          <w:rFonts w:eastAsia="Times New Roman" w:cs="Times New Roman"/>
          <w:sz w:val="16"/>
          <w:szCs w:val="16"/>
        </w:rPr>
      </w:pPr>
      <w:r>
        <w:rPr>
          <w:sz w:val="18"/>
          <w:szCs w:val="18"/>
          <w:vertAlign w:val="superscript"/>
        </w:rPr>
        <w:footnoteRef/>
      </w:r>
      <w:r>
        <w:rPr>
          <w:sz w:val="18"/>
          <w:szCs w:val="18"/>
          <w:vertAlign w:val="superscript"/>
        </w:rPr>
        <w:t xml:space="preserve"> </w:t>
      </w:r>
      <w:hyperlink r:id="rId64">
        <w:r>
          <w:rPr>
            <w:rStyle w:val="Hyperlink"/>
            <w:sz w:val="16"/>
          </w:rPr>
          <w:t>Asetus (EU) 2018/1999</w:t>
        </w:r>
      </w:hyperlink>
      <w:r>
        <w:rPr>
          <w:sz w:val="16"/>
        </w:rPr>
        <w:t>.</w:t>
      </w:r>
    </w:p>
  </w:footnote>
  <w:footnote w:id="99">
    <w:p>
      <w:pPr>
        <w:pStyle w:val="FootnoteText"/>
        <w:rPr>
          <w:rFonts w:eastAsia="Times New Roman" w:cs="Times New Roman"/>
          <w:sz w:val="16"/>
          <w:szCs w:val="16"/>
        </w:rPr>
      </w:pPr>
      <w:r>
        <w:rPr>
          <w:sz w:val="18"/>
          <w:szCs w:val="18"/>
          <w:vertAlign w:val="superscript"/>
        </w:rPr>
        <w:footnoteRef/>
      </w:r>
      <w:r>
        <w:rPr>
          <w:sz w:val="16"/>
        </w:rPr>
        <w:t xml:space="preserve"> Euroopan unionin neuvosto, </w:t>
      </w:r>
      <w:hyperlink r:id="rId65">
        <w:r>
          <w:rPr>
            <w:rStyle w:val="Hyperlink"/>
            <w:sz w:val="16"/>
          </w:rPr>
          <w:t>Neuvoston päätelmät järjestäytyneen rikollisuuden ja vakavan kansainvälisen rikollisuuden torjuntaa koskevien EU:n prioriteettien asettamisesta vuosiksi 2018–2021</w:t>
        </w:r>
      </w:hyperlink>
      <w:r>
        <w:rPr>
          <w:sz w:val="16"/>
        </w:rPr>
        <w:t xml:space="preserve">. </w:t>
      </w:r>
    </w:p>
  </w:footnote>
  <w:footnote w:id="100">
    <w:p>
      <w:pPr>
        <w:pStyle w:val="FootnoteText"/>
        <w:rPr>
          <w:rFonts w:eastAsia="Times New Roman" w:cs="Times New Roman"/>
          <w:sz w:val="16"/>
          <w:szCs w:val="16"/>
        </w:rPr>
      </w:pPr>
      <w:r>
        <w:rPr>
          <w:sz w:val="18"/>
          <w:szCs w:val="18"/>
          <w:vertAlign w:val="superscript"/>
        </w:rPr>
        <w:footnoteRef/>
      </w:r>
      <w:r>
        <w:rPr>
          <w:sz w:val="18"/>
          <w:szCs w:val="18"/>
          <w:vertAlign w:val="superscript"/>
        </w:rPr>
        <w:t xml:space="preserve"> </w:t>
      </w:r>
      <w:hyperlink r:id="rId66">
        <w:r>
          <w:rPr>
            <w:rStyle w:val="Hyperlink"/>
            <w:sz w:val="16"/>
          </w:rPr>
          <w:t>Euroopan unionin verkko ympäristölainsäädännön voimaansaattamiseksi ja täytäntöönpanemiseksi</w:t>
        </w:r>
      </w:hyperlink>
      <w:r>
        <w:rPr>
          <w:sz w:val="16"/>
        </w:rPr>
        <w:t>.</w:t>
      </w:r>
    </w:p>
  </w:footnote>
  <w:footnote w:id="101">
    <w:p>
      <w:pPr>
        <w:pStyle w:val="FootnoteText"/>
        <w:rPr>
          <w:rFonts w:eastAsia="Times New Roman" w:cs="Times New Roman"/>
          <w:sz w:val="16"/>
          <w:szCs w:val="16"/>
        </w:rPr>
      </w:pPr>
      <w:r>
        <w:rPr>
          <w:sz w:val="18"/>
          <w:szCs w:val="18"/>
          <w:vertAlign w:val="superscript"/>
        </w:rPr>
        <w:footnoteRef/>
      </w:r>
      <w:r>
        <w:rPr>
          <w:sz w:val="16"/>
        </w:rPr>
        <w:t xml:space="preserve"> Esimerkiksi </w:t>
      </w:r>
      <w:hyperlink r:id="rId67">
        <w:r>
          <w:rPr>
            <w:rStyle w:val="Hyperlink"/>
            <w:sz w:val="16"/>
          </w:rPr>
          <w:t>Sähköisen hallinnon toimintasuunnitelma</w:t>
        </w:r>
      </w:hyperlink>
      <w:r>
        <w:rPr>
          <w:sz w:val="16"/>
        </w:rPr>
        <w:t xml:space="preserve">, </w:t>
      </w:r>
      <w:hyperlink r:id="rId68">
        <w:r>
          <w:rPr>
            <w:rStyle w:val="Hyperlink"/>
            <w:sz w:val="16"/>
          </w:rPr>
          <w:t>Ympäristövaatimusten noudattamisen ja ympäristöhallinnan toimintasuunnitelma</w:t>
        </w:r>
      </w:hyperlink>
      <w:r>
        <w:rPr>
          <w:sz w:val="16"/>
        </w:rPr>
        <w:t xml:space="preserve"> ja </w:t>
      </w:r>
      <w:hyperlink r:id="rId69">
        <w:r>
          <w:rPr>
            <w:rStyle w:val="Hyperlink"/>
            <w:sz w:val="16"/>
          </w:rPr>
          <w:t>Julkishallinnon laatua koskeva käsikirja</w:t>
        </w:r>
      </w:hyperlink>
      <w:r>
        <w:rPr>
          <w:sz w:val="16"/>
        </w:rPr>
        <w:t xml:space="preserve"> </w:t>
      </w:r>
    </w:p>
  </w:footnote>
  <w:footnote w:id="102">
    <w:p>
      <w:pPr>
        <w:pStyle w:val="FootnoteText"/>
        <w:rPr>
          <w:rFonts w:eastAsia="Times New Roman" w:cs="Times New Roman"/>
          <w:sz w:val="16"/>
          <w:szCs w:val="16"/>
        </w:rPr>
      </w:pPr>
      <w:r>
        <w:rPr>
          <w:sz w:val="18"/>
          <w:szCs w:val="18"/>
          <w:vertAlign w:val="superscript"/>
        </w:rPr>
        <w:footnoteRef/>
      </w:r>
      <w:r>
        <w:rPr>
          <w:sz w:val="18"/>
          <w:szCs w:val="18"/>
          <w:vertAlign w:val="superscript"/>
        </w:rPr>
        <w:t xml:space="preserve"> </w:t>
      </w:r>
      <w:r>
        <w:rPr>
          <w:sz w:val="16"/>
        </w:rPr>
        <w:t>INSPIRE: Euroopan yhteisön paikkatietoinfrastruktuuri.</w:t>
      </w:r>
    </w:p>
  </w:footnote>
  <w:footnote w:id="103">
    <w:p>
      <w:pPr>
        <w:pStyle w:val="FootnoteText"/>
        <w:rPr>
          <w:rFonts w:eastAsia="Times New Roman" w:cs="Times New Roman"/>
          <w:sz w:val="16"/>
          <w:szCs w:val="16"/>
        </w:rPr>
      </w:pPr>
      <w:r>
        <w:rPr>
          <w:sz w:val="18"/>
          <w:szCs w:val="18"/>
          <w:vertAlign w:val="superscript"/>
        </w:rPr>
        <w:footnoteRef/>
      </w:r>
      <w:r>
        <w:rPr>
          <w:sz w:val="16"/>
        </w:rPr>
        <w:t xml:space="preserve"> </w:t>
      </w:r>
      <w:hyperlink r:id="rId70">
        <w:r>
          <w:rPr>
            <w:rStyle w:val="Hyperlink"/>
            <w:sz w:val="16"/>
          </w:rPr>
          <w:t>Direktiivi 2007/2/EY</w:t>
        </w:r>
      </w:hyperlink>
      <w:r>
        <w:rPr>
          <w:sz w:val="16"/>
        </w:rPr>
        <w:t xml:space="preserve">, </w:t>
      </w:r>
      <w:hyperlink r:id="rId71">
        <w:r>
          <w:rPr>
            <w:rStyle w:val="Hyperlink"/>
            <w:sz w:val="16"/>
          </w:rPr>
          <w:t>direktiivi 2003/4/EY</w:t>
        </w:r>
      </w:hyperlink>
      <w:r>
        <w:rPr>
          <w:sz w:val="16"/>
        </w:rPr>
        <w:t xml:space="preserve">, </w:t>
      </w:r>
      <w:hyperlink r:id="rId72">
        <w:r>
          <w:rPr>
            <w:rStyle w:val="Hyperlink"/>
            <w:sz w:val="16"/>
          </w:rPr>
          <w:t>direktiivi 2013/37/EU</w:t>
        </w:r>
      </w:hyperlink>
      <w:r>
        <w:rPr>
          <w:sz w:val="16"/>
        </w:rPr>
        <w:t xml:space="preserve">. Käynnissä olevassa erityisessä hankkeessa analysoidaan tarkemmin kansallisia ympäristötietojärjestelmiä ja valmistellaan hyviin käytäntöihin liittyviä ohjeita. </w:t>
      </w:r>
      <w:r>
        <w:t>Euroopan komissio</w:t>
      </w:r>
      <w:r>
        <w:rPr>
          <w:sz w:val="16"/>
        </w:rPr>
        <w:t xml:space="preserve">, </w:t>
      </w:r>
      <w:hyperlink r:id="rId73">
        <w:r>
          <w:rPr>
            <w:rStyle w:val="Hyperlink"/>
            <w:sz w:val="16"/>
          </w:rPr>
          <w:t>EIS Data</w:t>
        </w:r>
      </w:hyperlink>
      <w:r>
        <w:rPr>
          <w:sz w:val="16"/>
        </w:rPr>
        <w:t xml:space="preserve">. </w:t>
      </w:r>
    </w:p>
  </w:footnote>
  <w:footnote w:id="104">
    <w:p>
      <w:pPr>
        <w:pStyle w:val="FootnoteText"/>
        <w:rPr>
          <w:rFonts w:eastAsia="Times New Roman" w:cs="Times New Roman"/>
          <w:sz w:val="16"/>
          <w:szCs w:val="16"/>
        </w:rPr>
      </w:pPr>
      <w:r>
        <w:rPr>
          <w:sz w:val="18"/>
          <w:szCs w:val="18"/>
          <w:vertAlign w:val="superscript"/>
        </w:rPr>
        <w:footnoteRef/>
      </w:r>
      <w:r>
        <w:rPr>
          <w:sz w:val="16"/>
        </w:rPr>
        <w:t xml:space="preserve"> Bulgaria, Irlanti, Kroatia, Kypros, Liettua, Luxemburg, Malta, Puola, Romania, Suomi ja Unkari.</w:t>
      </w:r>
    </w:p>
  </w:footnote>
  <w:footnote w:id="105">
    <w:p>
      <w:pPr>
        <w:pStyle w:val="FootnoteText"/>
        <w:rPr>
          <w:rFonts w:eastAsia="Times New Roman" w:cs="Times New Roman"/>
          <w:sz w:val="16"/>
          <w:szCs w:val="16"/>
        </w:rPr>
      </w:pPr>
      <w:r>
        <w:rPr>
          <w:sz w:val="18"/>
          <w:szCs w:val="18"/>
          <w:vertAlign w:val="superscript"/>
        </w:rPr>
        <w:footnoteRef/>
      </w:r>
      <w:r>
        <w:rPr>
          <w:sz w:val="18"/>
          <w:szCs w:val="18"/>
          <w:vertAlign w:val="superscript"/>
        </w:rPr>
        <w:t xml:space="preserve"> </w:t>
      </w:r>
      <w:r>
        <w:rPr>
          <w:sz w:val="16"/>
        </w:rPr>
        <w:t>Alankomaat, Belgia, Bulgaria, Irlanti, Italia, Itävalta, Kreikka, Kroatia, Kypros, Latvia, Liettua, Luxemburg, Malta, Puola, Ranska, Romania, Ruotsi, Saksa, Slovakia, Slovenia, Suomi, Tanska, Tšekki, Unkari, Viro ja Yhdistynyt kuningaskunta.</w:t>
      </w:r>
    </w:p>
  </w:footnote>
  <w:footnote w:id="106">
    <w:p>
      <w:pPr>
        <w:pStyle w:val="FootnoteText"/>
        <w:rPr>
          <w:rFonts w:eastAsia="Times New Roman" w:cs="Times New Roman"/>
          <w:sz w:val="16"/>
          <w:szCs w:val="16"/>
        </w:rPr>
      </w:pPr>
      <w:r>
        <w:rPr>
          <w:sz w:val="18"/>
          <w:szCs w:val="18"/>
          <w:vertAlign w:val="superscript"/>
        </w:rPr>
        <w:footnoteRef/>
      </w:r>
      <w:r>
        <w:rPr>
          <w:sz w:val="16"/>
        </w:rPr>
        <w:t xml:space="preserve"> </w:t>
      </w:r>
      <w:hyperlink r:id="rId74">
        <w:r>
          <w:rPr>
            <w:rStyle w:val="Hyperlink"/>
            <w:sz w:val="16"/>
          </w:rPr>
          <w:t>Seitsemäs ympäristöä koskeva toimintaohjelma 2014–2020</w:t>
        </w:r>
      </w:hyperlink>
      <w:r>
        <w:rPr>
          <w:sz w:val="16"/>
        </w:rPr>
        <w:t xml:space="preserve">. </w:t>
      </w:r>
    </w:p>
  </w:footnote>
  <w:footnote w:id="107">
    <w:p>
      <w:pPr>
        <w:pStyle w:val="FootnoteText"/>
        <w:rPr>
          <w:sz w:val="16"/>
          <w:szCs w:val="16"/>
        </w:rPr>
      </w:pPr>
      <w:r>
        <w:rPr>
          <w:sz w:val="18"/>
          <w:szCs w:val="18"/>
          <w:vertAlign w:val="superscript"/>
        </w:rPr>
        <w:footnoteRef/>
      </w:r>
      <w:r>
        <w:rPr>
          <w:sz w:val="16"/>
        </w:rPr>
        <w:t xml:space="preserve"> </w:t>
      </w:r>
      <w:hyperlink r:id="rId75">
        <w:r>
          <w:rPr>
            <w:rStyle w:val="Hyperlink"/>
            <w:sz w:val="16"/>
          </w:rPr>
          <w:t>COM(2015) 614</w:t>
        </w:r>
      </w:hyperlink>
      <w:r>
        <w:rPr>
          <w:rStyle w:val="Hyperlink"/>
          <w:sz w:val="16"/>
        </w:rPr>
        <w:t xml:space="preserve"> </w:t>
      </w:r>
    </w:p>
  </w:footnote>
  <w:footnote w:id="108">
    <w:p>
      <w:pPr>
        <w:pStyle w:val="FootnoteText"/>
        <w:rPr>
          <w:rFonts w:eastAsia="Times New Roman" w:cs="Times New Roman"/>
          <w:sz w:val="16"/>
          <w:szCs w:val="16"/>
          <w:lang w:val="en-GB"/>
        </w:rPr>
      </w:pPr>
      <w:r>
        <w:rPr>
          <w:sz w:val="18"/>
          <w:szCs w:val="18"/>
          <w:vertAlign w:val="superscript"/>
        </w:rPr>
        <w:footnoteRef/>
      </w:r>
      <w:r>
        <w:rPr>
          <w:sz w:val="16"/>
          <w:lang w:val="en-GB"/>
        </w:rPr>
        <w:t xml:space="preserve"> Euroopan komissio, 2017. </w:t>
      </w:r>
      <w:hyperlink r:id="rId76">
        <w:r>
          <w:rPr>
            <w:rStyle w:val="Hyperlink"/>
            <w:sz w:val="16"/>
            <w:lang w:val="en-GB"/>
          </w:rPr>
          <w:t>Agriculture and Sustainable Water Management in the EU</w:t>
        </w:r>
      </w:hyperlink>
      <w:r>
        <w:rPr>
          <w:sz w:val="16"/>
          <w:lang w:val="en-GB"/>
        </w:rPr>
        <w:t xml:space="preserve">. </w:t>
      </w:r>
    </w:p>
  </w:footnote>
  <w:footnote w:id="109">
    <w:p>
      <w:pPr>
        <w:pStyle w:val="FootnoteText"/>
        <w:rPr>
          <w:rFonts w:eastAsia="Times New Roman" w:cs="Times New Roman"/>
          <w:sz w:val="16"/>
          <w:szCs w:val="16"/>
        </w:rPr>
      </w:pPr>
      <w:r>
        <w:rPr>
          <w:sz w:val="16"/>
          <w:vertAlign w:val="superscript"/>
        </w:rPr>
        <w:footnoteRef/>
      </w:r>
      <w:r>
        <w:rPr>
          <w:sz w:val="16"/>
        </w:rPr>
        <w:t xml:space="preserve"> Espanja, Italia ja Kreikka.</w:t>
      </w:r>
    </w:p>
  </w:footnote>
  <w:footnote w:id="110">
    <w:p>
      <w:pPr>
        <w:pStyle w:val="FootnoteText"/>
        <w:rPr>
          <w:rFonts w:eastAsia="Times New Roman" w:cs="Times New Roman"/>
          <w:sz w:val="16"/>
          <w:szCs w:val="16"/>
        </w:rPr>
      </w:pPr>
      <w:r>
        <w:rPr>
          <w:sz w:val="16"/>
          <w:vertAlign w:val="superscript"/>
        </w:rPr>
        <w:footnoteRef/>
      </w:r>
      <w:r>
        <w:rPr>
          <w:sz w:val="16"/>
        </w:rPr>
        <w:t xml:space="preserve"> Liettua ja Saksa.</w:t>
      </w:r>
    </w:p>
  </w:footnote>
  <w:footnote w:id="111">
    <w:p>
      <w:pPr>
        <w:pStyle w:val="FootnoteText"/>
        <w:rPr>
          <w:rFonts w:eastAsia="Times New Roman" w:cs="Times New Roman"/>
          <w:sz w:val="16"/>
          <w:szCs w:val="16"/>
          <w:lang w:val="en-GB"/>
        </w:rPr>
      </w:pPr>
      <w:r>
        <w:rPr>
          <w:sz w:val="18"/>
          <w:szCs w:val="18"/>
          <w:vertAlign w:val="superscript"/>
        </w:rPr>
        <w:footnoteRef/>
      </w:r>
      <w:r>
        <w:rPr>
          <w:sz w:val="16"/>
          <w:lang w:val="en-GB"/>
        </w:rPr>
        <w:t xml:space="preserve"> Euroopan ympäristökeskus, 2015. </w:t>
      </w:r>
      <w:hyperlink r:id="rId77">
        <w:r>
          <w:rPr>
            <w:rStyle w:val="Hyperlink"/>
            <w:sz w:val="16"/>
            <w:lang w:val="en-GB"/>
          </w:rPr>
          <w:t>Report on the State of the Environment</w:t>
        </w:r>
      </w:hyperlink>
      <w:r>
        <w:rPr>
          <w:sz w:val="16"/>
          <w:lang w:val="en-GB"/>
        </w:rPr>
        <w:t>.</w:t>
      </w:r>
    </w:p>
  </w:footnote>
  <w:footnote w:id="112">
    <w:p>
      <w:pPr>
        <w:pStyle w:val="FootnoteText"/>
        <w:rPr>
          <w:sz w:val="16"/>
          <w:szCs w:val="16"/>
        </w:rPr>
      </w:pPr>
      <w:r>
        <w:rPr>
          <w:sz w:val="18"/>
          <w:szCs w:val="18"/>
          <w:vertAlign w:val="superscript"/>
        </w:rPr>
        <w:footnoteRef/>
      </w:r>
      <w:r>
        <w:rPr>
          <w:sz w:val="18"/>
          <w:szCs w:val="18"/>
          <w:vertAlign w:val="superscript"/>
        </w:rPr>
        <w:t xml:space="preserve"> </w:t>
      </w:r>
      <w:r>
        <w:rPr>
          <w:sz w:val="16"/>
        </w:rPr>
        <w:t xml:space="preserve">Euroopan ympäristökeskus, </w:t>
      </w:r>
      <w:hyperlink r:id="rId78">
        <w:r>
          <w:rPr>
            <w:rStyle w:val="Hyperlink"/>
            <w:sz w:val="16"/>
          </w:rPr>
          <w:t>Environmental Indicator Report 2018</w:t>
        </w:r>
      </w:hyperlink>
      <w:r>
        <w:rPr>
          <w:sz w:val="16"/>
        </w:rPr>
        <w:t xml:space="preserve">. </w:t>
      </w:r>
    </w:p>
  </w:footnote>
  <w:footnote w:id="113">
    <w:p>
      <w:pPr>
        <w:pStyle w:val="FootnoteText"/>
        <w:rPr>
          <w:rFonts w:eastAsia="Times New Roman" w:cs="Times New Roman"/>
          <w:sz w:val="16"/>
          <w:szCs w:val="16"/>
        </w:rPr>
      </w:pPr>
      <w:r>
        <w:rPr>
          <w:sz w:val="18"/>
          <w:szCs w:val="18"/>
          <w:vertAlign w:val="superscript"/>
        </w:rPr>
        <w:footnoteRef/>
      </w:r>
      <w:r>
        <w:rPr>
          <w:sz w:val="18"/>
          <w:szCs w:val="18"/>
          <w:vertAlign w:val="superscript"/>
        </w:rPr>
        <w:t xml:space="preserve"> </w:t>
      </w:r>
      <w:r>
        <w:t xml:space="preserve">Politiikanalojen välisiin yhteyksiin perustuvassa lähestymistavassa, johon viitataan komission tiedonannossa ”Seuraavat toimet Euroopan kestävän tulevaisuuden varmistamiseksi”, </w:t>
      </w:r>
      <w:hyperlink r:id="rId79">
        <w:r>
          <w:rPr>
            <w:rStyle w:val="Hyperlink"/>
            <w:sz w:val="16"/>
          </w:rPr>
          <w:t>COM(2016) 739</w:t>
        </w:r>
      </w:hyperlink>
      <w:r>
        <w:rPr>
          <w:sz w:val="16"/>
        </w:rPr>
        <w:t xml:space="preserve">, tarkastellaan eri haasteiden välisiä kytköksiä ja riippuvuussuhteita. </w:t>
      </w:r>
    </w:p>
  </w:footnote>
  <w:footnote w:id="114">
    <w:p>
      <w:pPr>
        <w:pStyle w:val="FootnoteText"/>
        <w:rPr>
          <w:sz w:val="16"/>
          <w:szCs w:val="16"/>
          <w:lang w:val="en-GB"/>
        </w:rPr>
      </w:pPr>
      <w:r>
        <w:rPr>
          <w:sz w:val="18"/>
          <w:szCs w:val="18"/>
          <w:vertAlign w:val="superscript"/>
        </w:rPr>
        <w:footnoteRef/>
      </w:r>
      <w:r>
        <w:rPr>
          <w:sz w:val="18"/>
          <w:szCs w:val="18"/>
          <w:vertAlign w:val="superscript"/>
          <w:lang w:val="en-GB"/>
        </w:rPr>
        <w:t xml:space="preserve"> </w:t>
      </w:r>
      <w:r>
        <w:rPr>
          <w:sz w:val="16"/>
          <w:lang w:val="en-GB"/>
        </w:rPr>
        <w:t>Esimerkiksi ”</w:t>
      </w:r>
      <w:hyperlink r:id="rId80">
        <w:r>
          <w:rPr>
            <w:rStyle w:val="Hyperlink"/>
            <w:sz w:val="16"/>
            <w:lang w:val="en-GB"/>
          </w:rPr>
          <w:t>Quality of Public Administration - A Toolbox for Practitioners</w:t>
        </w:r>
      </w:hyperlink>
      <w:r>
        <w:rPr>
          <w:sz w:val="16"/>
          <w:lang w:val="en-GB"/>
        </w:rPr>
        <w:t>” ja selvitys ”</w:t>
      </w:r>
      <w:hyperlink r:id="rId81">
        <w:r>
          <w:rPr>
            <w:rStyle w:val="Hyperlink"/>
            <w:sz w:val="16"/>
            <w:lang w:val="en-GB"/>
          </w:rPr>
          <w:t>Public administration characteristics and performance in EU28</w:t>
        </w:r>
      </w:hyperlink>
      <w:r>
        <w:rPr>
          <w:sz w:val="16"/>
          <w:lang w:val="en-GB"/>
        </w:rPr>
        <w:t xml:space="preserve">”. </w:t>
      </w:r>
    </w:p>
  </w:footnote>
  <w:footnote w:id="115">
    <w:p>
      <w:pPr>
        <w:pStyle w:val="FootnoteText"/>
        <w:rPr>
          <w:sz w:val="16"/>
          <w:szCs w:val="16"/>
        </w:rPr>
      </w:pPr>
      <w:r>
        <w:rPr>
          <w:sz w:val="18"/>
          <w:szCs w:val="18"/>
          <w:vertAlign w:val="superscript"/>
        </w:rPr>
        <w:footnoteRef/>
      </w:r>
      <w:r>
        <w:rPr>
          <w:sz w:val="16"/>
        </w:rPr>
        <w:t xml:space="preserve"> Euroopan komissio, </w:t>
      </w:r>
      <w:hyperlink r:id="rId82">
        <w:r>
          <w:rPr>
            <w:rStyle w:val="Hyperlink"/>
            <w:sz w:val="16"/>
          </w:rPr>
          <w:t>EU:n avoimen datan portaali</w:t>
        </w:r>
      </w:hyperlink>
      <w:r>
        <w:rPr>
          <w:sz w:val="16"/>
        </w:rPr>
        <w:t>.</w:t>
      </w:r>
    </w:p>
  </w:footnote>
  <w:footnote w:id="116">
    <w:p>
      <w:pPr>
        <w:pStyle w:val="FootnoteText"/>
        <w:rPr>
          <w:rFonts w:eastAsia="Times New Roman" w:cs="Times New Roman"/>
          <w:sz w:val="16"/>
          <w:szCs w:val="16"/>
          <w:lang w:val="pt-PT"/>
        </w:rPr>
      </w:pPr>
      <w:r>
        <w:rPr>
          <w:sz w:val="18"/>
          <w:szCs w:val="18"/>
          <w:vertAlign w:val="superscript"/>
        </w:rPr>
        <w:footnoteRef/>
      </w:r>
      <w:r>
        <w:rPr>
          <w:sz w:val="16"/>
          <w:lang w:val="pt-PT"/>
        </w:rPr>
        <w:t xml:space="preserve"> </w:t>
      </w:r>
      <w:hyperlink r:id="rId83">
        <w:r>
          <w:rPr>
            <w:rStyle w:val="Hyperlink"/>
            <w:sz w:val="16"/>
            <w:lang w:val="pt-PT"/>
          </w:rPr>
          <w:t>COM(2018) 330</w:t>
        </w:r>
      </w:hyperlink>
      <w:r>
        <w:rPr>
          <w:sz w:val="16"/>
          <w:lang w:val="pt-PT"/>
        </w:rPr>
        <w:t>.</w:t>
      </w:r>
    </w:p>
  </w:footnote>
  <w:footnote w:id="117">
    <w:p>
      <w:pPr>
        <w:pStyle w:val="FootnoteText"/>
        <w:rPr>
          <w:rFonts w:eastAsia="Times New Roman" w:cs="Times New Roman"/>
          <w:sz w:val="16"/>
          <w:szCs w:val="16"/>
          <w:lang w:val="pt-PT"/>
        </w:rPr>
      </w:pPr>
      <w:r>
        <w:rPr>
          <w:sz w:val="18"/>
          <w:szCs w:val="18"/>
          <w:vertAlign w:val="superscript"/>
        </w:rPr>
        <w:footnoteRef/>
      </w:r>
      <w:r>
        <w:rPr>
          <w:sz w:val="16"/>
          <w:lang w:val="pt-PT"/>
        </w:rPr>
        <w:t xml:space="preserve"> </w:t>
      </w:r>
      <w:hyperlink r:id="rId84">
        <w:r>
          <w:rPr>
            <w:rStyle w:val="Hyperlink"/>
            <w:sz w:val="16"/>
            <w:lang w:val="pt-PT"/>
          </w:rPr>
          <w:t>SWD(2017) 153</w:t>
        </w:r>
      </w:hyperlink>
      <w:r>
        <w:rPr>
          <w:sz w:val="16"/>
          <w:lang w:val="pt-PT"/>
        </w:rPr>
        <w:t xml:space="preserve">. </w:t>
      </w:r>
    </w:p>
  </w:footnote>
  <w:footnote w:id="118">
    <w:p>
      <w:pPr>
        <w:pStyle w:val="Default"/>
        <w:ind w:left="142" w:hanging="142"/>
        <w:rPr>
          <w:rFonts w:ascii="Times New Roman" w:eastAsia="Times New Roman" w:hAnsi="Times New Roman" w:cs="Times New Roman"/>
          <w:sz w:val="16"/>
          <w:szCs w:val="16"/>
          <w:lang w:val="pt-PT"/>
        </w:rPr>
      </w:pPr>
      <w:r>
        <w:rPr>
          <w:rFonts w:ascii="Times New Roman" w:hAnsi="Times New Roman"/>
          <w:sz w:val="18"/>
          <w:szCs w:val="18"/>
          <w:vertAlign w:val="superscript"/>
        </w:rPr>
        <w:footnoteRef/>
      </w:r>
      <w:r>
        <w:rPr>
          <w:rFonts w:ascii="Times New Roman" w:hAnsi="Times New Roman"/>
          <w:sz w:val="16"/>
          <w:lang w:val="pt-PT"/>
        </w:rPr>
        <w:t xml:space="preserve"> </w:t>
      </w:r>
      <w:hyperlink r:id="rId85">
        <w:r>
          <w:rPr>
            <w:rStyle w:val="Hyperlink"/>
            <w:rFonts w:ascii="Times New Roman" w:hAnsi="Times New Roman"/>
            <w:sz w:val="16"/>
            <w:lang w:val="pt-PT"/>
          </w:rPr>
          <w:t>COM(2017) 198</w:t>
        </w:r>
      </w:hyperlink>
      <w:r>
        <w:rPr>
          <w:rFonts w:ascii="Times New Roman" w:hAnsi="Times New Roman"/>
          <w:sz w:val="16"/>
          <w:lang w:val="pt-PT"/>
        </w:rPr>
        <w:t xml:space="preserve"> </w:t>
      </w:r>
      <w:r>
        <w:rPr>
          <w:rStyle w:val="Hyperlink"/>
          <w:rFonts w:ascii="Times New Roman" w:hAnsi="Times New Roman"/>
          <w:color w:val="auto"/>
          <w:sz w:val="16"/>
          <w:u w:val="none"/>
          <w:lang w:val="pt-PT"/>
        </w:rPr>
        <w:t>ja</w:t>
      </w:r>
      <w:r>
        <w:rPr>
          <w:rStyle w:val="Hyperlink"/>
          <w:rFonts w:ascii="Times New Roman" w:hAnsi="Times New Roman"/>
          <w:color w:val="auto"/>
          <w:sz w:val="16"/>
          <w:lang w:val="pt-PT"/>
        </w:rPr>
        <w:t xml:space="preserve"> </w:t>
      </w:r>
      <w:hyperlink r:id="rId86">
        <w:r>
          <w:rPr>
            <w:rStyle w:val="Hyperlink"/>
            <w:rFonts w:ascii="Times New Roman" w:hAnsi="Times New Roman"/>
            <w:sz w:val="16"/>
            <w:lang w:val="pt-PT"/>
          </w:rPr>
          <w:t>SWD(2017) 139</w:t>
        </w:r>
      </w:hyperlink>
      <w:r>
        <w:rPr>
          <w:rFonts w:ascii="Times New Roman" w:hAnsi="Times New Roman"/>
          <w:sz w:val="16"/>
          <w:lang w:val="pt-PT"/>
        </w:rPr>
        <w:t>.</w:t>
      </w:r>
    </w:p>
  </w:footnote>
  <w:footnote w:id="119">
    <w:p>
      <w:pPr>
        <w:pStyle w:val="FootnoteText"/>
        <w:rPr>
          <w:rFonts w:eastAsia="Times New Roman" w:cs="Times New Roman"/>
          <w:sz w:val="16"/>
          <w:szCs w:val="16"/>
          <w:lang w:val="en-GB"/>
        </w:rPr>
      </w:pPr>
      <w:r>
        <w:rPr>
          <w:sz w:val="18"/>
          <w:szCs w:val="18"/>
          <w:vertAlign w:val="superscript"/>
        </w:rPr>
        <w:footnoteRef/>
      </w:r>
      <w:r>
        <w:rPr>
          <w:sz w:val="18"/>
          <w:szCs w:val="18"/>
          <w:vertAlign w:val="superscript"/>
          <w:lang w:val="en-GB"/>
        </w:rPr>
        <w:t xml:space="preserve"> </w:t>
      </w:r>
      <w:r>
        <w:rPr>
          <w:lang w:val="en-GB"/>
        </w:rPr>
        <w:t>Euroopan komissio</w:t>
      </w:r>
      <w:r>
        <w:rPr>
          <w:sz w:val="16"/>
          <w:lang w:val="en-GB"/>
        </w:rPr>
        <w:t xml:space="preserve">, </w:t>
      </w:r>
      <w:hyperlink r:id="rId87">
        <w:r>
          <w:rPr>
            <w:rStyle w:val="Hyperlink"/>
            <w:sz w:val="16"/>
            <w:lang w:val="en-GB"/>
          </w:rPr>
          <w:t>Report on the implementation of waste legislation, including the early warning report</w:t>
        </w:r>
      </w:hyperlink>
      <w:r>
        <w:rPr>
          <w:sz w:val="16"/>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0278"/>
    <w:multiLevelType w:val="hybridMultilevel"/>
    <w:tmpl w:val="D4F4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C05162"/>
    <w:multiLevelType w:val="hybridMultilevel"/>
    <w:tmpl w:val="BDAE5EE4"/>
    <w:lvl w:ilvl="0" w:tplc="BB24E05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442E9"/>
    <w:multiLevelType w:val="hybridMultilevel"/>
    <w:tmpl w:val="34700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9B611B"/>
    <w:multiLevelType w:val="hybridMultilevel"/>
    <w:tmpl w:val="7826A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2F4EE0"/>
    <w:multiLevelType w:val="hybridMultilevel"/>
    <w:tmpl w:val="84EE3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62669F"/>
    <w:multiLevelType w:val="multilevel"/>
    <w:tmpl w:val="64F0E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EB2B87"/>
    <w:multiLevelType w:val="hybridMultilevel"/>
    <w:tmpl w:val="1672908A"/>
    <w:lvl w:ilvl="0" w:tplc="D4F4158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7A6E2F"/>
    <w:multiLevelType w:val="multilevel"/>
    <w:tmpl w:val="E954C2A2"/>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EE20077"/>
    <w:multiLevelType w:val="hybridMultilevel"/>
    <w:tmpl w:val="23B4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293CE3"/>
    <w:multiLevelType w:val="multilevel"/>
    <w:tmpl w:val="8D7C4D2A"/>
    <w:lvl w:ilvl="0">
      <w:start w:val="1"/>
      <w:numFmt w:val="decimal"/>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FCF503B"/>
    <w:multiLevelType w:val="hybridMultilevel"/>
    <w:tmpl w:val="6EB4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B718EA"/>
    <w:multiLevelType w:val="hybridMultilevel"/>
    <w:tmpl w:val="1FDE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12053C"/>
    <w:multiLevelType w:val="hybridMultilevel"/>
    <w:tmpl w:val="837CC254"/>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nsid w:val="3AF87101"/>
    <w:multiLevelType w:val="hybridMultilevel"/>
    <w:tmpl w:val="98C66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077000"/>
    <w:multiLevelType w:val="hybridMultilevel"/>
    <w:tmpl w:val="1E90F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7D588C"/>
    <w:multiLevelType w:val="hybridMultilevel"/>
    <w:tmpl w:val="80AC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0372BC"/>
    <w:multiLevelType w:val="hybridMultilevel"/>
    <w:tmpl w:val="F03A9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25C69AC"/>
    <w:multiLevelType w:val="hybridMultilevel"/>
    <w:tmpl w:val="66624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2A67A5A"/>
    <w:multiLevelType w:val="hybridMultilevel"/>
    <w:tmpl w:val="4454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D80502F"/>
    <w:multiLevelType w:val="multilevel"/>
    <w:tmpl w:val="53D6A3A8"/>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E336C05"/>
    <w:multiLevelType w:val="hybridMultilevel"/>
    <w:tmpl w:val="22A46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7D0266F"/>
    <w:multiLevelType w:val="hybridMultilevel"/>
    <w:tmpl w:val="3800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0"/>
  </w:num>
  <w:num w:numId="4">
    <w:abstractNumId w:val="11"/>
  </w:num>
  <w:num w:numId="5">
    <w:abstractNumId w:val="19"/>
  </w:num>
  <w:num w:numId="6">
    <w:abstractNumId w:val="8"/>
  </w:num>
  <w:num w:numId="7">
    <w:abstractNumId w:val="0"/>
  </w:num>
  <w:num w:numId="8">
    <w:abstractNumId w:val="10"/>
  </w:num>
  <w:num w:numId="9">
    <w:abstractNumId w:val="12"/>
  </w:num>
  <w:num w:numId="10">
    <w:abstractNumId w:val="5"/>
  </w:num>
  <w:num w:numId="11">
    <w:abstractNumId w:val="1"/>
  </w:num>
  <w:num w:numId="12">
    <w:abstractNumId w:val="3"/>
  </w:num>
  <w:num w:numId="13">
    <w:abstractNumId w:val="14"/>
  </w:num>
  <w:num w:numId="14">
    <w:abstractNumId w:val="17"/>
  </w:num>
  <w:num w:numId="15">
    <w:abstractNumId w:val="9"/>
  </w:num>
  <w:num w:numId="16">
    <w:abstractNumId w:val="9"/>
  </w:num>
  <w:num w:numId="17">
    <w:abstractNumId w:val="9"/>
  </w:num>
  <w:num w:numId="18">
    <w:abstractNumId w:val="7"/>
  </w:num>
  <w:num w:numId="19">
    <w:abstractNumId w:val="15"/>
  </w:num>
  <w:num w:numId="20">
    <w:abstractNumId w:val="2"/>
  </w:num>
  <w:num w:numId="21">
    <w:abstractNumId w:val="16"/>
  </w:num>
  <w:num w:numId="22">
    <w:abstractNumId w:val="21"/>
  </w:num>
  <w:num w:numId="23">
    <w:abstractNumId w:val="18"/>
  </w:num>
  <w:num w:numId="24">
    <w:abstractNumId w:val="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pt-PT" w:vendorID="64" w:dllVersion="131078" w:nlCheck="1" w:checkStyle="0"/>
  <w:activeWritingStyle w:appName="MSWord" w:lang="en-IE" w:vendorID="64" w:dllVersion="131078" w:nlCheck="1" w:checkStyle="1"/>
  <w:revisionView w:markup="0"/>
  <w:doNotTrackFormatting/>
  <w:defaultTabStop w:val="720"/>
  <w:characterSpacingControl w:val="doNotCompress"/>
  <w:hdrShapeDefaults>
    <o:shapedefaults v:ext="edit" spidmax="134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1DD4CC4-C7B1-49B2-ABFA-F8F052F7508A"/>
    <w:docVar w:name="LW_COVERPAGE_TYPE" w:val="1"/>
    <w:docVar w:name="LW_CROSSREFERENCE" w:val="{SWD(2019) 111 final} - {SWD(2019) 112 final} - {SWD(2019) 113 final} - {SWD(2019) 114 final} - {SWD(2019) 115 final} - {SWD(2019) 116 final} - {SWD(2019) 117 final} - {SWD(2019) 118 final} - {SWD(2019) 119 final} - {SWD(2019) 120 final} - {SWD(2019) 121 final} - {SWD(2019) 122 final} - {SWD(2019) 123 final} - {SWD(2019) 124 final} - {SWD(2019) 125 final} - {SWD(2019) 126 final} - {SWD(2019) 127 final} - {SWD(2019) 128 final} - {SWD(2019) 129 final} - {SWD(2019) 130 final} - {SWD(2019) 131 final} - {SWD(2019) 132 final} - {SWD(2019) 133 final} - {SWD(2019) 134 final} - {SWD(2019) 135 final} - {SWD(2019) 136 final} - {SWD(2019) 137 final} - {SWD(2019) 138 final} - {SWD(2019) 139 final}"/>
    <w:docVar w:name="LW_DocType" w:val="NORMAL"/>
    <w:docVar w:name="LW_EMISSION" w:val="4.4.2019"/>
    <w:docVar w:name="LW_EMISSION_ISODATE" w:val="2019-04-04"/>
    <w:docVar w:name="LW_EMISSION_LOCATION" w:val="BRX"/>
    <w:docVar w:name="LW_EMISSION_PREFIX" w:val="Bryssel "/>
    <w:docVar w:name="LW_EMISSION_SUFFIX" w:val=" "/>
    <w:docVar w:name="LW_ID_DOCTYPE_NONLW" w:val="CP-014"/>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1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Ympäristölainsäädännön täytäntöönpanon arviointi 2019: &lt;/FMT&gt;_x000d__x000d__x000b_&lt;FMT:Bold&gt;Eurooppa suojelee kansalaisiaan ja parantaa heidän elämänlaatuaan&lt;/FMT&gt;_x000d__x000d__x000d__x000d__x000b_"/>
    <w:docVar w:name="LW_TYPE.DOC.CP" w:val="KOMISSION TIEDONANTO EUROOPAN PARLAMENTILLE, NEUVOSTOLLE, EUROOPAN TALOUS- JA SOSIAALIKOMITEALLE JA ALUEIDEN KOMITEALL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0" w:lineRule="exact"/>
      <w:jc w:val="both"/>
    </w:pPr>
    <w:rPr>
      <w:rFonts w:ascii="Times New Roman" w:hAnsi="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pPr>
      <w:keepNext/>
      <w:spacing w:before="240" w:line="240" w:lineRule="auto"/>
      <w:jc w:val="left"/>
      <w:outlineLvl w:val="1"/>
    </w:pPr>
    <w:rPr>
      <w:rFonts w:ascii="Calibri" w:eastAsia="Calibri" w:hAnsi="Calibri" w:cs="Times New Roman"/>
      <w:b/>
      <w:noProof/>
      <w:color w:val="1F497D"/>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eastAsia="fi-FI"/>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eastAsia="fi-FI"/>
    </w:rPr>
  </w:style>
  <w:style w:type="paragraph" w:styleId="Revision">
    <w:name w:val="Revision"/>
    <w:hidden/>
    <w:uiPriority w:val="99"/>
    <w:semiHidden/>
    <w:pPr>
      <w:spacing w:after="0" w:line="240" w:lineRule="auto"/>
    </w:pPr>
    <w:rPr>
      <w:rFonts w:ascii="Times New Roman" w:hAnsi="Times New Roman"/>
    </w:rPr>
  </w:style>
  <w:style w:type="character" w:customStyle="1" w:styleId="Funotenzeichen">
    <w:name w:val="Fußnotenzeichen"/>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jc w:val="left"/>
    </w:pPr>
    <w:rPr>
      <w:rFonts w:cs="Times New Roman"/>
      <w:sz w:val="24"/>
      <w:szCs w:val="24"/>
    </w:rPr>
  </w:style>
  <w:style w:type="character" w:customStyle="1" w:styleId="num">
    <w:name w:val="num"/>
    <w:basedOn w:val="DefaultParagraphFont"/>
  </w:style>
  <w:style w:type="paragraph" w:customStyle="1" w:styleId="LegalNumPar">
    <w:name w:val="LegalNumPar"/>
    <w:basedOn w:val="Normal"/>
    <w:pPr>
      <w:spacing w:line="360" w:lineRule="auto"/>
      <w:ind w:left="476" w:hanging="476"/>
    </w:pPr>
    <w:rPr>
      <w:sz w:val="24"/>
    </w:rPr>
  </w:style>
  <w:style w:type="paragraph" w:customStyle="1" w:styleId="LegalNumPar2">
    <w:name w:val="LegalNumPar2"/>
    <w:basedOn w:val="Normal"/>
    <w:pPr>
      <w:spacing w:line="360" w:lineRule="auto"/>
      <w:ind w:left="953" w:hanging="477"/>
    </w:pPr>
    <w:rPr>
      <w:sz w:val="24"/>
    </w:rPr>
  </w:style>
  <w:style w:type="paragraph" w:customStyle="1" w:styleId="LegalNumPar3">
    <w:name w:val="LegalNumPar3"/>
    <w:basedOn w:val="Normal"/>
    <w:pPr>
      <w:spacing w:line="360" w:lineRule="auto"/>
      <w:ind w:left="1429" w:hanging="476"/>
    </w:pPr>
    <w:rPr>
      <w:sz w:val="24"/>
    </w:rPr>
  </w:style>
  <w:style w:type="paragraph" w:customStyle="1" w:styleId="body">
    <w:name w:val="body"/>
    <w:basedOn w:val="Normal"/>
    <w:pPr>
      <w:spacing w:before="100" w:beforeAutospacing="1" w:after="100" w:afterAutospacing="1" w:line="240" w:lineRule="auto"/>
      <w:jc w:val="left"/>
    </w:pPr>
    <w:rPr>
      <w:rFonts w:cs="Times New Roman"/>
      <w:sz w:val="24"/>
      <w:szCs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L Char"/>
    <w:basedOn w:val="DefaultParagraphFont"/>
    <w:link w:val="ListParagraph"/>
    <w:uiPriority w:val="34"/>
    <w:qFormat/>
    <w:rPr>
      <w:rFonts w:ascii="Times New Roman" w:hAnsi="Times New Roman"/>
    </w:rPr>
  </w:style>
  <w:style w:type="paragraph" w:styleId="NoSpacing">
    <w:name w:val="No Spacing"/>
    <w:uiPriority w:val="1"/>
    <w:qFormat/>
    <w:pPr>
      <w:spacing w:after="0" w:line="240" w:lineRule="auto"/>
      <w:jc w:val="both"/>
    </w:pPr>
    <w:rPr>
      <w:rFonts w:ascii="Times New Roman" w:hAnsi="Times New Roman"/>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rFonts w:ascii="Times New Roman" w:hAnsi="Times New Roman"/>
      <w:sz w:val="24"/>
    </w:rPr>
  </w:style>
  <w:style w:type="character" w:customStyle="1" w:styleId="Heading2Char">
    <w:name w:val="Heading 2 Char"/>
    <w:basedOn w:val="DefaultParagraphFont"/>
    <w:link w:val="Heading2"/>
    <w:uiPriority w:val="9"/>
    <w:rPr>
      <w:rFonts w:ascii="Calibri" w:eastAsia="Calibri" w:hAnsi="Calibri" w:cs="Times New Roman"/>
      <w:b/>
      <w:noProof/>
      <w:color w:val="1F497D"/>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Pagedecouverture">
    <w:name w:val="Page de couverture"/>
    <w:basedOn w:val="Normal"/>
    <w:next w:val="Normal"/>
    <w:pPr>
      <w:spacing w:after="0" w:line="240" w:lineRule="auto"/>
    </w:pPr>
    <w:rPr>
      <w:rFonts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0" w:lineRule="exact"/>
      <w:jc w:val="both"/>
    </w:pPr>
    <w:rPr>
      <w:rFonts w:ascii="Times New Roman" w:hAnsi="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pPr>
      <w:keepNext/>
      <w:spacing w:before="240" w:line="240" w:lineRule="auto"/>
      <w:jc w:val="left"/>
      <w:outlineLvl w:val="1"/>
    </w:pPr>
    <w:rPr>
      <w:rFonts w:ascii="Calibri" w:eastAsia="Calibri" w:hAnsi="Calibri" w:cs="Times New Roman"/>
      <w:b/>
      <w:noProof/>
      <w:color w:val="1F497D"/>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eastAsia="fi-FI"/>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eastAsia="fi-FI"/>
    </w:rPr>
  </w:style>
  <w:style w:type="paragraph" w:styleId="Revision">
    <w:name w:val="Revision"/>
    <w:hidden/>
    <w:uiPriority w:val="99"/>
    <w:semiHidden/>
    <w:pPr>
      <w:spacing w:after="0" w:line="240" w:lineRule="auto"/>
    </w:pPr>
    <w:rPr>
      <w:rFonts w:ascii="Times New Roman" w:hAnsi="Times New Roman"/>
    </w:rPr>
  </w:style>
  <w:style w:type="character" w:customStyle="1" w:styleId="Funotenzeichen">
    <w:name w:val="Fußnotenzeichen"/>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jc w:val="left"/>
    </w:pPr>
    <w:rPr>
      <w:rFonts w:cs="Times New Roman"/>
      <w:sz w:val="24"/>
      <w:szCs w:val="24"/>
    </w:rPr>
  </w:style>
  <w:style w:type="character" w:customStyle="1" w:styleId="num">
    <w:name w:val="num"/>
    <w:basedOn w:val="DefaultParagraphFont"/>
  </w:style>
  <w:style w:type="paragraph" w:customStyle="1" w:styleId="LegalNumPar">
    <w:name w:val="LegalNumPar"/>
    <w:basedOn w:val="Normal"/>
    <w:pPr>
      <w:spacing w:line="360" w:lineRule="auto"/>
      <w:ind w:left="476" w:hanging="476"/>
    </w:pPr>
    <w:rPr>
      <w:sz w:val="24"/>
    </w:rPr>
  </w:style>
  <w:style w:type="paragraph" w:customStyle="1" w:styleId="LegalNumPar2">
    <w:name w:val="LegalNumPar2"/>
    <w:basedOn w:val="Normal"/>
    <w:pPr>
      <w:spacing w:line="360" w:lineRule="auto"/>
      <w:ind w:left="953" w:hanging="477"/>
    </w:pPr>
    <w:rPr>
      <w:sz w:val="24"/>
    </w:rPr>
  </w:style>
  <w:style w:type="paragraph" w:customStyle="1" w:styleId="LegalNumPar3">
    <w:name w:val="LegalNumPar3"/>
    <w:basedOn w:val="Normal"/>
    <w:pPr>
      <w:spacing w:line="360" w:lineRule="auto"/>
      <w:ind w:left="1429" w:hanging="476"/>
    </w:pPr>
    <w:rPr>
      <w:sz w:val="24"/>
    </w:rPr>
  </w:style>
  <w:style w:type="paragraph" w:customStyle="1" w:styleId="body">
    <w:name w:val="body"/>
    <w:basedOn w:val="Normal"/>
    <w:pPr>
      <w:spacing w:before="100" w:beforeAutospacing="1" w:after="100" w:afterAutospacing="1" w:line="240" w:lineRule="auto"/>
      <w:jc w:val="left"/>
    </w:pPr>
    <w:rPr>
      <w:rFonts w:cs="Times New Roman"/>
      <w:sz w:val="24"/>
      <w:szCs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L Char"/>
    <w:basedOn w:val="DefaultParagraphFont"/>
    <w:link w:val="ListParagraph"/>
    <w:uiPriority w:val="34"/>
    <w:qFormat/>
    <w:rPr>
      <w:rFonts w:ascii="Times New Roman" w:hAnsi="Times New Roman"/>
    </w:rPr>
  </w:style>
  <w:style w:type="paragraph" w:styleId="NoSpacing">
    <w:name w:val="No Spacing"/>
    <w:uiPriority w:val="1"/>
    <w:qFormat/>
    <w:pPr>
      <w:spacing w:after="0" w:line="240" w:lineRule="auto"/>
      <w:jc w:val="both"/>
    </w:pPr>
    <w:rPr>
      <w:rFonts w:ascii="Times New Roman" w:hAnsi="Times New Roman"/>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rFonts w:ascii="Times New Roman" w:hAnsi="Times New Roman"/>
      <w:sz w:val="24"/>
    </w:rPr>
  </w:style>
  <w:style w:type="character" w:customStyle="1" w:styleId="Heading2Char">
    <w:name w:val="Heading 2 Char"/>
    <w:basedOn w:val="DefaultParagraphFont"/>
    <w:link w:val="Heading2"/>
    <w:uiPriority w:val="9"/>
    <w:rPr>
      <w:rFonts w:ascii="Calibri" w:eastAsia="Calibri" w:hAnsi="Calibri" w:cs="Times New Roman"/>
      <w:b/>
      <w:noProof/>
      <w:color w:val="1F497D"/>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Pagedecouverture">
    <w:name w:val="Page de couverture"/>
    <w:basedOn w:val="Normal"/>
    <w:next w:val="Normal"/>
    <w:pPr>
      <w:spacing w:after="0" w:line="240" w:lineRule="auto"/>
    </w:pPr>
    <w:rPr>
      <w:rFonts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6258">
      <w:bodyDiv w:val="1"/>
      <w:marLeft w:val="0"/>
      <w:marRight w:val="0"/>
      <w:marTop w:val="0"/>
      <w:marBottom w:val="0"/>
      <w:divBdr>
        <w:top w:val="none" w:sz="0" w:space="0" w:color="auto"/>
        <w:left w:val="none" w:sz="0" w:space="0" w:color="auto"/>
        <w:bottom w:val="none" w:sz="0" w:space="0" w:color="auto"/>
        <w:right w:val="none" w:sz="0" w:space="0" w:color="auto"/>
      </w:divBdr>
    </w:div>
    <w:div w:id="180897500">
      <w:bodyDiv w:val="1"/>
      <w:marLeft w:val="0"/>
      <w:marRight w:val="0"/>
      <w:marTop w:val="0"/>
      <w:marBottom w:val="0"/>
      <w:divBdr>
        <w:top w:val="none" w:sz="0" w:space="0" w:color="auto"/>
        <w:left w:val="none" w:sz="0" w:space="0" w:color="auto"/>
        <w:bottom w:val="none" w:sz="0" w:space="0" w:color="auto"/>
        <w:right w:val="none" w:sz="0" w:space="0" w:color="auto"/>
      </w:divBdr>
    </w:div>
    <w:div w:id="250088342">
      <w:bodyDiv w:val="1"/>
      <w:marLeft w:val="0"/>
      <w:marRight w:val="0"/>
      <w:marTop w:val="0"/>
      <w:marBottom w:val="0"/>
      <w:divBdr>
        <w:top w:val="none" w:sz="0" w:space="0" w:color="auto"/>
        <w:left w:val="none" w:sz="0" w:space="0" w:color="auto"/>
        <w:bottom w:val="none" w:sz="0" w:space="0" w:color="auto"/>
        <w:right w:val="none" w:sz="0" w:space="0" w:color="auto"/>
      </w:divBdr>
    </w:div>
    <w:div w:id="460419583">
      <w:bodyDiv w:val="1"/>
      <w:marLeft w:val="0"/>
      <w:marRight w:val="0"/>
      <w:marTop w:val="0"/>
      <w:marBottom w:val="0"/>
      <w:divBdr>
        <w:top w:val="none" w:sz="0" w:space="0" w:color="auto"/>
        <w:left w:val="none" w:sz="0" w:space="0" w:color="auto"/>
        <w:bottom w:val="none" w:sz="0" w:space="0" w:color="auto"/>
        <w:right w:val="none" w:sz="0" w:space="0" w:color="auto"/>
      </w:divBdr>
      <w:divsChild>
        <w:div w:id="1312640480">
          <w:marLeft w:val="0"/>
          <w:marRight w:val="0"/>
          <w:marTop w:val="0"/>
          <w:marBottom w:val="0"/>
          <w:divBdr>
            <w:top w:val="none" w:sz="0" w:space="0" w:color="auto"/>
            <w:left w:val="none" w:sz="0" w:space="0" w:color="auto"/>
            <w:bottom w:val="none" w:sz="0" w:space="0" w:color="auto"/>
            <w:right w:val="none" w:sz="0" w:space="0" w:color="auto"/>
          </w:divBdr>
        </w:div>
        <w:div w:id="1479304681">
          <w:marLeft w:val="0"/>
          <w:marRight w:val="0"/>
          <w:marTop w:val="0"/>
          <w:marBottom w:val="0"/>
          <w:divBdr>
            <w:top w:val="none" w:sz="0" w:space="0" w:color="auto"/>
            <w:left w:val="none" w:sz="0" w:space="0" w:color="auto"/>
            <w:bottom w:val="none" w:sz="0" w:space="0" w:color="auto"/>
            <w:right w:val="none" w:sz="0" w:space="0" w:color="auto"/>
          </w:divBdr>
        </w:div>
      </w:divsChild>
    </w:div>
    <w:div w:id="528565629">
      <w:bodyDiv w:val="1"/>
      <w:marLeft w:val="0"/>
      <w:marRight w:val="0"/>
      <w:marTop w:val="0"/>
      <w:marBottom w:val="0"/>
      <w:divBdr>
        <w:top w:val="none" w:sz="0" w:space="0" w:color="auto"/>
        <w:left w:val="none" w:sz="0" w:space="0" w:color="auto"/>
        <w:bottom w:val="none" w:sz="0" w:space="0" w:color="auto"/>
        <w:right w:val="none" w:sz="0" w:space="0" w:color="auto"/>
      </w:divBdr>
      <w:divsChild>
        <w:div w:id="149102338">
          <w:marLeft w:val="0"/>
          <w:marRight w:val="0"/>
          <w:marTop w:val="0"/>
          <w:marBottom w:val="0"/>
          <w:divBdr>
            <w:top w:val="none" w:sz="0" w:space="0" w:color="auto"/>
            <w:left w:val="none" w:sz="0" w:space="0" w:color="auto"/>
            <w:bottom w:val="none" w:sz="0" w:space="0" w:color="auto"/>
            <w:right w:val="none" w:sz="0" w:space="0" w:color="auto"/>
          </w:divBdr>
        </w:div>
        <w:div w:id="844243402">
          <w:marLeft w:val="0"/>
          <w:marRight w:val="0"/>
          <w:marTop w:val="0"/>
          <w:marBottom w:val="0"/>
          <w:divBdr>
            <w:top w:val="none" w:sz="0" w:space="0" w:color="auto"/>
            <w:left w:val="none" w:sz="0" w:space="0" w:color="auto"/>
            <w:bottom w:val="none" w:sz="0" w:space="0" w:color="auto"/>
            <w:right w:val="none" w:sz="0" w:space="0" w:color="auto"/>
          </w:divBdr>
        </w:div>
        <w:div w:id="1203908982">
          <w:marLeft w:val="0"/>
          <w:marRight w:val="0"/>
          <w:marTop w:val="0"/>
          <w:marBottom w:val="0"/>
          <w:divBdr>
            <w:top w:val="none" w:sz="0" w:space="0" w:color="auto"/>
            <w:left w:val="none" w:sz="0" w:space="0" w:color="auto"/>
            <w:bottom w:val="none" w:sz="0" w:space="0" w:color="auto"/>
            <w:right w:val="none" w:sz="0" w:space="0" w:color="auto"/>
          </w:divBdr>
        </w:div>
        <w:div w:id="1273704943">
          <w:marLeft w:val="0"/>
          <w:marRight w:val="0"/>
          <w:marTop w:val="0"/>
          <w:marBottom w:val="0"/>
          <w:divBdr>
            <w:top w:val="none" w:sz="0" w:space="0" w:color="auto"/>
            <w:left w:val="none" w:sz="0" w:space="0" w:color="auto"/>
            <w:bottom w:val="none" w:sz="0" w:space="0" w:color="auto"/>
            <w:right w:val="none" w:sz="0" w:space="0" w:color="auto"/>
          </w:divBdr>
        </w:div>
      </w:divsChild>
    </w:div>
    <w:div w:id="568199502">
      <w:bodyDiv w:val="1"/>
      <w:marLeft w:val="0"/>
      <w:marRight w:val="0"/>
      <w:marTop w:val="0"/>
      <w:marBottom w:val="0"/>
      <w:divBdr>
        <w:top w:val="none" w:sz="0" w:space="0" w:color="auto"/>
        <w:left w:val="none" w:sz="0" w:space="0" w:color="auto"/>
        <w:bottom w:val="none" w:sz="0" w:space="0" w:color="auto"/>
        <w:right w:val="none" w:sz="0" w:space="0" w:color="auto"/>
      </w:divBdr>
    </w:div>
    <w:div w:id="664019909">
      <w:bodyDiv w:val="1"/>
      <w:marLeft w:val="0"/>
      <w:marRight w:val="0"/>
      <w:marTop w:val="0"/>
      <w:marBottom w:val="0"/>
      <w:divBdr>
        <w:top w:val="none" w:sz="0" w:space="0" w:color="auto"/>
        <w:left w:val="none" w:sz="0" w:space="0" w:color="auto"/>
        <w:bottom w:val="none" w:sz="0" w:space="0" w:color="auto"/>
        <w:right w:val="none" w:sz="0" w:space="0" w:color="auto"/>
      </w:divBdr>
      <w:divsChild>
        <w:div w:id="755711940">
          <w:marLeft w:val="0"/>
          <w:marRight w:val="0"/>
          <w:marTop w:val="0"/>
          <w:marBottom w:val="0"/>
          <w:divBdr>
            <w:top w:val="none" w:sz="0" w:space="0" w:color="auto"/>
            <w:left w:val="none" w:sz="0" w:space="0" w:color="auto"/>
            <w:bottom w:val="none" w:sz="0" w:space="0" w:color="auto"/>
            <w:right w:val="none" w:sz="0" w:space="0" w:color="auto"/>
          </w:divBdr>
        </w:div>
        <w:div w:id="1328174138">
          <w:marLeft w:val="0"/>
          <w:marRight w:val="0"/>
          <w:marTop w:val="0"/>
          <w:marBottom w:val="0"/>
          <w:divBdr>
            <w:top w:val="none" w:sz="0" w:space="0" w:color="auto"/>
            <w:left w:val="none" w:sz="0" w:space="0" w:color="auto"/>
            <w:bottom w:val="none" w:sz="0" w:space="0" w:color="auto"/>
            <w:right w:val="none" w:sz="0" w:space="0" w:color="auto"/>
          </w:divBdr>
        </w:div>
        <w:div w:id="1184709224">
          <w:marLeft w:val="0"/>
          <w:marRight w:val="0"/>
          <w:marTop w:val="0"/>
          <w:marBottom w:val="0"/>
          <w:divBdr>
            <w:top w:val="none" w:sz="0" w:space="0" w:color="auto"/>
            <w:left w:val="none" w:sz="0" w:space="0" w:color="auto"/>
            <w:bottom w:val="none" w:sz="0" w:space="0" w:color="auto"/>
            <w:right w:val="none" w:sz="0" w:space="0" w:color="auto"/>
          </w:divBdr>
        </w:div>
        <w:div w:id="900137051">
          <w:marLeft w:val="0"/>
          <w:marRight w:val="0"/>
          <w:marTop w:val="0"/>
          <w:marBottom w:val="0"/>
          <w:divBdr>
            <w:top w:val="none" w:sz="0" w:space="0" w:color="auto"/>
            <w:left w:val="none" w:sz="0" w:space="0" w:color="auto"/>
            <w:bottom w:val="none" w:sz="0" w:space="0" w:color="auto"/>
            <w:right w:val="none" w:sz="0" w:space="0" w:color="auto"/>
          </w:divBdr>
        </w:div>
      </w:divsChild>
    </w:div>
    <w:div w:id="738937581">
      <w:bodyDiv w:val="1"/>
      <w:marLeft w:val="0"/>
      <w:marRight w:val="0"/>
      <w:marTop w:val="0"/>
      <w:marBottom w:val="0"/>
      <w:divBdr>
        <w:top w:val="none" w:sz="0" w:space="0" w:color="auto"/>
        <w:left w:val="none" w:sz="0" w:space="0" w:color="auto"/>
        <w:bottom w:val="none" w:sz="0" w:space="0" w:color="auto"/>
        <w:right w:val="none" w:sz="0" w:space="0" w:color="auto"/>
      </w:divBdr>
      <w:divsChild>
        <w:div w:id="628169514">
          <w:marLeft w:val="0"/>
          <w:marRight w:val="0"/>
          <w:marTop w:val="0"/>
          <w:marBottom w:val="0"/>
          <w:divBdr>
            <w:top w:val="none" w:sz="0" w:space="0" w:color="auto"/>
            <w:left w:val="none" w:sz="0" w:space="0" w:color="auto"/>
            <w:bottom w:val="none" w:sz="0" w:space="0" w:color="auto"/>
            <w:right w:val="none" w:sz="0" w:space="0" w:color="auto"/>
          </w:divBdr>
        </w:div>
        <w:div w:id="940265105">
          <w:marLeft w:val="0"/>
          <w:marRight w:val="0"/>
          <w:marTop w:val="0"/>
          <w:marBottom w:val="0"/>
          <w:divBdr>
            <w:top w:val="none" w:sz="0" w:space="0" w:color="auto"/>
            <w:left w:val="none" w:sz="0" w:space="0" w:color="auto"/>
            <w:bottom w:val="none" w:sz="0" w:space="0" w:color="auto"/>
            <w:right w:val="none" w:sz="0" w:space="0" w:color="auto"/>
          </w:divBdr>
        </w:div>
      </w:divsChild>
    </w:div>
    <w:div w:id="938024900">
      <w:bodyDiv w:val="1"/>
      <w:marLeft w:val="0"/>
      <w:marRight w:val="0"/>
      <w:marTop w:val="0"/>
      <w:marBottom w:val="0"/>
      <w:divBdr>
        <w:top w:val="none" w:sz="0" w:space="0" w:color="auto"/>
        <w:left w:val="none" w:sz="0" w:space="0" w:color="auto"/>
        <w:bottom w:val="none" w:sz="0" w:space="0" w:color="auto"/>
        <w:right w:val="none" w:sz="0" w:space="0" w:color="auto"/>
      </w:divBdr>
    </w:div>
    <w:div w:id="991444582">
      <w:bodyDiv w:val="1"/>
      <w:marLeft w:val="0"/>
      <w:marRight w:val="0"/>
      <w:marTop w:val="0"/>
      <w:marBottom w:val="0"/>
      <w:divBdr>
        <w:top w:val="none" w:sz="0" w:space="0" w:color="auto"/>
        <w:left w:val="none" w:sz="0" w:space="0" w:color="auto"/>
        <w:bottom w:val="none" w:sz="0" w:space="0" w:color="auto"/>
        <w:right w:val="none" w:sz="0" w:space="0" w:color="auto"/>
      </w:divBdr>
    </w:div>
    <w:div w:id="993147472">
      <w:bodyDiv w:val="1"/>
      <w:marLeft w:val="0"/>
      <w:marRight w:val="0"/>
      <w:marTop w:val="0"/>
      <w:marBottom w:val="0"/>
      <w:divBdr>
        <w:top w:val="none" w:sz="0" w:space="0" w:color="auto"/>
        <w:left w:val="none" w:sz="0" w:space="0" w:color="auto"/>
        <w:bottom w:val="none" w:sz="0" w:space="0" w:color="auto"/>
        <w:right w:val="none" w:sz="0" w:space="0" w:color="auto"/>
      </w:divBdr>
    </w:div>
    <w:div w:id="1135416439">
      <w:bodyDiv w:val="1"/>
      <w:marLeft w:val="0"/>
      <w:marRight w:val="0"/>
      <w:marTop w:val="0"/>
      <w:marBottom w:val="0"/>
      <w:divBdr>
        <w:top w:val="none" w:sz="0" w:space="0" w:color="auto"/>
        <w:left w:val="none" w:sz="0" w:space="0" w:color="auto"/>
        <w:bottom w:val="none" w:sz="0" w:space="0" w:color="auto"/>
        <w:right w:val="none" w:sz="0" w:space="0" w:color="auto"/>
      </w:divBdr>
    </w:div>
    <w:div w:id="1161584318">
      <w:bodyDiv w:val="1"/>
      <w:marLeft w:val="0"/>
      <w:marRight w:val="0"/>
      <w:marTop w:val="0"/>
      <w:marBottom w:val="0"/>
      <w:divBdr>
        <w:top w:val="none" w:sz="0" w:space="0" w:color="auto"/>
        <w:left w:val="none" w:sz="0" w:space="0" w:color="auto"/>
        <w:bottom w:val="none" w:sz="0" w:space="0" w:color="auto"/>
        <w:right w:val="none" w:sz="0" w:space="0" w:color="auto"/>
      </w:divBdr>
      <w:divsChild>
        <w:div w:id="19478132">
          <w:marLeft w:val="0"/>
          <w:marRight w:val="0"/>
          <w:marTop w:val="0"/>
          <w:marBottom w:val="0"/>
          <w:divBdr>
            <w:top w:val="none" w:sz="0" w:space="0" w:color="auto"/>
            <w:left w:val="none" w:sz="0" w:space="0" w:color="auto"/>
            <w:bottom w:val="none" w:sz="0" w:space="0" w:color="auto"/>
            <w:right w:val="none" w:sz="0" w:space="0" w:color="auto"/>
          </w:divBdr>
        </w:div>
        <w:div w:id="337930196">
          <w:marLeft w:val="0"/>
          <w:marRight w:val="0"/>
          <w:marTop w:val="0"/>
          <w:marBottom w:val="0"/>
          <w:divBdr>
            <w:top w:val="none" w:sz="0" w:space="0" w:color="auto"/>
            <w:left w:val="none" w:sz="0" w:space="0" w:color="auto"/>
            <w:bottom w:val="none" w:sz="0" w:space="0" w:color="auto"/>
            <w:right w:val="none" w:sz="0" w:space="0" w:color="auto"/>
          </w:divBdr>
        </w:div>
        <w:div w:id="343941469">
          <w:marLeft w:val="0"/>
          <w:marRight w:val="0"/>
          <w:marTop w:val="0"/>
          <w:marBottom w:val="0"/>
          <w:divBdr>
            <w:top w:val="none" w:sz="0" w:space="0" w:color="auto"/>
            <w:left w:val="none" w:sz="0" w:space="0" w:color="auto"/>
            <w:bottom w:val="none" w:sz="0" w:space="0" w:color="auto"/>
            <w:right w:val="none" w:sz="0" w:space="0" w:color="auto"/>
          </w:divBdr>
        </w:div>
        <w:div w:id="1855225508">
          <w:marLeft w:val="0"/>
          <w:marRight w:val="0"/>
          <w:marTop w:val="0"/>
          <w:marBottom w:val="0"/>
          <w:divBdr>
            <w:top w:val="none" w:sz="0" w:space="0" w:color="auto"/>
            <w:left w:val="none" w:sz="0" w:space="0" w:color="auto"/>
            <w:bottom w:val="none" w:sz="0" w:space="0" w:color="auto"/>
            <w:right w:val="none" w:sz="0" w:space="0" w:color="auto"/>
          </w:divBdr>
        </w:div>
        <w:div w:id="2108037528">
          <w:marLeft w:val="0"/>
          <w:marRight w:val="0"/>
          <w:marTop w:val="0"/>
          <w:marBottom w:val="0"/>
          <w:divBdr>
            <w:top w:val="none" w:sz="0" w:space="0" w:color="auto"/>
            <w:left w:val="none" w:sz="0" w:space="0" w:color="auto"/>
            <w:bottom w:val="none" w:sz="0" w:space="0" w:color="auto"/>
            <w:right w:val="none" w:sz="0" w:space="0" w:color="auto"/>
          </w:divBdr>
        </w:div>
      </w:divsChild>
    </w:div>
    <w:div w:id="1238901798">
      <w:bodyDiv w:val="1"/>
      <w:marLeft w:val="0"/>
      <w:marRight w:val="0"/>
      <w:marTop w:val="0"/>
      <w:marBottom w:val="0"/>
      <w:divBdr>
        <w:top w:val="none" w:sz="0" w:space="0" w:color="auto"/>
        <w:left w:val="none" w:sz="0" w:space="0" w:color="auto"/>
        <w:bottom w:val="none" w:sz="0" w:space="0" w:color="auto"/>
        <w:right w:val="none" w:sz="0" w:space="0" w:color="auto"/>
      </w:divBdr>
      <w:divsChild>
        <w:div w:id="541674126">
          <w:marLeft w:val="0"/>
          <w:marRight w:val="0"/>
          <w:marTop w:val="0"/>
          <w:marBottom w:val="0"/>
          <w:divBdr>
            <w:top w:val="none" w:sz="0" w:space="0" w:color="auto"/>
            <w:left w:val="none" w:sz="0" w:space="0" w:color="auto"/>
            <w:bottom w:val="none" w:sz="0" w:space="0" w:color="auto"/>
            <w:right w:val="none" w:sz="0" w:space="0" w:color="auto"/>
          </w:divBdr>
        </w:div>
        <w:div w:id="1245609196">
          <w:marLeft w:val="0"/>
          <w:marRight w:val="0"/>
          <w:marTop w:val="0"/>
          <w:marBottom w:val="0"/>
          <w:divBdr>
            <w:top w:val="none" w:sz="0" w:space="0" w:color="auto"/>
            <w:left w:val="none" w:sz="0" w:space="0" w:color="auto"/>
            <w:bottom w:val="none" w:sz="0" w:space="0" w:color="auto"/>
            <w:right w:val="none" w:sz="0" w:space="0" w:color="auto"/>
          </w:divBdr>
        </w:div>
        <w:div w:id="182866711">
          <w:marLeft w:val="0"/>
          <w:marRight w:val="0"/>
          <w:marTop w:val="0"/>
          <w:marBottom w:val="0"/>
          <w:divBdr>
            <w:top w:val="none" w:sz="0" w:space="0" w:color="auto"/>
            <w:left w:val="none" w:sz="0" w:space="0" w:color="auto"/>
            <w:bottom w:val="none" w:sz="0" w:space="0" w:color="auto"/>
            <w:right w:val="none" w:sz="0" w:space="0" w:color="auto"/>
          </w:divBdr>
        </w:div>
      </w:divsChild>
    </w:div>
    <w:div w:id="1303341183">
      <w:bodyDiv w:val="1"/>
      <w:marLeft w:val="0"/>
      <w:marRight w:val="0"/>
      <w:marTop w:val="0"/>
      <w:marBottom w:val="0"/>
      <w:divBdr>
        <w:top w:val="none" w:sz="0" w:space="0" w:color="auto"/>
        <w:left w:val="none" w:sz="0" w:space="0" w:color="auto"/>
        <w:bottom w:val="none" w:sz="0" w:space="0" w:color="auto"/>
        <w:right w:val="none" w:sz="0" w:space="0" w:color="auto"/>
      </w:divBdr>
    </w:div>
    <w:div w:id="1437019592">
      <w:bodyDiv w:val="1"/>
      <w:marLeft w:val="0"/>
      <w:marRight w:val="0"/>
      <w:marTop w:val="0"/>
      <w:marBottom w:val="0"/>
      <w:divBdr>
        <w:top w:val="none" w:sz="0" w:space="0" w:color="auto"/>
        <w:left w:val="none" w:sz="0" w:space="0" w:color="auto"/>
        <w:bottom w:val="none" w:sz="0" w:space="0" w:color="auto"/>
        <w:right w:val="none" w:sz="0" w:space="0" w:color="auto"/>
      </w:divBdr>
    </w:div>
    <w:div w:id="1646858414">
      <w:bodyDiv w:val="1"/>
      <w:marLeft w:val="0"/>
      <w:marRight w:val="0"/>
      <w:marTop w:val="0"/>
      <w:marBottom w:val="0"/>
      <w:divBdr>
        <w:top w:val="none" w:sz="0" w:space="0" w:color="auto"/>
        <w:left w:val="none" w:sz="0" w:space="0" w:color="auto"/>
        <w:bottom w:val="none" w:sz="0" w:space="0" w:color="auto"/>
        <w:right w:val="none" w:sz="0" w:space="0" w:color="auto"/>
      </w:divBdr>
    </w:div>
    <w:div w:id="1728722672">
      <w:bodyDiv w:val="1"/>
      <w:marLeft w:val="0"/>
      <w:marRight w:val="0"/>
      <w:marTop w:val="0"/>
      <w:marBottom w:val="0"/>
      <w:divBdr>
        <w:top w:val="none" w:sz="0" w:space="0" w:color="auto"/>
        <w:left w:val="none" w:sz="0" w:space="0" w:color="auto"/>
        <w:bottom w:val="none" w:sz="0" w:space="0" w:color="auto"/>
        <w:right w:val="none" w:sz="0" w:space="0" w:color="auto"/>
      </w:divBdr>
    </w:div>
    <w:div w:id="1777866830">
      <w:bodyDiv w:val="1"/>
      <w:marLeft w:val="0"/>
      <w:marRight w:val="0"/>
      <w:marTop w:val="0"/>
      <w:marBottom w:val="0"/>
      <w:divBdr>
        <w:top w:val="none" w:sz="0" w:space="0" w:color="auto"/>
        <w:left w:val="none" w:sz="0" w:space="0" w:color="auto"/>
        <w:bottom w:val="none" w:sz="0" w:space="0" w:color="auto"/>
        <w:right w:val="none" w:sz="0" w:space="0" w:color="auto"/>
      </w:divBdr>
    </w:div>
    <w:div w:id="1816213781">
      <w:bodyDiv w:val="1"/>
      <w:marLeft w:val="0"/>
      <w:marRight w:val="0"/>
      <w:marTop w:val="0"/>
      <w:marBottom w:val="0"/>
      <w:divBdr>
        <w:top w:val="none" w:sz="0" w:space="0" w:color="auto"/>
        <w:left w:val="none" w:sz="0" w:space="0" w:color="auto"/>
        <w:bottom w:val="none" w:sz="0" w:space="0" w:color="auto"/>
        <w:right w:val="none" w:sz="0" w:space="0" w:color="auto"/>
      </w:divBdr>
    </w:div>
    <w:div w:id="2003191174">
      <w:bodyDiv w:val="1"/>
      <w:marLeft w:val="0"/>
      <w:marRight w:val="0"/>
      <w:marTop w:val="0"/>
      <w:marBottom w:val="0"/>
      <w:divBdr>
        <w:top w:val="none" w:sz="0" w:space="0" w:color="auto"/>
        <w:left w:val="none" w:sz="0" w:space="0" w:color="auto"/>
        <w:bottom w:val="none" w:sz="0" w:space="0" w:color="auto"/>
        <w:right w:val="none" w:sz="0" w:space="0" w:color="auto"/>
      </w:divBdr>
    </w:div>
    <w:div w:id="2078629057">
      <w:bodyDiv w:val="1"/>
      <w:marLeft w:val="0"/>
      <w:marRight w:val="0"/>
      <w:marTop w:val="0"/>
      <w:marBottom w:val="0"/>
      <w:divBdr>
        <w:top w:val="none" w:sz="0" w:space="0" w:color="auto"/>
        <w:left w:val="none" w:sz="0" w:space="0" w:color="auto"/>
        <w:bottom w:val="none" w:sz="0" w:space="0" w:color="auto"/>
        <w:right w:val="none" w:sz="0" w:space="0" w:color="auto"/>
      </w:divBdr>
    </w:div>
    <w:div w:id="20954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3.emf"/><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europa.eu/environment/nature/invasivealien/list/index_en.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ecologique-solidaire.gouv.fr/sites/default/files/FREC%20anglais.pdf" TargetMode="External"/><Relationship Id="rId18" Type="http://schemas.openxmlformats.org/officeDocument/2006/relationships/hyperlink" Target="https://eur-lex.europa.eu/legal-content/FI/ALL/?uri=COM:2018:738:FIN" TargetMode="External"/><Relationship Id="rId26" Type="http://schemas.openxmlformats.org/officeDocument/2006/relationships/hyperlink" Target="http://ec.europa.eu/environment/nature/legislation/fitness_check/action_plan/communication_en.pdf" TargetMode="External"/><Relationship Id="rId39" Type="http://schemas.openxmlformats.org/officeDocument/2006/relationships/hyperlink" Target="https://publications.europa.eu/fi/publication-detail/-/publication/2a754add-32fb-11e8-b5fe-01aa75ed71a1" TargetMode="External"/><Relationship Id="rId21" Type="http://schemas.openxmlformats.org/officeDocument/2006/relationships/hyperlink" Target="http://www.alpconv.org/" TargetMode="External"/><Relationship Id="rId34" Type="http://schemas.openxmlformats.org/officeDocument/2006/relationships/hyperlink" Target="http://ec.europa.eu/environment/air/quality/aqd_fitness_check_en.htm" TargetMode="External"/><Relationship Id="rId42" Type="http://schemas.openxmlformats.org/officeDocument/2006/relationships/hyperlink" Target="http://eur-lex.europa.eu/legal-content/EN/TXT/?qid=1481623908600&amp;uri=CELEX:32006L0007" TargetMode="External"/><Relationship Id="rId47" Type="http://schemas.openxmlformats.org/officeDocument/2006/relationships/hyperlink" Target="http://eur-lex.europa.eu/legal-content/FI/TXT/?uri=CELEX:32007L0060" TargetMode="External"/><Relationship Id="rId50" Type="http://schemas.openxmlformats.org/officeDocument/2006/relationships/hyperlink" Target="https://eur-lex.europa.eu/legal-content/FI/TXT/?uri=CELEX:32008R1272" TargetMode="External"/><Relationship Id="rId55" Type="http://schemas.openxmlformats.org/officeDocument/2006/relationships/hyperlink" Target="https://ec.europa.eu/taxation_customs/news/taxation-trends-report-2018_en" TargetMode="External"/><Relationship Id="rId63" Type="http://schemas.openxmlformats.org/officeDocument/2006/relationships/hyperlink" Target="https://eur-lex.europa.eu/legal-content/FI/TXT/PDF/?uri=CELEX:52018DC0010&amp;qid=1550337181855&amp;from=FI" TargetMode="External"/><Relationship Id="rId68" Type="http://schemas.openxmlformats.org/officeDocument/2006/relationships/hyperlink" Target="https://eur-lex.europa.eu/legal-content/FI/TXT/PDF/?uri=CELEX:52018DC0010&amp;qid=1550337181855&amp;from=FI" TargetMode="External"/><Relationship Id="rId76" Type="http://schemas.openxmlformats.org/officeDocument/2006/relationships/hyperlink" Target="https://circabc.europa.eu/sd/a/abff972e-203a-4b4e-b42e-a0f291d3fdf9/SWD_2017_EN_V4_P1_885057.pdf" TargetMode="External"/><Relationship Id="rId84" Type="http://schemas.openxmlformats.org/officeDocument/2006/relationships/hyperlink" Target="https://circabc.europa.eu/sd/a/abff972e-203a-4b4e-b42e-a0f291d3fdf9/SWD_2017_EN_V4_P1_885057.pdf" TargetMode="External"/><Relationship Id="rId7" Type="http://schemas.openxmlformats.org/officeDocument/2006/relationships/hyperlink" Target="https://ec.europa.eu/eurostat/web/circular-economy/indicators/monitoring-framework" TargetMode="External"/><Relationship Id="rId71" Type="http://schemas.openxmlformats.org/officeDocument/2006/relationships/hyperlink" Target="https://eur-lex.europa.eu/legal-content/fi/TXT/?uri=CELEX:32003L0004" TargetMode="External"/><Relationship Id="rId2" Type="http://schemas.openxmlformats.org/officeDocument/2006/relationships/hyperlink" Target="http://ec.europa.eu/environment/eir/p2p/index_en.htm" TargetMode="External"/><Relationship Id="rId16" Type="http://schemas.openxmlformats.org/officeDocument/2006/relationships/hyperlink" Target="https://eur-lex.europa.eu/legal-content/FI/TXT/PDF/?uri=CELEX:52018DC0773&amp;qid=1550053587138&amp;from=FI" TargetMode="External"/><Relationship Id="rId29" Type="http://schemas.openxmlformats.org/officeDocument/2006/relationships/hyperlink" Target="https://eur-lex.europa.eu/legal-content/FI/TXT/?uri=CELEX:52013DC0659" TargetMode="External"/><Relationship Id="rId11" Type="http://schemas.openxmlformats.org/officeDocument/2006/relationships/hyperlink" Target="http://appsso.eurostat.ec.europa.eu/nui/show.do?dataset=env_wasmun&amp;lang=en" TargetMode="External"/><Relationship Id="rId24" Type="http://schemas.openxmlformats.org/officeDocument/2006/relationships/hyperlink" Target="https://eur-lex.europa.eu/legal-content/FI/TXT/?uri=CELEX:31992L0043" TargetMode="External"/><Relationship Id="rId32" Type="http://schemas.openxmlformats.org/officeDocument/2006/relationships/hyperlink" Target="https://ec.europa.eu/eurostat/statistics-explained/index.php/Air_pollution_statistics_-_emission_inventories" TargetMode="External"/><Relationship Id="rId37" Type="http://schemas.openxmlformats.org/officeDocument/2006/relationships/hyperlink" Target="https://www.eca.europa.eu/Lists/ECADocuments/SR18_23/SR_AIR_QUALITY_FI.pdf" TargetMode="External"/><Relationship Id="rId40" Type="http://schemas.openxmlformats.org/officeDocument/2006/relationships/hyperlink" Target="https://eur-lex.europa.eu/legal-content/FI/TXT/?qid=1540372185676&amp;uri=CELEX:32010L0075" TargetMode="External"/><Relationship Id="rId45" Type="http://schemas.openxmlformats.org/officeDocument/2006/relationships/hyperlink" Target="https://eur-lex.europa.eu/legal-content/FI/TXT/?qid=1481624135097&amp;uri=CELEX:32000L0060" TargetMode="External"/><Relationship Id="rId53" Type="http://schemas.openxmlformats.org/officeDocument/2006/relationships/hyperlink" Target="https://www.chemischestoffengoedgeregeld.nl/content/workshop-towards-safe-chemicals-innovation-agenda-substitution-safe-design" TargetMode="External"/><Relationship Id="rId58" Type="http://schemas.openxmlformats.org/officeDocument/2006/relationships/hyperlink" Target="https://circabc.europa.eu/ui/group/cafdbfbb-a3b9-42d8-b3c9-05e8f2c6a6fe/library/3df891ed-062d-4349-8751-f64bd9e5cf4b?p=1&amp;n=10&amp;sort=modified_DESC" TargetMode="External"/><Relationship Id="rId66" Type="http://schemas.openxmlformats.org/officeDocument/2006/relationships/hyperlink" Target="https://www.impel.eu/" TargetMode="External"/><Relationship Id="rId74" Type="http://schemas.openxmlformats.org/officeDocument/2006/relationships/hyperlink" Target="http://ec.europa.eu/environment/action-programme/" TargetMode="External"/><Relationship Id="rId79" Type="http://schemas.openxmlformats.org/officeDocument/2006/relationships/hyperlink" Target="https://eur-lex.europa.eu/legal-content/FI/TXT/?uri=COM:2016:739:FIN" TargetMode="External"/><Relationship Id="rId87" Type="http://schemas.openxmlformats.org/officeDocument/2006/relationships/hyperlink" Target="http://ec.europa.eu/environment/waste/framework/early_warning.htm" TargetMode="External"/><Relationship Id="rId5" Type="http://schemas.openxmlformats.org/officeDocument/2006/relationships/hyperlink" Target="https://eur-lex.europa.eu/legal-content/FI/TXT/?uri=COM:2018:28:FIN" TargetMode="External"/><Relationship Id="rId61" Type="http://schemas.openxmlformats.org/officeDocument/2006/relationships/hyperlink" Target="http://ec.europa.eu/environment/aarhus/index.htm" TargetMode="External"/><Relationship Id="rId82" Type="http://schemas.openxmlformats.org/officeDocument/2006/relationships/hyperlink" Target="http://data.europa.eu/euodp/fi/home" TargetMode="External"/><Relationship Id="rId19" Type="http://schemas.openxmlformats.org/officeDocument/2006/relationships/hyperlink" Target="https://eur-lex.europa.eu/legal-content/FI/TXT/?uri=CELEX:32018R1999" TargetMode="External"/><Relationship Id="rId4" Type="http://schemas.openxmlformats.org/officeDocument/2006/relationships/hyperlink" Target="https://ec.europa.eu/transparency/regdoc/rep/1/2015/FI/1-2015-614-FI-F1-1.PDF" TargetMode="External"/><Relationship Id="rId9" Type="http://schemas.openxmlformats.org/officeDocument/2006/relationships/hyperlink" Target="http://ec.europa.eu/eurostat/tgm/refreshTableAction.do?tab=table&amp;plugin=1&amp;pcode=t2020_rt120&amp;language=en" TargetMode="External"/><Relationship Id="rId14" Type="http://schemas.openxmlformats.org/officeDocument/2006/relationships/hyperlink" Target="https://eur-lex.europa.eu/legal-content/FI/TXT/?uri=celex:31999L0031" TargetMode="External"/><Relationship Id="rId22" Type="http://schemas.openxmlformats.org/officeDocument/2006/relationships/hyperlink" Target="http://www.carpathianconvention.org/" TargetMode="External"/><Relationship Id="rId27" Type="http://schemas.openxmlformats.org/officeDocument/2006/relationships/hyperlink" Target="https://eur-lex.europa.eu/LexUriServ/LexUriServ.do?uri=COM:2011:0244:FIN:FI:pdf" TargetMode="External"/><Relationship Id="rId30" Type="http://schemas.openxmlformats.org/officeDocument/2006/relationships/hyperlink" Target="https://eur-lex.europa.eu/legal-content/FI/TXT/?uri=CELEX:32008L0056" TargetMode="External"/><Relationship Id="rId35" Type="http://schemas.openxmlformats.org/officeDocument/2006/relationships/hyperlink" Target="https://ec.europa.eu/research/horizonprize/index.cfm?prize=engine-retrofit" TargetMode="External"/><Relationship Id="rId43" Type="http://schemas.openxmlformats.org/officeDocument/2006/relationships/hyperlink" Target="https://eur-lex.europa.eu/legal-content/FI/ALL/?uri=CELEX:31991L0271" TargetMode="External"/><Relationship Id="rId48" Type="http://schemas.openxmlformats.org/officeDocument/2006/relationships/hyperlink" Target="http://ec.europa.eu/environment/water/pdf/water_reuse_factsheet_en.pdf" TargetMode="External"/><Relationship Id="rId56" Type="http://schemas.openxmlformats.org/officeDocument/2006/relationships/hyperlink" Target="https://ec.europa.eu/social/main.jsp?catId=738&amp;langId=fi&amp;pubId=8072" TargetMode="External"/><Relationship Id="rId64" Type="http://schemas.openxmlformats.org/officeDocument/2006/relationships/hyperlink" Target="https://eur-lex.europa.eu/legal-content/FI/TXT/?qid=1550337328740&amp;uri=CELEX:32018R1999" TargetMode="External"/><Relationship Id="rId69" Type="http://schemas.openxmlformats.org/officeDocument/2006/relationships/hyperlink" Target="https://ec.europa.eu/digital-single-market/en/news/quality-public-administration-toolbox-practitioners" TargetMode="External"/><Relationship Id="rId77" Type="http://schemas.openxmlformats.org/officeDocument/2006/relationships/hyperlink" Target="https://www.eea.europa.eu/soer" TargetMode="External"/><Relationship Id="rId8" Type="http://schemas.openxmlformats.org/officeDocument/2006/relationships/hyperlink" Target="https://www.consilium.europa.eu/nl/press/press-releases/2018/12/19/single-use-plastics-presidency-reaches-provisional-agreement-with-parliament/" TargetMode="External"/><Relationship Id="rId51" Type="http://schemas.openxmlformats.org/officeDocument/2006/relationships/hyperlink" Target="http://ec.europa.eu/environment/chemicals/index_en.htm" TargetMode="External"/><Relationship Id="rId72" Type="http://schemas.openxmlformats.org/officeDocument/2006/relationships/hyperlink" Target="https://eur-lex.europa.eu/legal-content/FI/TXT/?uri=celex:32013L0037" TargetMode="External"/><Relationship Id="rId80" Type="http://schemas.openxmlformats.org/officeDocument/2006/relationships/hyperlink" Target="https://ec.europa.eu/social/main.jsp?catId=738&amp;langId=fi&amp;pubId=8055&amp;type=2&amp;furtherPubs=no" TargetMode="External"/><Relationship Id="rId85" Type="http://schemas.openxmlformats.org/officeDocument/2006/relationships/hyperlink" Target="https://eur-lex.europa.eu/legal-content/FI/TXT/PDF/?uri=CELEX:52017DC0198&amp;qid=1550338609037&amp;from=FI" TargetMode="External"/><Relationship Id="rId3" Type="http://schemas.openxmlformats.org/officeDocument/2006/relationships/hyperlink" Target="https://eur-lex.europa.eu/legal-content/FI/TXT/?uri=COM:2016:316:FIN" TargetMode="External"/><Relationship Id="rId12" Type="http://schemas.openxmlformats.org/officeDocument/2006/relationships/hyperlink" Target="https://eur-lex.europa.eu/resource.html?uri=cellar:1dfc5184-c003-11e8-9893-01aa75ed71a1.0004.02/DOC_1&amp;format=PDF" TargetMode="External"/><Relationship Id="rId17" Type="http://schemas.openxmlformats.org/officeDocument/2006/relationships/hyperlink" Target="https://eur-lex.europa.eu/legal-content/FI/TXT/?uri=CELEX:32018L0410" TargetMode="External"/><Relationship Id="rId25" Type="http://schemas.openxmlformats.org/officeDocument/2006/relationships/hyperlink" Target="https://eur-lex.europa.eu/legal-content/FI/TXT/?uri=CELEX:32009L0147" TargetMode="External"/><Relationship Id="rId33" Type="http://schemas.openxmlformats.org/officeDocument/2006/relationships/hyperlink" Target="https://eur-lex.europa.eu/legal-content/FI/TXT/?qid=1526552009832&amp;uri=COM:2018:330:FIN" TargetMode="External"/><Relationship Id="rId38" Type="http://schemas.openxmlformats.org/officeDocument/2006/relationships/hyperlink" Target="http://ec.europa.eu/environment/life/project/Projects/index.cfm?fuseaction=search.dspPage&amp;n_proj_id=5440" TargetMode="External"/><Relationship Id="rId46" Type="http://schemas.openxmlformats.org/officeDocument/2006/relationships/hyperlink" Target="https://eur-lex.europa.eu/legal-content/FI/TXT/?uri=CELEX:31991L0676" TargetMode="External"/><Relationship Id="rId59" Type="http://schemas.openxmlformats.org/officeDocument/2006/relationships/hyperlink" Target="https://eur-lex.europa.eu/legal-content/FI/TXT/PDF/?uri=CELEX:32018D0119(01)&amp;from=FI" TargetMode="External"/><Relationship Id="rId67" Type="http://schemas.openxmlformats.org/officeDocument/2006/relationships/hyperlink" Target="https://ec.europa.eu/digital-single-market/en/european-egovernment-action-plan-2016-2020" TargetMode="External"/><Relationship Id="rId20" Type="http://schemas.openxmlformats.org/officeDocument/2006/relationships/hyperlink" Target="http://ec.europa.eu/regional_policy/en/policy/cooperation/macro-regional-strategies/" TargetMode="External"/><Relationship Id="rId41" Type="http://schemas.openxmlformats.org/officeDocument/2006/relationships/hyperlink" Target="https://publications.europa.eu/fi/publication-detail/-/publication/2a754add-32fb-11e8-b5fe-01aa75ed71a1" TargetMode="External"/><Relationship Id="rId54" Type="http://schemas.openxmlformats.org/officeDocument/2006/relationships/hyperlink" Target="https://ec.europa.eu/agriculture/sites/agriculture/files/exec-sum_en.pdf" TargetMode="External"/><Relationship Id="rId62" Type="http://schemas.openxmlformats.org/officeDocument/2006/relationships/hyperlink" Target="http://ec.europa.eu/transparency/regdoc/rep/3/2017/FI/C-2017-2616-F1-FI-MAIN-PART-1.PDF" TargetMode="External"/><Relationship Id="rId70" Type="http://schemas.openxmlformats.org/officeDocument/2006/relationships/hyperlink" Target="https://eur-lex.europa.eu/legal-content/FI/ALL/?uri=CELEX:32007L0002" TargetMode="External"/><Relationship Id="rId75" Type="http://schemas.openxmlformats.org/officeDocument/2006/relationships/hyperlink" Target="https://ec.europa.eu/transparency/regdoc/rep/1/2015/FI/1-2015-614-FI-F1-1.PDF" TargetMode="External"/><Relationship Id="rId83" Type="http://schemas.openxmlformats.org/officeDocument/2006/relationships/hyperlink" Target="https://eur-lex.europa.eu/legal-content/FI/TXT/PDF/?uri=CELEX:52018DC0330&amp;qid=1550338487864&amp;from=FI" TargetMode="External"/><Relationship Id="rId1" Type="http://schemas.openxmlformats.org/officeDocument/2006/relationships/hyperlink" Target="https://eur-lex.europa.eu/legal-content/FI/TXT/PDF/?uri=CELEX:52017DC0063&amp;from=FI" TargetMode="External"/><Relationship Id="rId6" Type="http://schemas.openxmlformats.org/officeDocument/2006/relationships/hyperlink" Target="https://eur-lex.europa.eu/legal-content/FI/TXT/?uri=OJ:L:2018:150:TOC" TargetMode="External"/><Relationship Id="rId15" Type="http://schemas.openxmlformats.org/officeDocument/2006/relationships/hyperlink" Target="https://www.ipcc.ch/sr15/" TargetMode="External"/><Relationship Id="rId23" Type="http://schemas.openxmlformats.org/officeDocument/2006/relationships/hyperlink" Target="https://eur-lex.europa.eu/legal-content/FI/TXT/?uri=CELEX:52011DC0244" TargetMode="External"/><Relationship Id="rId28" Type="http://schemas.openxmlformats.org/officeDocument/2006/relationships/hyperlink" Target="https://eur-lex.europa.eu/legal-content/FI/TXT/?qid=1417443504720&amp;uri=CELEX:32014R1143" TargetMode="External"/><Relationship Id="rId36" Type="http://schemas.openxmlformats.org/officeDocument/2006/relationships/hyperlink" Target="https://www.sciencedirect.com/science/article/pii/S0013935118303086" TargetMode="External"/><Relationship Id="rId49" Type="http://schemas.openxmlformats.org/officeDocument/2006/relationships/hyperlink" Target="https://ec.europa.eu/info/events/eu-water-conference-2018_en" TargetMode="External"/><Relationship Id="rId57" Type="http://schemas.openxmlformats.org/officeDocument/2006/relationships/hyperlink" Target="https://eur-lex.europa.eu/legal-content/FI/ALL/?uri=COM:2017:63:FIN" TargetMode="External"/><Relationship Id="rId10" Type="http://schemas.openxmlformats.org/officeDocument/2006/relationships/hyperlink" Target="https://eur-lex.europa.eu/resource.html?uri=cellar:1dfc5184-c003-11e8-9893-01aa75ed71a1.0004.02/DOC_1&amp;format=PDF" TargetMode="External"/><Relationship Id="rId31" Type="http://schemas.openxmlformats.org/officeDocument/2006/relationships/hyperlink" Target="http://connectcarpathians.ro/?lang=en" TargetMode="External"/><Relationship Id="rId44" Type="http://schemas.openxmlformats.org/officeDocument/2006/relationships/hyperlink" Target="https://eur-lex.europa.eu/legal-content/FI/TXT/?uri=CELEX:31998L0083" TargetMode="External"/><Relationship Id="rId52" Type="http://schemas.openxmlformats.org/officeDocument/2006/relationships/hyperlink" Target="https://eur-lex.europa.eu/legal-content/FI/ALL/?uri=COM:2018:0116:FIN" TargetMode="External"/><Relationship Id="rId60" Type="http://schemas.openxmlformats.org/officeDocument/2006/relationships/hyperlink" Target="http://ec.europa.eu/environment/integration/green_semester/expert_group_en.htm" TargetMode="External"/><Relationship Id="rId65" Type="http://schemas.openxmlformats.org/officeDocument/2006/relationships/hyperlink" Target="http://data.consilium.europa.eu/doc/document/ST-9450-2017-INIT/fi/pdf" TargetMode="External"/><Relationship Id="rId73" Type="http://schemas.openxmlformats.org/officeDocument/2006/relationships/hyperlink" Target="http://www.eis-data.eu/" TargetMode="External"/><Relationship Id="rId78" Type="http://schemas.openxmlformats.org/officeDocument/2006/relationships/hyperlink" Target="https://www.eea.europa.eu/publications/environmental-indicator-report-2018" TargetMode="External"/><Relationship Id="rId81" Type="http://schemas.openxmlformats.org/officeDocument/2006/relationships/hyperlink" Target="https://publications.europa.eu/fi/publication-detail/-/publication/51888c17-960b-11e8-8bc1-01aa75ed71a1" TargetMode="External"/><Relationship Id="rId86" Type="http://schemas.openxmlformats.org/officeDocument/2006/relationships/hyperlink" Target="http://ec.europa.eu/environment/nature/legislation/fitness_check/action_plan/factsheet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E97EA221F96E4B9233A8505060E8B9" ma:contentTypeVersion="0" ma:contentTypeDescription="Create a new document." ma:contentTypeScope="" ma:versionID="dbda434071fed551bc7965c9517226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C8D9492-40FD-4CEF-A99A-8E43897D90CC}">
  <ds:schemaRefs>
    <ds:schemaRef ds:uri="http://schemas.microsoft.com/sharepoint/v3/contenttype/forms"/>
  </ds:schemaRefs>
</ds:datastoreItem>
</file>

<file path=customXml/itemProps2.xml><?xml version="1.0" encoding="utf-8"?>
<ds:datastoreItem xmlns:ds="http://schemas.openxmlformats.org/officeDocument/2006/customXml" ds:itemID="{5A929B3B-8303-4C6E-8650-F5C4817FA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8ECC67-CB6E-4AF9-969E-E84B571EE334}">
  <ds:schemaRefs>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6A88C974-0C29-4AD7-B758-DF14FC50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19</Pages>
  <Words>5717</Words>
  <Characters>51683</Characters>
  <Application>Microsoft Office Word</Application>
  <DocSecurity>0</DocSecurity>
  <Lines>707</Lines>
  <Paragraphs>176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36</cp:revision>
  <cp:lastPrinted>2019-02-01T15:12:00Z</cp:lastPrinted>
  <dcterms:created xsi:type="dcterms:W3CDTF">2019-02-28T16:04:00Z</dcterms:created>
  <dcterms:modified xsi:type="dcterms:W3CDTF">2019-03-25T10:33:00Z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0x01010078E97EA221F96E4B9233A8505060E8B9</vt:lpwstr>
  </property>
  <property fmtid="{D5CDD505-2E9C-101B-9397-08002B2CF9AE}" pid="3" name="Created using">
    <vt:lpwstr>LW 6.0.1, Build 20180503</vt:lpwstr>
  </property>
  <property fmtid="{D5CDD505-2E9C-101B-9397-08002B2CF9AE}" pid="4" name="Last edi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